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44A45C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F1C32" w:rsidP="0010095E" w14:paraId="45C8AC56" w14:textId="77777777">
            <w:pPr>
              <w:pStyle w:val="EPName"/>
            </w:pPr>
            <w:r w:rsidRPr="001F1C32">
              <w:t>Parlement européen</w:t>
            </w:r>
          </w:p>
          <w:p w:rsidR="00751A4A" w:rsidRPr="001F1C32" w:rsidP="005F1B17" w14:paraId="3E882F31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F1C32">
              <w:t>2024</w:t>
            </w:r>
            <w:r w:rsidRPr="001F1C32" w:rsidR="00817416">
              <w:t>-202</w:t>
            </w:r>
            <w:r w:rsidRPr="001F1C3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F1C32" w:rsidP="0010095E" w14:paraId="09873D60" w14:textId="77777777">
            <w:pPr>
              <w:pStyle w:val="EPLogo"/>
            </w:pPr>
            <w:r w:rsidRPr="001F1C3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F1C32" w:rsidP="004C5D52" w14:paraId="5064663F" w14:textId="77777777">
      <w:pPr>
        <w:pStyle w:val="LineTop"/>
      </w:pPr>
    </w:p>
    <w:p w:rsidR="00680577" w:rsidRPr="001F1C32" w:rsidP="00680577" w14:paraId="36B34F23" w14:textId="77777777">
      <w:pPr>
        <w:pStyle w:val="EPBodyTA1"/>
      </w:pPr>
      <w:r w:rsidRPr="001F1C32">
        <w:t>TEXTES ADOPTÉS</w:t>
      </w:r>
    </w:p>
    <w:p w:rsidR="00D058B8" w:rsidRPr="001F1C32" w:rsidP="00D058B8" w14:paraId="17EFB9CC" w14:textId="77777777">
      <w:pPr>
        <w:pStyle w:val="LineBottom"/>
      </w:pPr>
    </w:p>
    <w:p w:rsidR="00983EC5" w:rsidRPr="001F1C32" w:rsidP="00983EC5" w14:paraId="62B796E8" w14:textId="100C4831">
      <w:pPr>
        <w:pStyle w:val="ATHeading1"/>
      </w:pPr>
      <w:bookmarkStart w:id="0" w:name="TANumber"/>
      <w:r w:rsidRPr="001F1C32">
        <w:t>P10_TA(2026)0</w:t>
      </w:r>
      <w:r w:rsidRPr="001F1C32" w:rsidR="001F1C32">
        <w:t>197</w:t>
      </w:r>
      <w:bookmarkEnd w:id="0"/>
    </w:p>
    <w:p w:rsidR="00983EC5" w:rsidRPr="001F1C32" w:rsidP="00983EC5" w14:paraId="38252D48" w14:textId="4A91A961">
      <w:pPr>
        <w:pStyle w:val="ATHeading2"/>
      </w:pPr>
      <w:r w:rsidRPr="001F1C32">
        <w:t>Non-application des droits de douane aux importations de certaines marchandises</w:t>
      </w:r>
    </w:p>
    <w:p w:rsidR="00983EC5" w:rsidRPr="001F1C32" w:rsidP="00983EC5" w14:paraId="0546E552" w14:textId="77777777">
      <w:pPr>
        <w:rPr>
          <w:i/>
          <w:vanish/>
        </w:rPr>
      </w:pPr>
      <w:r>
        <w:rPr>
          <w:i/>
        </w:rPr>
        <w:fldChar w:fldCharType="begin"/>
      </w:r>
      <w:r w:rsidRPr="001F1C32">
        <w:rPr>
          <w:i/>
        </w:rPr>
        <w:instrText xml:space="preserve"> TC"(</w:instrText>
      </w:r>
      <w:bookmarkStart w:id="1" w:name="DocNumber"/>
      <w:r w:rsidRPr="001F1C32">
        <w:rPr>
          <w:i/>
        </w:rPr>
        <w:instrText>A10-0070/2026</w:instrText>
      </w:r>
      <w:bookmarkEnd w:id="1"/>
      <w:r w:rsidRPr="001F1C32">
        <w:rPr>
          <w:i/>
        </w:rPr>
        <w:instrText xml:space="preserve"> - Rapporteur: Bernd Lange)"\l3 \n&gt; \* MERGEFORMAT </w:instrText>
      </w:r>
      <w:r>
        <w:rPr>
          <w:i/>
        </w:rPr>
        <w:fldChar w:fldCharType="end"/>
      </w:r>
    </w:p>
    <w:p w:rsidR="00983EC5" w:rsidRPr="001F1C32" w:rsidP="00983EC5" w14:paraId="0BD83D2E" w14:textId="77777777">
      <w:pPr>
        <w:rPr>
          <w:vanish/>
        </w:rPr>
      </w:pPr>
      <w:bookmarkStart w:id="2" w:name="Commission"/>
      <w:r w:rsidRPr="001F1C32">
        <w:rPr>
          <w:vanish/>
        </w:rPr>
        <w:t>Commission du commerce international</w:t>
      </w:r>
      <w:bookmarkEnd w:id="2"/>
    </w:p>
    <w:p w:rsidR="00983EC5" w:rsidRPr="001F1C32" w:rsidP="00983EC5" w14:paraId="01AFBEA5" w14:textId="77777777">
      <w:pPr>
        <w:rPr>
          <w:vanish/>
        </w:rPr>
      </w:pPr>
      <w:bookmarkStart w:id="3" w:name="PE"/>
      <w:r w:rsidRPr="001F1C32">
        <w:rPr>
          <w:vanish/>
        </w:rPr>
        <w:t>PE779.298</w:t>
      </w:r>
      <w:bookmarkEnd w:id="3"/>
    </w:p>
    <w:p w:rsidR="00983EC5" w:rsidRPr="001F1C32" w:rsidP="00983EC5" w14:paraId="4E316482" w14:textId="2F8052F9">
      <w:pPr>
        <w:pStyle w:val="ATHeading3"/>
      </w:pPr>
      <w:bookmarkStart w:id="4" w:name="Sujet"/>
      <w:r w:rsidRPr="001F1C32">
        <w:t xml:space="preserve">Résolution législative du Parlement européen du </w:t>
      </w:r>
      <w:r w:rsidRPr="001F1C32" w:rsidR="00477BCF">
        <w:t xml:space="preserve">16 </w:t>
      </w:r>
      <w:r w:rsidRPr="001F1C32" w:rsidR="00EF6BD9">
        <w:t>juin</w:t>
      </w:r>
      <w:r w:rsidRPr="001F1C32">
        <w:t xml:space="preserve"> 2026 sur la proposition de règlement du Parlement européen et du Conseil relatif à la non-application des droits de douane aux importations de certaines marchandises</w:t>
      </w:r>
      <w:bookmarkEnd w:id="4"/>
      <w:r w:rsidRPr="001F1C32">
        <w:t xml:space="preserve"> </w:t>
      </w:r>
      <w:bookmarkStart w:id="5" w:name="References"/>
      <w:r w:rsidRPr="001F1C32">
        <w:t>(COM(2025)0472 – C10-0192/2025 – 2025/0260(COD))</w:t>
      </w:r>
      <w:bookmarkEnd w:id="5"/>
    </w:p>
    <w:p w:rsidR="00770536" w:rsidRPr="001F1C32" w:rsidP="00770536" w14:paraId="1E3F17EC" w14:textId="77777777">
      <w:pPr>
        <w:pStyle w:val="NormalBold"/>
      </w:pPr>
      <w:r w:rsidRPr="001F1C32">
        <w:t>(Procédure législative ordinaire: première lecture)</w:t>
      </w:r>
    </w:p>
    <w:p w:rsidR="00770536" w:rsidRPr="001F1C32" w:rsidP="00770536" w14:paraId="75856F5B" w14:textId="77777777">
      <w:pPr>
        <w:pStyle w:val="EPComma"/>
      </w:pPr>
      <w:r w:rsidRPr="001F1C32">
        <w:rPr>
          <w:i/>
          <w:iCs/>
        </w:rPr>
        <w:t>Le Parlement européen</w:t>
      </w:r>
      <w:r w:rsidRPr="001F1C32">
        <w:t>,</w:t>
      </w:r>
    </w:p>
    <w:p w:rsidR="00770536" w:rsidRPr="001F1C32" w:rsidP="004B0A45" w14:paraId="1B0DDFDC" w14:textId="77777777">
      <w:pPr>
        <w:pStyle w:val="NormalHanging12a"/>
        <w:widowControl/>
      </w:pPr>
      <w:r w:rsidRPr="001F1C32">
        <w:t>–</w:t>
      </w:r>
      <w:r w:rsidRPr="001F1C32">
        <w:tab/>
        <w:t>vu la proposition de la Commission au Parlement européen et au Conseil (COM(2025)0472),</w:t>
      </w:r>
    </w:p>
    <w:p w:rsidR="00770536" w:rsidRPr="001F1C32" w:rsidP="004B0A45" w14:paraId="7E51C0AD" w14:textId="77777777">
      <w:pPr>
        <w:pStyle w:val="NormalHanging12a"/>
        <w:widowControl/>
      </w:pPr>
      <w:r w:rsidRPr="001F1C32">
        <w:t>–</w:t>
      </w:r>
      <w:r w:rsidRPr="001F1C32">
        <w:tab/>
        <w:t>vu l’article 294, paragraphe 2, et l’article 207, paragraphe 2, du traité sur le fonctionnement de l’Union européenne, conformément auxquels la proposition lui a été présentée par la Commission (C10</w:t>
      </w:r>
      <w:r w:rsidRPr="001F1C32">
        <w:noBreakHyphen/>
        <w:t>0192/2025),</w:t>
      </w:r>
    </w:p>
    <w:p w:rsidR="00770536" w:rsidRPr="001F1C32" w:rsidP="004B0A45" w14:paraId="2159B12C" w14:textId="77777777">
      <w:pPr>
        <w:pStyle w:val="NormalHanging12a"/>
        <w:widowControl/>
      </w:pPr>
      <w:r w:rsidRPr="001F1C32">
        <w:t>–</w:t>
      </w:r>
      <w:r w:rsidRPr="001F1C32">
        <w:tab/>
        <w:t>vu l’article 294, paragraphe 3, du traité sur le fonctionnement de l’Union européenne,</w:t>
      </w:r>
    </w:p>
    <w:p w:rsidR="00770536" w:rsidRPr="001F1C32" w:rsidP="004B0A45" w14:paraId="08EEB66F" w14:textId="77777777">
      <w:pPr>
        <w:pStyle w:val="NormalHanging12a"/>
        <w:widowControl/>
      </w:pPr>
      <w:r w:rsidRPr="001F1C32">
        <w:t>–</w:t>
      </w:r>
      <w:r w:rsidRPr="001F1C32">
        <w:tab/>
        <w:t>vu l’évaluation budgétaire par la commission des budgets,</w:t>
      </w:r>
    </w:p>
    <w:p w:rsidR="0034288C" w:rsidRPr="001F1C32" w:rsidP="00DE6A72" w14:paraId="57BDF04E" w14:textId="3AE0BC92">
      <w:pPr>
        <w:pStyle w:val="NormalHanging12a"/>
      </w:pPr>
      <w:r w:rsidRPr="001F1C32">
        <w:t>–</w:t>
      </w:r>
      <w:r w:rsidRPr="001F1C32">
        <w:tab/>
        <w:t xml:space="preserve">vu l’accord provisoire approuvé en vertu de l’article 75, paragraphe 4, de son règlement intérieur par la commission compétente et l’engagement pris par le représentant du Conseil, par lettre du </w:t>
      </w:r>
      <w:r w:rsidRPr="001F1C32" w:rsidR="00F01E9A">
        <w:t>27 mai</w:t>
      </w:r>
      <w:r w:rsidRPr="001F1C32">
        <w:t xml:space="preserve"> 2026, d’approuver la position du Parlement européen, conformément à l’article 294, paragraphe 4, du traité sur le fonctionnement de l’Union européenne,</w:t>
      </w:r>
    </w:p>
    <w:p w:rsidR="00770536" w:rsidRPr="001F1C32" w:rsidP="004B0A45" w14:paraId="48D984CF" w14:textId="0560BAF9">
      <w:pPr>
        <w:pStyle w:val="NormalHanging12a"/>
        <w:widowControl/>
      </w:pPr>
      <w:r w:rsidRPr="001F1C32">
        <w:t>–</w:t>
      </w:r>
      <w:r w:rsidRPr="001F1C32">
        <w:tab/>
        <w:t>vu l</w:t>
      </w:r>
      <w:r w:rsidRPr="001F1C32" w:rsidR="00F01E9A">
        <w:t xml:space="preserve">es </w:t>
      </w:r>
      <w:r w:rsidRPr="001F1C32">
        <w:t>article</w:t>
      </w:r>
      <w:r w:rsidRPr="001F1C32" w:rsidR="00F01E9A">
        <w:t>s</w:t>
      </w:r>
      <w:r w:rsidRPr="001F1C32">
        <w:t xml:space="preserve"> 60 </w:t>
      </w:r>
      <w:r w:rsidRPr="001F1C32" w:rsidR="00F01E9A">
        <w:t xml:space="preserve">et 58 </w:t>
      </w:r>
      <w:r w:rsidRPr="001F1C32">
        <w:t>de son règlement</w:t>
      </w:r>
      <w:r w:rsidRPr="001F1C32" w:rsidR="00DE6A72">
        <w:t xml:space="preserve"> intérieur</w:t>
      </w:r>
      <w:r w:rsidRPr="001F1C32">
        <w:t>,</w:t>
      </w:r>
    </w:p>
    <w:p w:rsidR="00770536" w:rsidRPr="001F1C32" w:rsidP="004B0A45" w14:paraId="5BC8D3C9" w14:textId="77777777">
      <w:pPr>
        <w:pStyle w:val="NormalHanging12a"/>
        <w:widowControl/>
      </w:pPr>
      <w:r w:rsidRPr="001F1C32">
        <w:t>–</w:t>
      </w:r>
      <w:r w:rsidRPr="001F1C32">
        <w:tab/>
        <w:t>vu le rapport de la commission du commerce international (A10-0070/2026),</w:t>
      </w:r>
    </w:p>
    <w:p w:rsidR="00770536" w:rsidRPr="001F1C32" w:rsidP="004B0A45" w14:paraId="4271B703" w14:textId="03C9C6DD">
      <w:pPr>
        <w:pStyle w:val="NormalHanging12a"/>
        <w:widowControl/>
      </w:pPr>
      <w:r w:rsidRPr="001F1C32">
        <w:t>1.</w:t>
      </w:r>
      <w:r w:rsidRPr="001F1C32">
        <w:tab/>
        <w:t>arrête la position en première lecture figurant ci-après</w:t>
      </w:r>
      <w:r>
        <w:rPr>
          <w:rStyle w:val="FootnoteReference"/>
        </w:rPr>
        <w:footnoteReference w:id="2"/>
      </w:r>
      <w:r w:rsidRPr="001F1C32">
        <w:t>;</w:t>
      </w:r>
    </w:p>
    <w:p w:rsidR="00770536" w:rsidRPr="001F1C32" w:rsidP="004B0A45" w14:paraId="1F86C4A2" w14:textId="77777777">
      <w:pPr>
        <w:pStyle w:val="NormalHanging12a"/>
        <w:widowControl/>
      </w:pPr>
      <w:r w:rsidRPr="001F1C32">
        <w:t>2.</w:t>
      </w:r>
      <w:r w:rsidRPr="001F1C32">
        <w:tab/>
        <w:t>demande à la Commission de le saisir à nouveau, si elle remplace, modifie de manière substantielle ou entend modifier de manière substantielle sa proposition;</w:t>
      </w:r>
    </w:p>
    <w:p w:rsidR="00770536" w:rsidRPr="001F1C32" w:rsidP="004B0A45" w14:paraId="10324CD4" w14:textId="77777777">
      <w:pPr>
        <w:pStyle w:val="NormalHanging12a"/>
        <w:widowControl/>
      </w:pPr>
      <w:r w:rsidRPr="001F1C32">
        <w:t>3.</w:t>
      </w:r>
      <w:r w:rsidRPr="001F1C32">
        <w:tab/>
        <w:t>charge sa Présidente de transmettre la position du Parlement au Conseil, à la Commission ainsi qu’aux parlements nationaux.</w:t>
      </w:r>
    </w:p>
    <w:p w:rsidR="004B0A45" w:rsidRPr="001F1C32" w:rsidP="00770536" w14:paraId="09B93E59" w14:textId="77777777">
      <w:pPr>
        <w:widowControl/>
        <w:sectPr w:rsidSect="004176B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4288C" w:rsidRPr="001F1C32" w:rsidP="0034288C" w14:paraId="12ADA7F2" w14:textId="6462E63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F1C32">
        <w:rPr>
          <w:rFonts w:eastAsia="Calibri"/>
          <w:b/>
          <w:bCs/>
          <w:color w:val="000000"/>
          <w:szCs w:val="24"/>
        </w:rPr>
        <w:t>P10_TC1-COD(2025)0260</w:t>
      </w:r>
    </w:p>
    <w:p w:rsidR="00477BCF" w:rsidP="00477BCF" w14:paraId="3846BEDA" w14:textId="6982F24F">
      <w:pPr>
        <w:spacing w:after="240"/>
        <w:rPr>
          <w:rFonts w:eastAsia="Calibri"/>
          <w:b/>
          <w:szCs w:val="22"/>
          <w:lang w:eastAsia="fr-FR" w:bidi="fr-FR"/>
        </w:rPr>
      </w:pPr>
      <w:bookmarkStart w:id="6" w:name="_Hlk223945093"/>
      <w:r w:rsidRPr="001F1C32">
        <w:rPr>
          <w:b/>
        </w:rPr>
        <w:t xml:space="preserve">Position du Parlement européen arrêtée en première lecture le </w:t>
      </w:r>
      <w:r w:rsidRPr="001F1C32">
        <w:rPr>
          <w:b/>
        </w:rPr>
        <w:t>16</w:t>
      </w:r>
      <w:r w:rsidRPr="001F1C32">
        <w:rPr>
          <w:b/>
        </w:rPr>
        <w:t xml:space="preserve"> juin 2026 en vue de l’adoption du règlement (UE) 2026/... du Parlement européen et du Conseil </w:t>
      </w:r>
      <w:bookmarkStart w:id="7" w:name="DQC_RangeToBeChecked"/>
      <w:bookmarkEnd w:id="6"/>
      <w:r w:rsidRPr="001F1C32">
        <w:rPr>
          <w:rFonts w:eastAsia="Calibri"/>
          <w:b/>
          <w:szCs w:val="22"/>
          <w:lang w:eastAsia="fr-FR" w:bidi="fr-FR"/>
        </w:rPr>
        <w:t>relatif à la non-application des droits de douane aux importations de certaines marchandises</w:t>
      </w:r>
    </w:p>
    <w:p w:rsidR="00853C73" w:rsidRPr="0070765D" w:rsidP="00853C73" w14:paraId="551A743B" w14:textId="405E8544">
      <w:pPr>
        <w:pStyle w:val="Datedadoption"/>
        <w:spacing w:after="240" w:line="240" w:lineRule="auto"/>
        <w:jc w:val="left"/>
        <w:rPr>
          <w:b w:val="0"/>
          <w:i/>
          <w:szCs w:val="24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le règlement (UE) 202</w:t>
      </w:r>
      <w:r>
        <w:rPr>
          <w:b w:val="0"/>
          <w:i/>
          <w:szCs w:val="24"/>
        </w:rPr>
        <w:t>6</w:t>
      </w:r>
      <w:r w:rsidRPr="0070765D">
        <w:rPr>
          <w:b w:val="0"/>
          <w:i/>
          <w:szCs w:val="24"/>
        </w:rPr>
        <w:t>/</w:t>
      </w:r>
      <w:r>
        <w:rPr>
          <w:b w:val="0"/>
          <w:i/>
          <w:szCs w:val="24"/>
        </w:rPr>
        <w:t>1461</w:t>
      </w:r>
      <w:r w:rsidRPr="0070765D">
        <w:rPr>
          <w:b w:val="0"/>
          <w:i/>
          <w:szCs w:val="24"/>
        </w:rPr>
        <w:t>.)</w:t>
      </w:r>
    </w:p>
    <w:p w:rsidR="00853C73" w:rsidRPr="001F1C32" w:rsidP="00477BCF" w14:paraId="0EEB4F59" w14:textId="77777777">
      <w:pPr>
        <w:spacing w:after="240"/>
        <w:rPr>
          <w:rFonts w:eastAsia="Calibri"/>
          <w:b/>
          <w:bCs/>
          <w:szCs w:val="22"/>
          <w:lang w:eastAsia="fr-FR" w:bidi="fr-FR"/>
        </w:rPr>
      </w:pPr>
    </w:p>
    <w:bookmarkEnd w:id="7"/>
    <w:sectPr w:rsidSect="00853C73">
      <w:footnotePr>
        <w:numRestart w:val="eachSect"/>
      </w:footnotePr>
      <w:pgSz w:w="11907" w:h="16840" w:code="9"/>
      <w:pgMar w:top="1134" w:right="1134" w:bottom="1134" w:left="1134" w:header="567" w:footer="567" w:gutter="0"/>
      <w:pgNumType w:start="1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83EC5" w:rsidRPr="004176B7" w14:paraId="21A174CC" w14:textId="77777777">
      <w:r w:rsidRPr="004176B7">
        <w:separator/>
      </w:r>
    </w:p>
  </w:footnote>
  <w:footnote w:type="continuationSeparator" w:id="1">
    <w:p w:rsidR="00983EC5" w:rsidRPr="004176B7" w14:paraId="1132FB1C" w14:textId="77777777">
      <w:r w:rsidRPr="004176B7">
        <w:continuationSeparator/>
      </w:r>
    </w:p>
  </w:footnote>
  <w:footnote w:id="2">
    <w:p w:rsidR="0034288C" w:rsidRPr="00477BCF" w:rsidP="00DE6A72" w14:paraId="6EDEB1E6" w14:textId="6AEBE42A">
      <w:pPr>
        <w:ind w:left="567" w:hanging="567"/>
        <w:rPr>
          <w:szCs w:val="24"/>
        </w:rPr>
      </w:pPr>
      <w:r w:rsidRPr="00477BCF">
        <w:rPr>
          <w:rStyle w:val="FootnoteReference"/>
          <w:szCs w:val="24"/>
        </w:rPr>
        <w:footnoteRef/>
      </w:r>
      <w:r w:rsidRPr="00477BCF">
        <w:rPr>
          <w:szCs w:val="24"/>
        </w:rPr>
        <w:tab/>
        <w:t>La présente position remplace les amendements adoptés le 26 mars 2026 (textes adoptés</w:t>
      </w:r>
      <w:r w:rsidR="005E6F8E">
        <w:rPr>
          <w:szCs w:val="24"/>
        </w:rPr>
        <w:t xml:space="preserve"> de cette date</w:t>
      </w:r>
      <w:r w:rsidRPr="00477BCF">
        <w:rPr>
          <w:szCs w:val="24"/>
        </w:rPr>
        <w:t>, P10_TA(2026)009</w:t>
      </w:r>
      <w:r w:rsidRPr="00477BCF" w:rsidR="001C0E93">
        <w:rPr>
          <w:szCs w:val="24"/>
        </w:rPr>
        <w:t>7</w:t>
      </w:r>
      <w:r w:rsidRPr="00477BCF">
        <w:rPr>
          <w:szCs w:val="24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99170988">
    <w:abstractNumId w:val="9"/>
  </w:num>
  <w:num w:numId="2" w16cid:durableId="1659966532">
    <w:abstractNumId w:val="9"/>
  </w:num>
  <w:num w:numId="3" w16cid:durableId="708838643">
    <w:abstractNumId w:val="7"/>
  </w:num>
  <w:num w:numId="4" w16cid:durableId="598611186">
    <w:abstractNumId w:val="7"/>
  </w:num>
  <w:num w:numId="5" w16cid:durableId="1880238394">
    <w:abstractNumId w:val="6"/>
  </w:num>
  <w:num w:numId="6" w16cid:durableId="367416861">
    <w:abstractNumId w:val="6"/>
  </w:num>
  <w:num w:numId="7" w16cid:durableId="1029646402">
    <w:abstractNumId w:val="5"/>
  </w:num>
  <w:num w:numId="8" w16cid:durableId="139271125">
    <w:abstractNumId w:val="5"/>
  </w:num>
  <w:num w:numId="9" w16cid:durableId="1819298612">
    <w:abstractNumId w:val="4"/>
  </w:num>
  <w:num w:numId="10" w16cid:durableId="1021052162">
    <w:abstractNumId w:val="4"/>
  </w:num>
  <w:num w:numId="11" w16cid:durableId="2011517828">
    <w:abstractNumId w:val="8"/>
  </w:num>
  <w:num w:numId="12" w16cid:durableId="267082336">
    <w:abstractNumId w:val="8"/>
  </w:num>
  <w:num w:numId="13" w16cid:durableId="867529165">
    <w:abstractNumId w:val="3"/>
  </w:num>
  <w:num w:numId="14" w16cid:durableId="604967109">
    <w:abstractNumId w:val="3"/>
  </w:num>
  <w:num w:numId="15" w16cid:durableId="1139617327">
    <w:abstractNumId w:val="2"/>
  </w:num>
  <w:num w:numId="16" w16cid:durableId="1353796697">
    <w:abstractNumId w:val="2"/>
  </w:num>
  <w:num w:numId="17" w16cid:durableId="1350447721">
    <w:abstractNumId w:val="1"/>
  </w:num>
  <w:num w:numId="18" w16cid:durableId="281229147">
    <w:abstractNumId w:val="1"/>
  </w:num>
  <w:num w:numId="19" w16cid:durableId="946229706">
    <w:abstractNumId w:val="0"/>
  </w:num>
  <w:num w:numId="20" w16cid:durableId="236592393">
    <w:abstractNumId w:val="0"/>
  </w:num>
  <w:num w:numId="21" w16cid:durableId="976295773">
    <w:abstractNumId w:val="9"/>
  </w:num>
  <w:num w:numId="22" w16cid:durableId="276525915">
    <w:abstractNumId w:val="7"/>
  </w:num>
  <w:num w:numId="23" w16cid:durableId="1630434112">
    <w:abstractNumId w:val="6"/>
  </w:num>
  <w:num w:numId="24" w16cid:durableId="567154081">
    <w:abstractNumId w:val="5"/>
  </w:num>
  <w:num w:numId="25" w16cid:durableId="182935468">
    <w:abstractNumId w:val="4"/>
  </w:num>
  <w:num w:numId="26" w16cid:durableId="1377778153">
    <w:abstractNumId w:val="8"/>
  </w:num>
  <w:num w:numId="27" w16cid:durableId="1076441525">
    <w:abstractNumId w:val="3"/>
  </w:num>
  <w:num w:numId="28" w16cid:durableId="1608272449">
    <w:abstractNumId w:val="2"/>
  </w:num>
  <w:num w:numId="29" w16cid:durableId="1543666499">
    <w:abstractNumId w:val="1"/>
  </w:num>
  <w:num w:numId="30" w16cid:durableId="375663263">
    <w:abstractNumId w:val="0"/>
  </w:num>
  <w:num w:numId="31" w16cid:durableId="351226006">
    <w:abstractNumId w:val="9"/>
  </w:num>
  <w:num w:numId="32" w16cid:durableId="1157451444">
    <w:abstractNumId w:val="7"/>
  </w:num>
  <w:num w:numId="33" w16cid:durableId="1414399480">
    <w:abstractNumId w:val="6"/>
  </w:num>
  <w:num w:numId="34" w16cid:durableId="483476691">
    <w:abstractNumId w:val="5"/>
  </w:num>
  <w:num w:numId="35" w16cid:durableId="275799311">
    <w:abstractNumId w:val="4"/>
  </w:num>
  <w:num w:numId="36" w16cid:durableId="1256327102">
    <w:abstractNumId w:val="8"/>
  </w:num>
  <w:num w:numId="37" w16cid:durableId="484204762">
    <w:abstractNumId w:val="3"/>
  </w:num>
  <w:num w:numId="38" w16cid:durableId="1976566764">
    <w:abstractNumId w:val="2"/>
  </w:num>
  <w:num w:numId="39" w16cid:durableId="61487290">
    <w:abstractNumId w:val="1"/>
  </w:num>
  <w:num w:numId="40" w16cid:durableId="523902351">
    <w:abstractNumId w:val="0"/>
  </w:num>
  <w:num w:numId="41" w16cid:durableId="1991016144">
    <w:abstractNumId w:val="10"/>
  </w:num>
  <w:num w:numId="42" w16cid:durableId="1350526608">
    <w:abstractNumId w:val="10"/>
  </w:num>
  <w:num w:numId="43" w16cid:durableId="170608288">
    <w:abstractNumId w:val="10"/>
  </w:num>
  <w:num w:numId="44" w16cid:durableId="6113966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EC5"/>
    <w:rsid w:val="00000606"/>
    <w:rsid w:val="00002272"/>
    <w:rsid w:val="00064002"/>
    <w:rsid w:val="000677B9"/>
    <w:rsid w:val="000831BA"/>
    <w:rsid w:val="000A42CC"/>
    <w:rsid w:val="000E7DD9"/>
    <w:rsid w:val="0010095E"/>
    <w:rsid w:val="00125B37"/>
    <w:rsid w:val="00186CB0"/>
    <w:rsid w:val="00187494"/>
    <w:rsid w:val="001A5FA1"/>
    <w:rsid w:val="001C0E93"/>
    <w:rsid w:val="001F1C32"/>
    <w:rsid w:val="001F32AE"/>
    <w:rsid w:val="001F3D12"/>
    <w:rsid w:val="002767FF"/>
    <w:rsid w:val="002B18FE"/>
    <w:rsid w:val="002B5493"/>
    <w:rsid w:val="002E66CB"/>
    <w:rsid w:val="0034288C"/>
    <w:rsid w:val="00343214"/>
    <w:rsid w:val="00361C00"/>
    <w:rsid w:val="00395FA1"/>
    <w:rsid w:val="003E15D4"/>
    <w:rsid w:val="00411CCE"/>
    <w:rsid w:val="0041666E"/>
    <w:rsid w:val="004176B7"/>
    <w:rsid w:val="00421060"/>
    <w:rsid w:val="00471C19"/>
    <w:rsid w:val="00477BCF"/>
    <w:rsid w:val="004867E3"/>
    <w:rsid w:val="00494A28"/>
    <w:rsid w:val="004B0A45"/>
    <w:rsid w:val="004C0004"/>
    <w:rsid w:val="004C5D52"/>
    <w:rsid w:val="0050519A"/>
    <w:rsid w:val="005072A1"/>
    <w:rsid w:val="00514517"/>
    <w:rsid w:val="00545827"/>
    <w:rsid w:val="00560270"/>
    <w:rsid w:val="005701DA"/>
    <w:rsid w:val="005C2568"/>
    <w:rsid w:val="005E6F8E"/>
    <w:rsid w:val="005F1B17"/>
    <w:rsid w:val="006037C0"/>
    <w:rsid w:val="006631B6"/>
    <w:rsid w:val="00680577"/>
    <w:rsid w:val="006F74FA"/>
    <w:rsid w:val="0070765D"/>
    <w:rsid w:val="00731ADD"/>
    <w:rsid w:val="00734777"/>
    <w:rsid w:val="00747932"/>
    <w:rsid w:val="00751A4A"/>
    <w:rsid w:val="00756632"/>
    <w:rsid w:val="00762C74"/>
    <w:rsid w:val="00770536"/>
    <w:rsid w:val="00786EC0"/>
    <w:rsid w:val="00792449"/>
    <w:rsid w:val="007D1690"/>
    <w:rsid w:val="007D4A3E"/>
    <w:rsid w:val="007D565B"/>
    <w:rsid w:val="007E22AD"/>
    <w:rsid w:val="00817416"/>
    <w:rsid w:val="00837C71"/>
    <w:rsid w:val="00842779"/>
    <w:rsid w:val="00853C73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EC5"/>
    <w:rsid w:val="00A1687D"/>
    <w:rsid w:val="00A24927"/>
    <w:rsid w:val="00A43E52"/>
    <w:rsid w:val="00A4678D"/>
    <w:rsid w:val="00A778C7"/>
    <w:rsid w:val="00AB441E"/>
    <w:rsid w:val="00AB6293"/>
    <w:rsid w:val="00AE0928"/>
    <w:rsid w:val="00AF3B82"/>
    <w:rsid w:val="00B100C4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5382"/>
    <w:rsid w:val="00D872DF"/>
    <w:rsid w:val="00D91E21"/>
    <w:rsid w:val="00DA7FCD"/>
    <w:rsid w:val="00DE6A72"/>
    <w:rsid w:val="00E365E1"/>
    <w:rsid w:val="00E820A4"/>
    <w:rsid w:val="00EB006A"/>
    <w:rsid w:val="00EB4772"/>
    <w:rsid w:val="00ED169E"/>
    <w:rsid w:val="00ED4235"/>
    <w:rsid w:val="00EF6BD9"/>
    <w:rsid w:val="00F01E9A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70/2026"/>
    <w:docVar w:name="dvlangue" w:val="FR"/>
    <w:docVar w:name="dvnumam" w:val="17"/>
    <w:docVar w:name="dvpe" w:val="779.298"/>
    <w:docVar w:name="dvrapporteur" w:val="Rapporteur: "/>
    <w:docVar w:name="dvtitre" w:val="Résolution législative du Parlement européen du ... 2026 sur la proposition de règlement du Parlement européen et du Conseil relatif à la non-application des droits de douane aux importations de certaines marchandises(COM(2025)0472 – C10-0192/2025 – 2025/0260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1B5F4A8"/>
  <w15:chartTrackingRefBased/>
  <w15:docId w15:val="{CED6BFBD-9C2E-4379-A8BF-9914F280B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770536"/>
    <w:pPr>
      <w:spacing w:after="120"/>
    </w:pPr>
  </w:style>
  <w:style w:type="paragraph" w:customStyle="1" w:styleId="NormalBold">
    <w:name w:val="NormalBold"/>
    <w:basedOn w:val="Normal"/>
    <w:link w:val="NormalBoldChar"/>
    <w:rsid w:val="00770536"/>
    <w:rPr>
      <w:b/>
    </w:rPr>
  </w:style>
  <w:style w:type="paragraph" w:customStyle="1" w:styleId="NormalHanging12a">
    <w:name w:val="NormalHanging12a"/>
    <w:basedOn w:val="Normal"/>
    <w:rsid w:val="00770536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77053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7053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70536"/>
    <w:pPr>
      <w:spacing w:before="240"/>
    </w:pPr>
    <w:rPr>
      <w:b/>
    </w:rPr>
  </w:style>
  <w:style w:type="paragraph" w:customStyle="1" w:styleId="EPComma">
    <w:name w:val="EPComma"/>
    <w:basedOn w:val="Normal"/>
    <w:rsid w:val="00770536"/>
    <w:pPr>
      <w:spacing w:before="480" w:after="240"/>
    </w:pPr>
  </w:style>
  <w:style w:type="character" w:customStyle="1" w:styleId="Normal6Char">
    <w:name w:val="Normal6 Char"/>
    <w:link w:val="Normal6"/>
    <w:locked/>
    <w:rsid w:val="00770536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770536"/>
    <w:pPr>
      <w:spacing w:after="120"/>
    </w:pPr>
  </w:style>
  <w:style w:type="character" w:customStyle="1" w:styleId="NormalBoldChar">
    <w:name w:val="NormalBold Char"/>
    <w:link w:val="NormalBold"/>
    <w:locked/>
    <w:rsid w:val="00770536"/>
    <w:rPr>
      <w:b/>
      <w:sz w:val="24"/>
      <w:lang w:val="fr-FR"/>
    </w:rPr>
  </w:style>
  <w:style w:type="paragraph" w:customStyle="1" w:styleId="ColumnHeading">
    <w:name w:val="ColumnHeading"/>
    <w:basedOn w:val="Normal"/>
    <w:rsid w:val="00770536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uiPriority w:val="99"/>
    <w:rsid w:val="00770536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3428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4288C"/>
    <w:rPr>
      <w:sz w:val="24"/>
      <w:lang w:val="fr-FR"/>
    </w:rPr>
  </w:style>
  <w:style w:type="paragraph" w:styleId="Revision">
    <w:name w:val="Revision"/>
    <w:hidden/>
    <w:uiPriority w:val="99"/>
    <w:semiHidden/>
    <w:rsid w:val="0034288C"/>
    <w:rPr>
      <w:sz w:val="24"/>
      <w:lang w:val="fr-FR"/>
    </w:rPr>
  </w:style>
  <w:style w:type="paragraph" w:customStyle="1" w:styleId="HeaderCouncil">
    <w:name w:val="Header Council"/>
    <w:basedOn w:val="Normal"/>
    <w:rsid w:val="00477BCF"/>
    <w:pPr>
      <w:widowControl/>
    </w:pPr>
    <w:rPr>
      <w:rFonts w:eastAsia="Calibri"/>
      <w:sz w:val="2"/>
      <w:szCs w:val="22"/>
      <w:lang w:eastAsia="fr-FR" w:bidi="fr-FR"/>
    </w:rPr>
  </w:style>
  <w:style w:type="paragraph" w:customStyle="1" w:styleId="HeaderCouncilLarge">
    <w:name w:val="Header Council Large"/>
    <w:basedOn w:val="Normal"/>
    <w:link w:val="HeaderCouncilLargeChar"/>
    <w:rsid w:val="00477BCF"/>
    <w:pPr>
      <w:widowControl/>
      <w:spacing w:after="440" w:line="360" w:lineRule="auto"/>
    </w:pPr>
    <w:rPr>
      <w:rFonts w:eastAsia="Calibri"/>
      <w:sz w:val="2"/>
      <w:szCs w:val="22"/>
      <w:lang w:eastAsia="fr-FR" w:bidi="fr-FR"/>
    </w:rPr>
  </w:style>
  <w:style w:type="character" w:customStyle="1" w:styleId="HeaderCouncilLargeChar">
    <w:name w:val="Header Council Large Char"/>
    <w:basedOn w:val="DefaultParagraphFont"/>
    <w:link w:val="HeaderCouncilLarge"/>
    <w:rsid w:val="00477BCF"/>
    <w:rPr>
      <w:rFonts w:eastAsia="Calibri"/>
      <w:sz w:val="2"/>
      <w:szCs w:val="22"/>
      <w:lang w:val="fr-FR" w:eastAsia="fr-FR" w:bidi="fr-FR"/>
    </w:rPr>
  </w:style>
  <w:style w:type="character" w:styleId="CommentReference">
    <w:name w:val="annotation reference"/>
    <w:basedOn w:val="DefaultParagraphFont"/>
    <w:rsid w:val="00F01E9A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1E9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01E9A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F01E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01E9A"/>
    <w:rPr>
      <w:b/>
      <w:bCs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F01E9A"/>
    <w:rPr>
      <w:color w:val="605E5C"/>
      <w:shd w:val="clear" w:color="auto" w:fill="E1DFDD"/>
    </w:rPr>
  </w:style>
  <w:style w:type="paragraph" w:customStyle="1" w:styleId="Datedadoption">
    <w:name w:val="Date d'adoption"/>
    <w:basedOn w:val="Normal"/>
    <w:next w:val="Normal"/>
    <w:rsid w:val="00853C73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3</cp:revision>
  <cp:lastPrinted>2004-11-19T15:42:00Z</cp:lastPrinted>
  <dcterms:created xsi:type="dcterms:W3CDTF">2026-06-16T07:59:00Z</dcterms:created>
  <dcterms:modified xsi:type="dcterms:W3CDTF">2026-09-01T12:55:00Z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P10_TA(2026)0197_</vt:lpwstr>
  </property>
  <property fmtid="{D5CDD505-2E9C-101B-9397-08002B2CF9AE}" pid="4" name="&lt;Type&gt;">
    <vt:lpwstr>RR</vt:lpwstr>
  </property>
</Properties>
</file>