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2CC08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699B" w:rsidP="0010095E" w14:paraId="1E0B4126" w14:textId="77777777">
            <w:pPr>
              <w:pStyle w:val="EPName"/>
            </w:pPr>
            <w:r w:rsidRPr="00AA699B">
              <w:t>Europski parlament</w:t>
            </w:r>
          </w:p>
          <w:p w:rsidR="00751A4A" w:rsidRPr="00AA699B" w:rsidP="005F1B17" w14:paraId="30CF0C7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99B">
              <w:t>2024</w:t>
            </w:r>
            <w:r w:rsidRPr="00AA699B" w:rsidR="00817416">
              <w:t>-202</w:t>
            </w:r>
            <w:r w:rsidRPr="00AA69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699B" w:rsidP="0010095E" w14:paraId="121E443E" w14:textId="77777777">
            <w:pPr>
              <w:pStyle w:val="EPLogo"/>
            </w:pPr>
            <w:r w:rsidRPr="00AA699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699B" w:rsidP="004C5D52" w14:paraId="05E32296" w14:textId="77777777">
      <w:pPr>
        <w:pStyle w:val="LineTop"/>
      </w:pPr>
    </w:p>
    <w:p w:rsidR="00680577" w:rsidRPr="00AA699B" w:rsidP="00680577" w14:paraId="75B28DA9" w14:textId="77777777">
      <w:pPr>
        <w:pStyle w:val="EPBodyTA1"/>
      </w:pPr>
      <w:r w:rsidRPr="00AA699B">
        <w:t>USVOJENI TEKSTOVI</w:t>
      </w:r>
    </w:p>
    <w:p w:rsidR="00D058B8" w:rsidRPr="00AA699B" w:rsidP="00D058B8" w14:paraId="5DF17CEF" w14:textId="77777777">
      <w:pPr>
        <w:pStyle w:val="LineBottom"/>
      </w:pPr>
    </w:p>
    <w:p w:rsidR="00603220" w:rsidRPr="00AA699B" w:rsidP="00603220" w14:paraId="1452D670" w14:textId="7A051A50">
      <w:pPr>
        <w:pStyle w:val="ATHeading1"/>
      </w:pPr>
      <w:bookmarkStart w:id="0" w:name="TANumber"/>
      <w:r w:rsidRPr="00AA699B">
        <w:t>P10_TA(2026)0</w:t>
      </w:r>
      <w:r w:rsidR="009F5E95">
        <w:t>197</w:t>
      </w:r>
      <w:bookmarkEnd w:id="0"/>
    </w:p>
    <w:p w:rsidR="00603220" w:rsidRPr="00AA699B" w:rsidP="00603220" w14:paraId="48F93298" w14:textId="77777777">
      <w:pPr>
        <w:pStyle w:val="ATHeading2"/>
      </w:pPr>
      <w:bookmarkStart w:id="1" w:name="title"/>
      <w:r w:rsidRPr="00AA699B">
        <w:t>Neprimjenjivanje carina na uvoz određene robe</w:t>
      </w:r>
      <w:bookmarkEnd w:id="1"/>
    </w:p>
    <w:p w:rsidR="00603220" w:rsidRPr="00AA699B" w:rsidP="00603220" w14:paraId="1B16DBFF" w14:textId="77777777">
      <w:pPr>
        <w:rPr>
          <w:i/>
          <w:vanish/>
        </w:rPr>
      </w:pPr>
      <w:r>
        <w:rPr>
          <w:i/>
        </w:rPr>
        <w:fldChar w:fldCharType="begin"/>
      </w:r>
      <w:r w:rsidRPr="00AA699B">
        <w:rPr>
          <w:i/>
        </w:rPr>
        <w:instrText xml:space="preserve"> TC"(</w:instrText>
      </w:r>
      <w:bookmarkStart w:id="2" w:name="DocNumber"/>
      <w:r w:rsidRPr="00AA699B">
        <w:rPr>
          <w:i/>
        </w:rPr>
        <w:instrText>A10-0070/2026</w:instrText>
      </w:r>
      <w:bookmarkEnd w:id="2"/>
      <w:r w:rsidRPr="00AA699B">
        <w:rPr>
          <w:i/>
        </w:rPr>
        <w:instrText xml:space="preserve"> - Izvjestitelj: Bernd Lange)"\l3 \n&gt; \* MERGEFORMAT </w:instrText>
      </w:r>
      <w:r>
        <w:rPr>
          <w:i/>
        </w:rPr>
        <w:fldChar w:fldCharType="end"/>
      </w:r>
    </w:p>
    <w:p w:rsidR="00603220" w:rsidRPr="00AA699B" w:rsidP="00603220" w14:paraId="570272E4" w14:textId="77777777">
      <w:pPr>
        <w:rPr>
          <w:vanish/>
        </w:rPr>
      </w:pPr>
      <w:bookmarkStart w:id="3" w:name="Commission"/>
      <w:r w:rsidRPr="00AA699B">
        <w:rPr>
          <w:vanish/>
        </w:rPr>
        <w:t>Odbor za međunarodnu trgovinu</w:t>
      </w:r>
      <w:bookmarkEnd w:id="3"/>
    </w:p>
    <w:p w:rsidR="00603220" w:rsidRPr="00AA699B" w:rsidP="00603220" w14:paraId="13FE89F2" w14:textId="77777777">
      <w:pPr>
        <w:rPr>
          <w:vanish/>
        </w:rPr>
      </w:pPr>
      <w:bookmarkStart w:id="4" w:name="PE"/>
      <w:r w:rsidRPr="00AA699B">
        <w:rPr>
          <w:vanish/>
        </w:rPr>
        <w:t>PE779.298</w:t>
      </w:r>
      <w:bookmarkEnd w:id="4"/>
    </w:p>
    <w:p w:rsidR="00603220" w:rsidRPr="00AA699B" w:rsidP="00603220" w14:paraId="26FEB8B8" w14:textId="508B09A2">
      <w:pPr>
        <w:pStyle w:val="ATHeading3"/>
      </w:pPr>
      <w:bookmarkStart w:id="5" w:name="Sujet"/>
      <w:r w:rsidRPr="00AA699B">
        <w:t xml:space="preserve">Zakonodavna rezolucija Europskog parlamenta od </w:t>
      </w:r>
      <w:r w:rsidR="004F5D1C">
        <w:t>1</w:t>
      </w:r>
      <w:r w:rsidR="00AA699B">
        <w:t>6</w:t>
      </w:r>
      <w:r w:rsidRPr="00AA699B">
        <w:t xml:space="preserve">. </w:t>
      </w:r>
      <w:r w:rsidR="004F5D1C">
        <w:t>lipnja</w:t>
      </w:r>
      <w:r w:rsidR="00AA699B">
        <w:t xml:space="preserve"> </w:t>
      </w:r>
      <w:r w:rsidRPr="00AA699B">
        <w:t>2026. o Prijedlogu uredbe Europskog parlamenta i Vijeća o neprimjenjivanju carina na uvoz određene robe</w:t>
      </w:r>
      <w:bookmarkEnd w:id="5"/>
      <w:r w:rsidRPr="00AA699B">
        <w:t xml:space="preserve"> </w:t>
      </w:r>
      <w:bookmarkStart w:id="6" w:name="References"/>
      <w:r w:rsidRPr="00AA699B">
        <w:t>(COM(2025)0472 – C10-0192/2025 – 2025/0260(COD))</w:t>
      </w:r>
      <w:bookmarkEnd w:id="6"/>
    </w:p>
    <w:p w:rsidR="004C4E05" w:rsidRPr="00AA699B" w:rsidP="004C4E05" w14:paraId="26F49AC3" w14:textId="77777777">
      <w:pPr>
        <w:pStyle w:val="NormalBold"/>
      </w:pPr>
      <w:r w:rsidRPr="00AA699B">
        <w:t>(Redovni zakonodavni postupak: prvo čitanje)</w:t>
      </w:r>
    </w:p>
    <w:p w:rsidR="004C4E05" w:rsidRPr="00AA699B" w:rsidP="004C4E05" w14:paraId="10E1EE21" w14:textId="77777777">
      <w:pPr>
        <w:pStyle w:val="EPComma"/>
      </w:pPr>
      <w:r w:rsidRPr="00AA699B">
        <w:rPr>
          <w:i/>
        </w:rPr>
        <w:t>Europski parlament</w:t>
      </w:r>
      <w:r w:rsidRPr="00AA699B">
        <w:t>,</w:t>
      </w:r>
    </w:p>
    <w:p w:rsidR="004C4E05" w:rsidRPr="00AA699B" w:rsidP="004C4E05" w14:paraId="46791FCF" w14:textId="77777777">
      <w:pPr>
        <w:pStyle w:val="NormalHanging12a"/>
      </w:pPr>
      <w:r w:rsidRPr="00AA699B">
        <w:t>–</w:t>
      </w:r>
      <w:r w:rsidRPr="00AA699B">
        <w:tab/>
        <w:t>uzimajući u obzir Prijedlog Komisije upućen Europskom parlamentu i Vijeću (COM(2025)0472),</w:t>
      </w:r>
    </w:p>
    <w:p w:rsidR="004C4E05" w:rsidRPr="00AA699B" w:rsidP="004C4E05" w14:paraId="2FC62E67" w14:textId="77777777">
      <w:pPr>
        <w:pStyle w:val="NormalHanging12a"/>
      </w:pPr>
      <w:r w:rsidRPr="00AA699B">
        <w:t>–</w:t>
      </w:r>
      <w:r w:rsidRPr="00AA699B">
        <w:tab/>
        <w:t>uzimajući u obzir članak 294. stavak 2. i članak 207. stavak 2. Ugovora o funkcioniranju Europske unije, u skladu s kojima je Komisija podnijela Prijedlog Parlamentu (C10</w:t>
      </w:r>
      <w:r w:rsidRPr="00AA699B">
        <w:noBreakHyphen/>
        <w:t>0192/2025),</w:t>
      </w:r>
    </w:p>
    <w:p w:rsidR="004C4E05" w:rsidRPr="00AA699B" w:rsidP="004C4E05" w14:paraId="60EEF5F7" w14:textId="77777777">
      <w:pPr>
        <w:pStyle w:val="NormalHanging12a"/>
      </w:pPr>
      <w:r w:rsidRPr="00AA699B">
        <w:t>–</w:t>
      </w:r>
      <w:r w:rsidRPr="00AA699B">
        <w:tab/>
        <w:t>uzimajući u obzir članak 294. stavak 3. Ugovora o funkcioniranju Europske unije,</w:t>
      </w:r>
    </w:p>
    <w:p w:rsidR="004C4E05" w:rsidP="004C4E05" w14:paraId="4A5EE8AF" w14:textId="77777777">
      <w:pPr>
        <w:pStyle w:val="NormalHanging12a"/>
      </w:pPr>
      <w:r w:rsidRPr="00AA699B">
        <w:t>–</w:t>
      </w:r>
      <w:r w:rsidRPr="00AA699B">
        <w:tab/>
        <w:t>uzimajući u obzir proračunsku procjenu koju je donio Odbor za proračune,</w:t>
      </w:r>
    </w:p>
    <w:p w:rsidR="00A776BE" w:rsidRPr="00AA699B" w:rsidP="004C4E05" w14:paraId="315A7EBF" w14:textId="66152AB3">
      <w:pPr>
        <w:pStyle w:val="NormalHanging12a"/>
      </w:pPr>
      <w:r w:rsidRPr="00B54080">
        <w:t>–</w:t>
      </w:r>
      <w:r w:rsidRPr="00B54080">
        <w:tab/>
      </w:r>
      <w:r w:rsidRPr="00226049">
        <w:t>uzimajući u obzir privremeni sporazum koji je odobrio nadležni odbor u skladu s člankom 7</w:t>
      </w:r>
      <w:r>
        <w:t>5</w:t>
      </w:r>
      <w:r w:rsidRPr="00226049">
        <w:t xml:space="preserve">. stavkom 4. Poslovnika te činjenicu da se predstavnik Vijeća pismom od </w:t>
      </w:r>
      <w:r>
        <w:t>27</w:t>
      </w:r>
      <w:r w:rsidRPr="00226049">
        <w:t xml:space="preserve">. </w:t>
      </w:r>
      <w:r>
        <w:t>svibnja</w:t>
      </w:r>
      <w:r w:rsidRPr="00226049">
        <w:t xml:space="preserve"> 202</w:t>
      </w:r>
      <w:r>
        <w:t>6</w:t>
      </w:r>
      <w:r w:rsidRPr="00226049">
        <w:t>. obvezao prihvatiti stajalište Europskog parlamenta u skladu s člankom 294. stavkom 4. Ugovora o funkcioniranju Europske unije,</w:t>
      </w:r>
    </w:p>
    <w:p w:rsidR="004C4E05" w:rsidRPr="00AA699B" w:rsidP="004C4E05" w14:paraId="36116741" w14:textId="4448499A">
      <w:pPr>
        <w:pStyle w:val="NormalHanging12a"/>
      </w:pPr>
      <w:r w:rsidRPr="00AA699B">
        <w:t>–</w:t>
      </w:r>
      <w:r w:rsidRPr="00AA699B">
        <w:tab/>
        <w:t>uzimajući u obzir član</w:t>
      </w:r>
      <w:r w:rsidR="00A776BE">
        <w:t>ke</w:t>
      </w:r>
      <w:r w:rsidRPr="00AA699B">
        <w:t xml:space="preserve"> 60. </w:t>
      </w:r>
      <w:r w:rsidR="00A776BE">
        <w:t xml:space="preserve">i 58. </w:t>
      </w:r>
      <w:r w:rsidRPr="00AA699B">
        <w:t>Poslovnika,</w:t>
      </w:r>
    </w:p>
    <w:p w:rsidR="004C4E05" w:rsidRPr="00AA699B" w:rsidP="004C4E05" w14:paraId="54B2EEBF" w14:textId="77777777">
      <w:pPr>
        <w:pStyle w:val="NormalHanging12a"/>
      </w:pPr>
      <w:r w:rsidRPr="00AA699B">
        <w:t>–</w:t>
      </w:r>
      <w:r w:rsidRPr="00AA699B">
        <w:tab/>
        <w:t>uzimajući u obzir izvješće Odbora za međunarodnu trgovinu (A10</w:t>
      </w:r>
      <w:r w:rsidRPr="00AA699B">
        <w:noBreakHyphen/>
        <w:t>0070/2026),</w:t>
      </w:r>
    </w:p>
    <w:p w:rsidR="004C4E05" w:rsidRPr="00AA699B" w:rsidP="004C4E05" w14:paraId="6F7DEFD3" w14:textId="024B0C76">
      <w:pPr>
        <w:pStyle w:val="NormalHanging12a"/>
      </w:pPr>
      <w:r w:rsidRPr="00AA699B">
        <w:t>1.</w:t>
      </w:r>
      <w:r w:rsidRPr="00AA699B">
        <w:tab/>
        <w:t>usvaja niže navedeno stajalište u prvom čitanju</w:t>
      </w:r>
      <w:r>
        <w:rPr>
          <w:rStyle w:val="FootnoteReference"/>
        </w:rPr>
        <w:footnoteReference w:id="2"/>
      </w:r>
      <w:r w:rsidRPr="00AA699B">
        <w:t>;</w:t>
      </w:r>
    </w:p>
    <w:p w:rsidR="004C4E05" w:rsidRPr="00AA699B" w:rsidP="004C4E05" w14:paraId="4D6654B5" w14:textId="77777777">
      <w:pPr>
        <w:pStyle w:val="NormalHanging12a"/>
      </w:pPr>
      <w:r w:rsidRPr="00AA699B">
        <w:t>2.</w:t>
      </w:r>
      <w:r w:rsidRPr="00AA699B">
        <w:tab/>
        <w:t>poziva Komisiju da predmet ponovno uputi Parlamentu ako zamijeni, bitno izmijeni ili namjerava bitno izmijeniti svoj Prijedlog;</w:t>
      </w:r>
    </w:p>
    <w:p w:rsidR="004C4E05" w:rsidRPr="00AA699B" w:rsidP="004C4E05" w14:paraId="69CC82B0" w14:textId="77777777">
      <w:pPr>
        <w:pStyle w:val="NormalHanging12a"/>
      </w:pPr>
      <w:r w:rsidRPr="00AA699B">
        <w:t>3.</w:t>
      </w:r>
      <w:r w:rsidRPr="00AA699B">
        <w:tab/>
        <w:t xml:space="preserve">nalaže svojoj predsjednici da stajalište Parlamenta proslijedi Vijeću, Komisiji i </w:t>
      </w:r>
      <w:r w:rsidRPr="00AA699B">
        <w:t>nacionalnim parlamentima.</w:t>
      </w:r>
    </w:p>
    <w:p w:rsidR="00A776BE" w:rsidP="004C4E05" w14:paraId="68E8CAB9" w14:textId="77777777">
      <w:pPr>
        <w:sectPr w:rsidSect="001F3AE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776BE" w:rsidRPr="00BC59D0" w:rsidP="00A776BE" w14:paraId="6D11AC66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C59D0">
        <w:rPr>
          <w:rFonts w:eastAsia="Calibri"/>
          <w:b/>
          <w:bCs/>
          <w:color w:val="000000"/>
          <w:szCs w:val="24"/>
        </w:rPr>
        <w:t>P10_TC1-COD(2025)0260</w:t>
      </w:r>
    </w:p>
    <w:p w:rsidR="00A776BE" w:rsidP="00A776BE" w14:paraId="6575ED33" w14:textId="77777777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99173C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16</w:t>
      </w:r>
      <w:r w:rsidRPr="0099173C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lipnja </w:t>
      </w:r>
      <w:r w:rsidRPr="0099173C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99173C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>/</w:t>
      </w:r>
      <w:r w:rsidRPr="006C7FB7">
        <w:rPr>
          <w:rFonts w:eastAsia="Calibri"/>
          <w:b/>
          <w:bCs/>
          <w:szCs w:val="24"/>
        </w:rPr>
        <w:t>…</w:t>
      </w:r>
      <w:r w:rsidRPr="0099173C">
        <w:rPr>
          <w:rFonts w:eastAsia="Calibri"/>
          <w:b/>
          <w:szCs w:val="24"/>
          <w:lang w:eastAsia="en-US"/>
        </w:rPr>
        <w:t xml:space="preserve"> Europskog parlamenta i Vijeća </w:t>
      </w:r>
      <w:r w:rsidRPr="004E03D6">
        <w:rPr>
          <w:b/>
          <w:szCs w:val="24"/>
          <w:lang w:eastAsia="en-US"/>
        </w:rPr>
        <w:t xml:space="preserve">o </w:t>
      </w:r>
      <w:r w:rsidRPr="00A776BE">
        <w:rPr>
          <w:rFonts w:eastAsia="Calibri"/>
          <w:b/>
          <w:szCs w:val="22"/>
          <w:lang w:eastAsia="en-US"/>
        </w:rPr>
        <w:t>neprimjenjivanju carina na uvoz određene robe</w:t>
      </w:r>
    </w:p>
    <w:p w:rsidR="001F7497" w:rsidRPr="00A776BE" w:rsidP="00A776BE" w14:paraId="737936EA" w14:textId="51F20DE9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364AA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1F7497">
        <w:rPr>
          <w:rFonts w:eastAsia="Calibri"/>
          <w:i/>
          <w:szCs w:val="24"/>
          <w:lang w:eastAsia="en-US"/>
        </w:rPr>
        <w:t>(EU) 2026/1461</w:t>
      </w:r>
      <w:r>
        <w:rPr>
          <w:rFonts w:eastAsia="Calibri"/>
          <w:i/>
          <w:szCs w:val="24"/>
          <w:lang w:eastAsia="en-US"/>
        </w:rPr>
        <w:t>.</w:t>
      </w:r>
      <w:r w:rsidRPr="001F7497">
        <w:rPr>
          <w:rFonts w:eastAsia="Calibri"/>
          <w:i/>
          <w:szCs w:val="24"/>
          <w:lang w:eastAsia="en-US"/>
        </w:rPr>
        <w:t>)</w:t>
      </w:r>
    </w:p>
    <w:sectPr w:rsidSect="001F7497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03220" w:rsidRPr="001F3AE6" w14:paraId="7C149346" w14:textId="77777777">
      <w:r w:rsidRPr="001F3AE6">
        <w:separator/>
      </w:r>
    </w:p>
  </w:footnote>
  <w:footnote w:type="continuationSeparator" w:id="1">
    <w:p w:rsidR="00603220" w:rsidRPr="001F3AE6" w14:paraId="3990A519" w14:textId="77777777">
      <w:r w:rsidRPr="001F3AE6">
        <w:continuationSeparator/>
      </w:r>
    </w:p>
  </w:footnote>
  <w:footnote w:id="2">
    <w:p w:rsidR="00A776BE" w:rsidRPr="009F5E95" w14:paraId="1429CAEF" w14:textId="790BE69B">
      <w:pPr>
        <w:pStyle w:val="FootnoteText"/>
        <w:rPr>
          <w:sz w:val="24"/>
          <w:szCs w:val="24"/>
          <w:lang w:val="hr-HR"/>
        </w:rPr>
      </w:pPr>
      <w:r w:rsidRPr="009F5E95">
        <w:rPr>
          <w:rStyle w:val="FootnoteReference"/>
          <w:sz w:val="24"/>
          <w:szCs w:val="24"/>
        </w:rPr>
        <w:footnoteRef/>
      </w:r>
      <w:r w:rsidRPr="009F5E95">
        <w:rPr>
          <w:sz w:val="24"/>
          <w:szCs w:val="24"/>
          <w:lang w:val="hr-HR"/>
        </w:rPr>
        <w:tab/>
      </w:r>
      <w:r w:rsidRPr="00A776BE">
        <w:rPr>
          <w:sz w:val="24"/>
          <w:szCs w:val="24"/>
          <w:lang w:val="hr-HR"/>
        </w:rPr>
        <w:t>Ovo stajalište zamjenjuje amandmane usvojene na sjednici 26. ožujka 2026. (Usvojeni tekstovi, P10_TA(2026)009</w:t>
      </w:r>
      <w:r>
        <w:rPr>
          <w:sz w:val="24"/>
          <w:szCs w:val="24"/>
          <w:lang w:val="hr-HR"/>
        </w:rPr>
        <w:t>7</w:t>
      </w:r>
      <w:r w:rsidRPr="00A776BE">
        <w:rPr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1874650">
    <w:abstractNumId w:val="9"/>
  </w:num>
  <w:num w:numId="2" w16cid:durableId="320277227">
    <w:abstractNumId w:val="9"/>
  </w:num>
  <w:num w:numId="3" w16cid:durableId="1822965805">
    <w:abstractNumId w:val="7"/>
  </w:num>
  <w:num w:numId="4" w16cid:durableId="1352800450">
    <w:abstractNumId w:val="7"/>
  </w:num>
  <w:num w:numId="5" w16cid:durableId="778528340">
    <w:abstractNumId w:val="6"/>
  </w:num>
  <w:num w:numId="6" w16cid:durableId="462965640">
    <w:abstractNumId w:val="6"/>
  </w:num>
  <w:num w:numId="7" w16cid:durableId="925069788">
    <w:abstractNumId w:val="5"/>
  </w:num>
  <w:num w:numId="8" w16cid:durableId="1818065437">
    <w:abstractNumId w:val="5"/>
  </w:num>
  <w:num w:numId="9" w16cid:durableId="863976857">
    <w:abstractNumId w:val="4"/>
  </w:num>
  <w:num w:numId="10" w16cid:durableId="1097209331">
    <w:abstractNumId w:val="4"/>
  </w:num>
  <w:num w:numId="11" w16cid:durableId="890847847">
    <w:abstractNumId w:val="8"/>
  </w:num>
  <w:num w:numId="12" w16cid:durableId="895969240">
    <w:abstractNumId w:val="8"/>
  </w:num>
  <w:num w:numId="13" w16cid:durableId="210307688">
    <w:abstractNumId w:val="3"/>
  </w:num>
  <w:num w:numId="14" w16cid:durableId="1675263251">
    <w:abstractNumId w:val="3"/>
  </w:num>
  <w:num w:numId="15" w16cid:durableId="946279420">
    <w:abstractNumId w:val="2"/>
  </w:num>
  <w:num w:numId="16" w16cid:durableId="293413820">
    <w:abstractNumId w:val="2"/>
  </w:num>
  <w:num w:numId="17" w16cid:durableId="861356417">
    <w:abstractNumId w:val="1"/>
  </w:num>
  <w:num w:numId="18" w16cid:durableId="327708713">
    <w:abstractNumId w:val="1"/>
  </w:num>
  <w:num w:numId="19" w16cid:durableId="1784575156">
    <w:abstractNumId w:val="0"/>
  </w:num>
  <w:num w:numId="20" w16cid:durableId="1592737772">
    <w:abstractNumId w:val="0"/>
  </w:num>
  <w:num w:numId="21" w16cid:durableId="1076365268">
    <w:abstractNumId w:val="9"/>
  </w:num>
  <w:num w:numId="22" w16cid:durableId="45566866">
    <w:abstractNumId w:val="7"/>
  </w:num>
  <w:num w:numId="23" w16cid:durableId="948506338">
    <w:abstractNumId w:val="6"/>
  </w:num>
  <w:num w:numId="24" w16cid:durableId="872574109">
    <w:abstractNumId w:val="5"/>
  </w:num>
  <w:num w:numId="25" w16cid:durableId="1134828694">
    <w:abstractNumId w:val="4"/>
  </w:num>
  <w:num w:numId="26" w16cid:durableId="1008676757">
    <w:abstractNumId w:val="8"/>
  </w:num>
  <w:num w:numId="27" w16cid:durableId="394548190">
    <w:abstractNumId w:val="3"/>
  </w:num>
  <w:num w:numId="28" w16cid:durableId="1742021471">
    <w:abstractNumId w:val="2"/>
  </w:num>
  <w:num w:numId="29" w16cid:durableId="566035428">
    <w:abstractNumId w:val="1"/>
  </w:num>
  <w:num w:numId="30" w16cid:durableId="1031034663">
    <w:abstractNumId w:val="0"/>
  </w:num>
  <w:num w:numId="31" w16cid:durableId="2028436497">
    <w:abstractNumId w:val="9"/>
  </w:num>
  <w:num w:numId="32" w16cid:durableId="1533609015">
    <w:abstractNumId w:val="7"/>
  </w:num>
  <w:num w:numId="33" w16cid:durableId="1587693813">
    <w:abstractNumId w:val="6"/>
  </w:num>
  <w:num w:numId="34" w16cid:durableId="70742154">
    <w:abstractNumId w:val="5"/>
  </w:num>
  <w:num w:numId="35" w16cid:durableId="1929847927">
    <w:abstractNumId w:val="4"/>
  </w:num>
  <w:num w:numId="36" w16cid:durableId="336733836">
    <w:abstractNumId w:val="8"/>
  </w:num>
  <w:num w:numId="37" w16cid:durableId="1096361579">
    <w:abstractNumId w:val="3"/>
  </w:num>
  <w:num w:numId="38" w16cid:durableId="635839362">
    <w:abstractNumId w:val="2"/>
  </w:num>
  <w:num w:numId="39" w16cid:durableId="796872931">
    <w:abstractNumId w:val="1"/>
  </w:num>
  <w:num w:numId="40" w16cid:durableId="2025740297">
    <w:abstractNumId w:val="0"/>
  </w:num>
  <w:num w:numId="41" w16cid:durableId="38555095">
    <w:abstractNumId w:val="10"/>
  </w:num>
  <w:num w:numId="42" w16cid:durableId="1107697255">
    <w:abstractNumId w:val="10"/>
  </w:num>
  <w:num w:numId="43" w16cid:durableId="327174995">
    <w:abstractNumId w:val="10"/>
  </w:num>
  <w:num w:numId="44" w16cid:durableId="1530755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20"/>
    <w:rsid w:val="00002272"/>
    <w:rsid w:val="00007EE5"/>
    <w:rsid w:val="00056397"/>
    <w:rsid w:val="00064002"/>
    <w:rsid w:val="000677B9"/>
    <w:rsid w:val="000831BA"/>
    <w:rsid w:val="000A42CC"/>
    <w:rsid w:val="000E7DD9"/>
    <w:rsid w:val="0010095E"/>
    <w:rsid w:val="00125B37"/>
    <w:rsid w:val="001414ED"/>
    <w:rsid w:val="0016096D"/>
    <w:rsid w:val="00187494"/>
    <w:rsid w:val="001F32AE"/>
    <w:rsid w:val="001F3AE6"/>
    <w:rsid w:val="001F7497"/>
    <w:rsid w:val="00226049"/>
    <w:rsid w:val="00237474"/>
    <w:rsid w:val="002767FF"/>
    <w:rsid w:val="002B18FE"/>
    <w:rsid w:val="002B5493"/>
    <w:rsid w:val="00343214"/>
    <w:rsid w:val="00361C00"/>
    <w:rsid w:val="00364AA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E05"/>
    <w:rsid w:val="004C5D52"/>
    <w:rsid w:val="004E03D6"/>
    <w:rsid w:val="004F5D1C"/>
    <w:rsid w:val="0050519A"/>
    <w:rsid w:val="005072A1"/>
    <w:rsid w:val="00511B45"/>
    <w:rsid w:val="00514517"/>
    <w:rsid w:val="00545827"/>
    <w:rsid w:val="00560270"/>
    <w:rsid w:val="005C2568"/>
    <w:rsid w:val="005F1B17"/>
    <w:rsid w:val="00603220"/>
    <w:rsid w:val="006037C0"/>
    <w:rsid w:val="006631B6"/>
    <w:rsid w:val="00680577"/>
    <w:rsid w:val="006C7F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73C"/>
    <w:rsid w:val="009F5E95"/>
    <w:rsid w:val="00A1687D"/>
    <w:rsid w:val="00A43E52"/>
    <w:rsid w:val="00A4678D"/>
    <w:rsid w:val="00A776BE"/>
    <w:rsid w:val="00A778C7"/>
    <w:rsid w:val="00AA699B"/>
    <w:rsid w:val="00AB441E"/>
    <w:rsid w:val="00AB6293"/>
    <w:rsid w:val="00AE0928"/>
    <w:rsid w:val="00AF3B82"/>
    <w:rsid w:val="00B12E95"/>
    <w:rsid w:val="00B22876"/>
    <w:rsid w:val="00B54080"/>
    <w:rsid w:val="00B558F0"/>
    <w:rsid w:val="00BC59D0"/>
    <w:rsid w:val="00BD48FE"/>
    <w:rsid w:val="00BD7BD8"/>
    <w:rsid w:val="00BE6ADC"/>
    <w:rsid w:val="00C05BFE"/>
    <w:rsid w:val="00C23CD4"/>
    <w:rsid w:val="00C61C0C"/>
    <w:rsid w:val="00C62615"/>
    <w:rsid w:val="00C941CB"/>
    <w:rsid w:val="00CB221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7B7"/>
    <w:rsid w:val="00E820A4"/>
    <w:rsid w:val="00EB006A"/>
    <w:rsid w:val="00EB4772"/>
    <w:rsid w:val="00ED169E"/>
    <w:rsid w:val="00ED4235"/>
    <w:rsid w:val="00F04346"/>
    <w:rsid w:val="00F075DC"/>
    <w:rsid w:val="00F149E9"/>
    <w:rsid w:val="00F40398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HR"/>
    <w:docVar w:name="dvnumam" w:val="17"/>
    <w:docVar w:name="dvpe" w:val="779.298"/>
    <w:docVar w:name="dvrapporteur" w:val="Izvjestitelj: "/>
    <w:docVar w:name="dvstar" w:val="***I"/>
    <w:docVar w:name="dvtitre" w:val="Zakonodavna rezolucija Europskog parlamenta od .... 2026. o Prijedlogu uredbe Europskog parlamenta i Vijeća o neprimjenjivanju carina na uvoz određene robe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4E8E04"/>
  <w15:chartTrackingRefBased/>
  <w15:docId w15:val="{1F2DD42D-967E-41C2-879D-4453CFFD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C4E05"/>
    <w:pPr>
      <w:spacing w:after="120"/>
    </w:pPr>
  </w:style>
  <w:style w:type="paragraph" w:customStyle="1" w:styleId="NormalBold">
    <w:name w:val="NormalBold"/>
    <w:basedOn w:val="Normal"/>
    <w:link w:val="NormalBoldChar"/>
    <w:rsid w:val="004C4E05"/>
    <w:rPr>
      <w:b/>
    </w:rPr>
  </w:style>
  <w:style w:type="paragraph" w:customStyle="1" w:styleId="NormalHanging12a">
    <w:name w:val="NormalHanging12a"/>
    <w:basedOn w:val="Normal"/>
    <w:rsid w:val="004C4E0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C4E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4E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4E05"/>
    <w:pPr>
      <w:spacing w:before="240"/>
    </w:pPr>
    <w:rPr>
      <w:b/>
    </w:rPr>
  </w:style>
  <w:style w:type="paragraph" w:customStyle="1" w:styleId="EPComma">
    <w:name w:val="EPComma"/>
    <w:basedOn w:val="Normal"/>
    <w:rsid w:val="004C4E05"/>
    <w:pPr>
      <w:spacing w:before="480" w:after="240"/>
    </w:pPr>
  </w:style>
  <w:style w:type="character" w:customStyle="1" w:styleId="NormalBoldChar">
    <w:name w:val="NormalBold Char"/>
    <w:link w:val="NormalBold"/>
    <w:locked/>
    <w:rsid w:val="004C4E05"/>
    <w:rPr>
      <w:b/>
      <w:sz w:val="24"/>
      <w:lang w:val="hr-HR"/>
    </w:rPr>
  </w:style>
  <w:style w:type="character" w:customStyle="1" w:styleId="Normal6Char">
    <w:name w:val="Normal6 Char"/>
    <w:link w:val="Normal6"/>
    <w:locked/>
    <w:rsid w:val="004C4E05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4C4E05"/>
    <w:pPr>
      <w:spacing w:after="120"/>
    </w:pPr>
  </w:style>
  <w:style w:type="paragraph" w:customStyle="1" w:styleId="ColumnHeading">
    <w:name w:val="ColumnHeading"/>
    <w:basedOn w:val="Normal"/>
    <w:rsid w:val="004C4E0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4C4E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6096D"/>
    <w:rPr>
      <w:sz w:val="24"/>
      <w:lang w:val="hr-HR"/>
    </w:rPr>
  </w:style>
  <w:style w:type="paragraph" w:customStyle="1" w:styleId="EPFooter2">
    <w:name w:val="EPFooter2"/>
    <w:basedOn w:val="Normal"/>
    <w:next w:val="Normal"/>
    <w:rsid w:val="00A776B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A776B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A776B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6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A776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76BE"/>
    <w:rPr>
      <w:sz w:val="24"/>
      <w:lang w:val="hr-HR"/>
    </w:rPr>
  </w:style>
  <w:style w:type="paragraph" w:styleId="Footer">
    <w:name w:val="footer"/>
    <w:basedOn w:val="Normal"/>
    <w:link w:val="FooterChar"/>
    <w:rsid w:val="00A776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776B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2026-08-31T15:01:00Z</dcterms:created>
  <dcterms:modified xsi:type="dcterms:W3CDTF">2026-08-31T15:01:00Z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