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77A5A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775B" w:rsidP="0010095E" w14:paraId="705E8374" w14:textId="77777777">
            <w:pPr>
              <w:pStyle w:val="EPName"/>
            </w:pPr>
            <w:r w:rsidRPr="0078775B">
              <w:t>Európai Parlament</w:t>
            </w:r>
          </w:p>
          <w:p w:rsidR="00751A4A" w:rsidRPr="0078775B" w:rsidP="005F1B17" w14:paraId="74E5E01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775B">
              <w:t>2024</w:t>
            </w:r>
            <w:r w:rsidRPr="0078775B" w:rsidR="00817416">
              <w:t>-202</w:t>
            </w:r>
            <w:r w:rsidRPr="007877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8775B" w:rsidP="0010095E" w14:paraId="31D2C260" w14:textId="77777777">
            <w:pPr>
              <w:pStyle w:val="EPLogo"/>
            </w:pPr>
            <w:r w:rsidRPr="0078775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775B" w:rsidP="004C5D52" w14:paraId="7219F9A3" w14:textId="77777777">
      <w:pPr>
        <w:pStyle w:val="LineTop"/>
      </w:pPr>
    </w:p>
    <w:p w:rsidR="00680577" w:rsidRPr="0078775B" w:rsidP="00680577" w14:paraId="698ACEA2" w14:textId="77777777">
      <w:pPr>
        <w:pStyle w:val="EPBodyTA1"/>
      </w:pPr>
      <w:r w:rsidRPr="0078775B">
        <w:t>ELFOGADOTT SZÖVEGEK</w:t>
      </w:r>
    </w:p>
    <w:p w:rsidR="00D058B8" w:rsidRPr="0078775B" w:rsidP="00D058B8" w14:paraId="0D2616C3" w14:textId="77777777">
      <w:pPr>
        <w:pStyle w:val="LineBottom"/>
      </w:pPr>
    </w:p>
    <w:p w:rsidR="00953198" w:rsidRPr="0078775B" w:rsidP="00953198" w14:paraId="0943FEA0" w14:textId="56541918">
      <w:pPr>
        <w:pStyle w:val="ATHeading1"/>
      </w:pPr>
      <w:bookmarkStart w:id="0" w:name="TANumber"/>
      <w:r w:rsidRPr="0078775B">
        <w:t>P10_</w:t>
      </w:r>
      <w:r w:rsidRPr="0078775B">
        <w:t>TA(</w:t>
      </w:r>
      <w:r w:rsidRPr="0078775B">
        <w:t>2026)0</w:t>
      </w:r>
      <w:r w:rsidRPr="0078775B" w:rsidR="0078775B">
        <w:t>197</w:t>
      </w:r>
      <w:bookmarkEnd w:id="0"/>
    </w:p>
    <w:p w:rsidR="00953198" w:rsidRPr="0078775B" w:rsidP="00953198" w14:paraId="108BF40E" w14:textId="28A43CAA">
      <w:pPr>
        <w:pStyle w:val="ATHeading2"/>
      </w:pPr>
      <w:bookmarkStart w:id="1" w:name="title"/>
      <w:r w:rsidRPr="0078775B">
        <w:t>Az e</w:t>
      </w:r>
      <w:r w:rsidRPr="0078775B">
        <w:t>gyes áruk behozatalá</w:t>
      </w:r>
      <w:r w:rsidRPr="0078775B" w:rsidR="00F02A85">
        <w:t>ra</w:t>
      </w:r>
      <w:r w:rsidRPr="0078775B">
        <w:t xml:space="preserve"> </w:t>
      </w:r>
      <w:r w:rsidRPr="0078775B" w:rsidR="00F02A85">
        <w:t>vonatkozó</w:t>
      </w:r>
      <w:r w:rsidRPr="0078775B">
        <w:t xml:space="preserve"> vámok alkalmazásá</w:t>
      </w:r>
      <w:r w:rsidRPr="0078775B" w:rsidR="00A10E85">
        <w:t>nak mellőzése</w:t>
      </w:r>
      <w:bookmarkEnd w:id="1"/>
    </w:p>
    <w:p w:rsidR="00953198" w:rsidRPr="0078775B" w:rsidP="00953198" w14:paraId="641E6BD7" w14:textId="77777777">
      <w:pPr>
        <w:rPr>
          <w:i/>
          <w:vanish/>
        </w:rPr>
      </w:pPr>
      <w:r>
        <w:rPr>
          <w:i/>
        </w:rPr>
        <w:fldChar w:fldCharType="begin"/>
      </w:r>
      <w:r w:rsidRPr="0078775B">
        <w:rPr>
          <w:i/>
        </w:rPr>
        <w:instrText xml:space="preserve"> TC"(</w:instrText>
      </w:r>
      <w:bookmarkStart w:id="2" w:name="DocNumber"/>
      <w:r w:rsidRPr="0078775B">
        <w:rPr>
          <w:i/>
        </w:rPr>
        <w:instrText>A10-0070/2026</w:instrText>
      </w:r>
      <w:bookmarkEnd w:id="2"/>
      <w:r w:rsidRPr="0078775B">
        <w:rPr>
          <w:i/>
        </w:rPr>
        <w:instrText xml:space="preserve"> - Előadó: Bernd Lange)"\l3 \n&gt; \* MERGEFORMAT </w:instrText>
      </w:r>
      <w:r>
        <w:rPr>
          <w:i/>
        </w:rPr>
        <w:fldChar w:fldCharType="end"/>
      </w:r>
    </w:p>
    <w:p w:rsidR="00953198" w:rsidRPr="0078775B" w:rsidP="00953198" w14:paraId="7E1BFE21" w14:textId="77777777">
      <w:pPr>
        <w:rPr>
          <w:vanish/>
        </w:rPr>
      </w:pPr>
      <w:bookmarkStart w:id="3" w:name="Commission"/>
      <w:r w:rsidRPr="0078775B">
        <w:rPr>
          <w:vanish/>
        </w:rPr>
        <w:t>Nemzetközi Kereskedelmi Bizottság</w:t>
      </w:r>
      <w:bookmarkEnd w:id="3"/>
    </w:p>
    <w:p w:rsidR="00953198" w:rsidRPr="0078775B" w:rsidP="00953198" w14:paraId="12F12ED4" w14:textId="77777777">
      <w:pPr>
        <w:rPr>
          <w:vanish/>
        </w:rPr>
      </w:pPr>
      <w:bookmarkStart w:id="4" w:name="PE"/>
      <w:r w:rsidRPr="0078775B">
        <w:rPr>
          <w:vanish/>
        </w:rPr>
        <w:t>PE779.298</w:t>
      </w:r>
      <w:bookmarkEnd w:id="4"/>
    </w:p>
    <w:p w:rsidR="00953198" w:rsidRPr="0078775B" w:rsidP="00953198" w14:paraId="499E31CA" w14:textId="380169AD">
      <w:pPr>
        <w:pStyle w:val="ATHeading3"/>
      </w:pPr>
      <w:bookmarkStart w:id="5" w:name="Sujet"/>
      <w:r w:rsidRPr="0078775B">
        <w:t xml:space="preserve">Az Európai Parlament 2026. </w:t>
      </w:r>
      <w:r w:rsidRPr="0078775B" w:rsidR="00B8169C">
        <w:t xml:space="preserve">június </w:t>
      </w:r>
      <w:r w:rsidRPr="0078775B" w:rsidR="00F94750">
        <w:t>16-</w:t>
      </w:r>
      <w:r w:rsidRPr="0078775B">
        <w:t>i jogalkotási állásfoglalása az egyes áruk behozatalára vonatkozó vámok alkalmazásának mellőzéséről szóló európai parlamenti és tanácsi rendeletre irányuló javaslatról</w:t>
      </w:r>
      <w:bookmarkEnd w:id="5"/>
      <w:r w:rsidRPr="0078775B">
        <w:t xml:space="preserve"> </w:t>
      </w:r>
      <w:bookmarkStart w:id="6" w:name="References"/>
      <w:r w:rsidRPr="0078775B">
        <w:t>(</w:t>
      </w:r>
      <w:r w:rsidRPr="0078775B">
        <w:t>COM(</w:t>
      </w:r>
      <w:r w:rsidRPr="0078775B">
        <w:t>2025)0472 – C10-0192/2025 – 2025/0260(COD))</w:t>
      </w:r>
      <w:bookmarkEnd w:id="6"/>
    </w:p>
    <w:p w:rsidR="00546090" w:rsidRPr="0078775B" w:rsidP="00546090" w14:paraId="69210C2C" w14:textId="77777777">
      <w:pPr>
        <w:pStyle w:val="NormalBold"/>
      </w:pPr>
      <w:r w:rsidRPr="0078775B">
        <w:t>(Rendes jogalkotási eljárás: első olvasat)</w:t>
      </w:r>
    </w:p>
    <w:p w:rsidR="00546090" w:rsidRPr="0078775B" w:rsidP="00546090" w14:paraId="33DCDB16" w14:textId="77777777">
      <w:pPr>
        <w:pStyle w:val="EPComma"/>
      </w:pPr>
      <w:r w:rsidRPr="0078775B">
        <w:rPr>
          <w:i/>
        </w:rPr>
        <w:t>Az Európai Parlament</w:t>
      </w:r>
      <w:r w:rsidRPr="0078775B">
        <w:t>,</w:t>
      </w:r>
    </w:p>
    <w:p w:rsidR="00546090" w:rsidRPr="0078775B" w:rsidP="00AE6AF2" w14:paraId="3ACDB26F" w14:textId="77777777">
      <w:pPr>
        <w:pStyle w:val="NormalHanging12a"/>
        <w:widowControl/>
      </w:pPr>
      <w:r w:rsidRPr="0078775B">
        <w:t>–</w:t>
      </w:r>
      <w:r w:rsidRPr="0078775B">
        <w:tab/>
        <w:t>tekintettel a Bizottság Parlamenthez és Tanácshoz intézett javaslatára (</w:t>
      </w:r>
      <w:r w:rsidRPr="0078775B">
        <w:t>COM(</w:t>
      </w:r>
      <w:r w:rsidRPr="0078775B">
        <w:t>2025)0472),</w:t>
      </w:r>
    </w:p>
    <w:p w:rsidR="00546090" w:rsidRPr="0078775B" w:rsidP="00AE6AF2" w14:paraId="00432532" w14:textId="77777777">
      <w:pPr>
        <w:pStyle w:val="NormalHanging12a"/>
        <w:widowControl/>
      </w:pPr>
      <w:r w:rsidRPr="0078775B">
        <w:t>–</w:t>
      </w:r>
      <w:r w:rsidRPr="0078775B">
        <w:tab/>
        <w:t>tekintettel az Európai Unió működéséről szóló szerződés 294. cikkének (2) bekezdésére és 207. cikkének (2) bekezdésére, amelyek alapján a Bizottság javaslatát benyújtotta a Parlamenthez (C10</w:t>
      </w:r>
      <w:r w:rsidRPr="0078775B">
        <w:noBreakHyphen/>
        <w:t>0192/2025),</w:t>
      </w:r>
    </w:p>
    <w:p w:rsidR="00546090" w:rsidRPr="0078775B" w:rsidP="00AE6AF2" w14:paraId="2AF68C9D" w14:textId="77777777">
      <w:pPr>
        <w:pStyle w:val="NormalHanging12a"/>
        <w:widowControl/>
      </w:pPr>
      <w:r w:rsidRPr="0078775B">
        <w:t>–</w:t>
      </w:r>
      <w:r w:rsidRPr="0078775B">
        <w:tab/>
        <w:t>tekintettel az Európai Unió működéséről szóló szerződés 294. cikkének (3) bekezdésére,</w:t>
      </w:r>
    </w:p>
    <w:p w:rsidR="00546090" w:rsidRPr="0078775B" w:rsidP="00AE6AF2" w14:paraId="4F7D2546" w14:textId="77777777">
      <w:pPr>
        <w:pStyle w:val="NormalHanging12a"/>
        <w:widowControl/>
      </w:pPr>
      <w:r w:rsidRPr="0078775B">
        <w:t>–</w:t>
      </w:r>
      <w:r w:rsidRPr="0078775B">
        <w:tab/>
        <w:t>tekintettel a Költségvetési Bizottság költségvetési értékelésére,</w:t>
      </w:r>
    </w:p>
    <w:p w:rsidR="00AE539F" w:rsidRPr="0078775B" w:rsidP="00AE539F" w14:paraId="0FE2466B" w14:textId="77777777">
      <w:pPr>
        <w:pStyle w:val="NormalHanging12a"/>
        <w:widowControl/>
      </w:pPr>
      <w:r w:rsidRPr="0078775B">
        <w:t>–</w:t>
      </w:r>
      <w:r w:rsidRPr="0078775B">
        <w:tab/>
        <w:t>tekintettel az illetékes bizottság által az eljárási szabályzat 75. cikkének (4) bekezdése alapján jóváhagyott ideiglenes megállapodásra és a Tanács képviselőjének 2026. május 27-i írásbeli kötelezettségvállalására, amely szerint egyetért a Parlament álláspontjával, az Európai Unió működéséről szóló szerződés 294. cikkének (4) bekezdésével összhangban,</w:t>
      </w:r>
    </w:p>
    <w:p w:rsidR="00546090" w:rsidRPr="0078775B" w:rsidP="00AE6AF2" w14:paraId="0F0BC62D" w14:textId="59ED5142">
      <w:pPr>
        <w:pStyle w:val="NormalHanging12a"/>
        <w:widowControl/>
      </w:pPr>
      <w:r w:rsidRPr="0078775B">
        <w:t>–</w:t>
      </w:r>
      <w:r w:rsidRPr="0078775B">
        <w:tab/>
        <w:t xml:space="preserve">tekintettel eljárási szabályzata 60. </w:t>
      </w:r>
      <w:r w:rsidRPr="0078775B" w:rsidR="00AE539F">
        <w:t xml:space="preserve">és 58. </w:t>
      </w:r>
      <w:r w:rsidRPr="0078775B">
        <w:t>cikkére,</w:t>
      </w:r>
    </w:p>
    <w:p w:rsidR="00546090" w:rsidRPr="0078775B" w:rsidP="00AE6AF2" w14:paraId="51BE545C" w14:textId="77777777">
      <w:pPr>
        <w:pStyle w:val="NormalHanging12a"/>
        <w:widowControl/>
      </w:pPr>
      <w:r w:rsidRPr="0078775B">
        <w:t>–</w:t>
      </w:r>
      <w:r w:rsidRPr="0078775B">
        <w:tab/>
        <w:t>tekintettel a Nemzetközi Kereskedelmi Bizottság jelentésére (A10-0070/2026),</w:t>
      </w:r>
    </w:p>
    <w:p w:rsidR="00546090" w:rsidRPr="0078775B" w:rsidP="00AE6AF2" w14:paraId="0DB7271D" w14:textId="6E786CB4">
      <w:pPr>
        <w:pStyle w:val="NormalHanging12a"/>
        <w:widowControl/>
      </w:pPr>
      <w:r w:rsidRPr="0078775B">
        <w:t>1.</w:t>
      </w:r>
      <w:r w:rsidRPr="0078775B">
        <w:tab/>
        <w:t>elfogadja első olvasatban az alábbi álláspontot</w:t>
      </w:r>
      <w:r>
        <w:rPr>
          <w:rStyle w:val="FootnoteReference"/>
        </w:rPr>
        <w:footnoteReference w:id="2"/>
      </w:r>
      <w:r w:rsidRPr="0078775B">
        <w:t>;</w:t>
      </w:r>
    </w:p>
    <w:p w:rsidR="00546090" w:rsidRPr="0078775B" w:rsidP="00AE6AF2" w14:paraId="46644745" w14:textId="77777777">
      <w:pPr>
        <w:pStyle w:val="NormalHanging12a"/>
        <w:widowControl/>
      </w:pPr>
      <w:r w:rsidRPr="0078775B">
        <w:t>2.</w:t>
      </w:r>
      <w:r w:rsidRPr="0078775B">
        <w:tab/>
        <w:t>felkéri a Bizottságot, hogy utalja az ügyet újból a Parlamenthez, ha javaslatát másik szöveggel váltja fel, lényegesen módosítja vagy lényegesen módosítani kívánja;</w:t>
      </w:r>
    </w:p>
    <w:p w:rsidR="00546090" w:rsidRPr="0078775B" w:rsidP="00AE6AF2" w14:paraId="100F03B4" w14:textId="77777777">
      <w:pPr>
        <w:pStyle w:val="NormalHanging12a"/>
        <w:widowControl/>
      </w:pPr>
      <w:r w:rsidRPr="0078775B">
        <w:t>3.</w:t>
      </w:r>
      <w:r w:rsidRPr="0078775B">
        <w:tab/>
        <w:t>utasítja elnökét, hogy továbbítsa a Parlament álláspontját a Tanácsnak és a Bizottságnak, valamint a nemzeti parlamenteknek.</w:t>
      </w:r>
    </w:p>
    <w:p w:rsidR="00AE6AF2" w:rsidRPr="0078775B" w:rsidP="00546090" w14:paraId="1FB9024C" w14:textId="77777777">
      <w:pPr>
        <w:widowControl/>
        <w:sectPr w:rsidSect="007200A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C40E3" w:rsidRPr="0078775B" w:rsidP="00DC40E3" w14:paraId="20F646D0" w14:textId="42A0B7E0">
      <w:pPr>
        <w:widowControl/>
        <w:spacing w:after="240"/>
        <w:rPr>
          <w:b/>
          <w:bCs/>
        </w:rPr>
      </w:pPr>
      <w:r w:rsidRPr="0078775B">
        <w:rPr>
          <w:b/>
          <w:bCs/>
        </w:rPr>
        <w:t>P10_TC1-</w:t>
      </w:r>
      <w:r w:rsidRPr="0078775B">
        <w:rPr>
          <w:b/>
          <w:bCs/>
        </w:rPr>
        <w:t>COD(</w:t>
      </w:r>
      <w:r w:rsidRPr="0078775B" w:rsidR="005F34E8">
        <w:rPr>
          <w:b/>
          <w:bCs/>
        </w:rPr>
        <w:t>2025</w:t>
      </w:r>
      <w:r w:rsidRPr="0078775B">
        <w:rPr>
          <w:b/>
          <w:bCs/>
        </w:rPr>
        <w:t>)</w:t>
      </w:r>
      <w:r w:rsidRPr="0078775B" w:rsidR="005F34E8">
        <w:rPr>
          <w:b/>
          <w:bCs/>
        </w:rPr>
        <w:t>0260</w:t>
      </w:r>
    </w:p>
    <w:p w:rsidR="00DC40E3" w:rsidRPr="0078775B" w:rsidP="00DC40E3" w14:paraId="6A376966" w14:textId="64236030">
      <w:pPr>
        <w:pStyle w:val="NormalHanging12a"/>
        <w:widowControl/>
        <w:ind w:left="0" w:firstLine="0"/>
        <w:rPr>
          <w:b/>
        </w:rPr>
      </w:pPr>
      <w:r w:rsidRPr="0078775B">
        <w:rPr>
          <w:b/>
        </w:rPr>
        <w:t xml:space="preserve">Az Európai Parlament álláspontja, amely első olvasatban </w:t>
      </w:r>
      <w:r w:rsidRPr="0078775B" w:rsidR="005F34E8">
        <w:rPr>
          <w:b/>
        </w:rPr>
        <w:t>2026. június</w:t>
      </w:r>
      <w:r w:rsidRPr="0078775B">
        <w:rPr>
          <w:b/>
        </w:rPr>
        <w:t xml:space="preserve"> </w:t>
      </w:r>
      <w:r w:rsidRPr="0078775B" w:rsidR="00F94750">
        <w:rPr>
          <w:b/>
        </w:rPr>
        <w:t>16-á</w:t>
      </w:r>
      <w:r w:rsidRPr="0078775B">
        <w:rPr>
          <w:b/>
        </w:rPr>
        <w:t xml:space="preserve">n került elfogadásra </w:t>
      </w:r>
      <w:r w:rsidRPr="00F10BE0" w:rsidR="00F10BE0">
        <w:rPr>
          <w:rFonts w:eastAsia="Calibri"/>
          <w:b/>
          <w:szCs w:val="22"/>
          <w:lang w:eastAsia="hu-HU" w:bidi="hu-HU"/>
        </w:rPr>
        <w:t>az egyes áruk behozatalára vonatkozó vámok alkalmazásának mellőzéséről</w:t>
      </w:r>
      <w:r w:rsidRPr="0078775B" w:rsidR="00F94750">
        <w:rPr>
          <w:rFonts w:eastAsia="Calibri"/>
          <w:b/>
          <w:szCs w:val="22"/>
          <w:lang w:eastAsia="hu-HU" w:bidi="hu-HU"/>
        </w:rPr>
        <w:t xml:space="preserve"> </w:t>
      </w:r>
      <w:r w:rsidRPr="0078775B">
        <w:rPr>
          <w:b/>
        </w:rPr>
        <w:t>szóló (EU) 2026/... európai parlamenti és tanácsi rendelet elfogadására tekintettel</w:t>
      </w:r>
    </w:p>
    <w:p w:rsidR="00F10BE0" w:rsidP="00F10BE0" w14:paraId="25005A3E" w14:textId="5CF369D0">
      <w:pPr>
        <w:spacing w:before="240"/>
        <w:rPr>
          <w:i/>
          <w:iCs/>
        </w:rPr>
      </w:pPr>
      <w:bookmarkStart w:id="7" w:name="DQC_RangeToBeChecked"/>
      <w:r>
        <w:rPr>
          <w:i/>
          <w:iCs/>
        </w:rPr>
        <w:t>(</w:t>
      </w:r>
      <w:r w:rsidRPr="00BB4B32">
        <w:rPr>
          <w:i/>
          <w:iCs/>
        </w:rPr>
        <w:t>A Parlament és a Tanács megállapodása következtében a Parlament álláspontja megegyezik a végleges jogalkotási aktussal, az (EU) 2026/</w:t>
      </w:r>
      <w:r>
        <w:rPr>
          <w:i/>
          <w:iCs/>
        </w:rPr>
        <w:t>1461</w:t>
      </w:r>
      <w:r w:rsidRPr="00BB4B32">
        <w:rPr>
          <w:i/>
          <w:iCs/>
        </w:rPr>
        <w:t xml:space="preserve"> rendelettel</w:t>
      </w:r>
      <w:r>
        <w:rPr>
          <w:i/>
          <w:iCs/>
        </w:rPr>
        <w:t>.)</w:t>
      </w:r>
    </w:p>
    <w:bookmarkEnd w:id="7"/>
    <w:sectPr w:rsidSect="00720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14:paraId="7F6D80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:rsidRPr="00F94750" w:rsidP="00F94750" w14:paraId="512945E3" w14:textId="4E01A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14:paraId="7D93314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53198" w:rsidRPr="007200A8" w14:paraId="3C7FDC68" w14:textId="77777777">
      <w:r w:rsidRPr="007200A8">
        <w:separator/>
      </w:r>
    </w:p>
  </w:footnote>
  <w:footnote w:type="continuationSeparator" w:id="1">
    <w:p w:rsidR="00953198" w:rsidRPr="007200A8" w14:paraId="3552C4FD" w14:textId="77777777">
      <w:r w:rsidRPr="007200A8">
        <w:continuationSeparator/>
      </w:r>
    </w:p>
  </w:footnote>
  <w:footnote w:id="2">
    <w:p w:rsidR="00AE539F" w:rsidRPr="00D31CD4" w:rsidP="00AE539F" w14:paraId="1CEF178D" w14:textId="4E289FED">
      <w:pPr>
        <w:pStyle w:val="FootnoteText"/>
        <w:ind w:left="709" w:hanging="709"/>
        <w:rPr>
          <w:sz w:val="24"/>
          <w:szCs w:val="24"/>
          <w:lang w:val="pt-PT"/>
        </w:rPr>
      </w:pPr>
      <w:r w:rsidRPr="00D31CD4">
        <w:rPr>
          <w:rStyle w:val="FootnoteReference"/>
          <w:sz w:val="24"/>
          <w:szCs w:val="24"/>
        </w:rPr>
        <w:footnoteRef/>
      </w:r>
      <w:r w:rsidRPr="00D31CD4">
        <w:rPr>
          <w:sz w:val="24"/>
          <w:szCs w:val="24"/>
          <w:lang w:val="pt-PT"/>
        </w:rPr>
        <w:t xml:space="preserve"> </w:t>
      </w:r>
      <w:r w:rsidRPr="00D31CD4">
        <w:rPr>
          <w:sz w:val="24"/>
          <w:szCs w:val="24"/>
          <w:lang w:val="pt-PT"/>
        </w:rPr>
        <w:tab/>
      </w:r>
      <w:r w:rsidRPr="00D31CD4">
        <w:rPr>
          <w:sz w:val="24"/>
          <w:szCs w:val="24"/>
          <w:lang w:val="pt-PT"/>
        </w:rPr>
        <w:t>Ez</w:t>
      </w:r>
      <w:r w:rsidRPr="00D31CD4">
        <w:rPr>
          <w:sz w:val="24"/>
          <w:szCs w:val="24"/>
          <w:lang w:val="pt-PT"/>
        </w:rPr>
        <w:t xml:space="preserve"> az </w:t>
      </w:r>
      <w:r w:rsidRPr="00D31CD4">
        <w:rPr>
          <w:sz w:val="24"/>
          <w:szCs w:val="24"/>
          <w:lang w:val="pt-PT"/>
        </w:rPr>
        <w:t>álláspont</w:t>
      </w:r>
      <w:r w:rsidRPr="00D31CD4">
        <w:rPr>
          <w:sz w:val="24"/>
          <w:szCs w:val="24"/>
          <w:lang w:val="pt-PT"/>
        </w:rPr>
        <w:t xml:space="preserve"> </w:t>
      </w:r>
      <w:r w:rsidRPr="00D31CD4">
        <w:rPr>
          <w:sz w:val="24"/>
          <w:szCs w:val="24"/>
          <w:lang w:val="pt-PT"/>
        </w:rPr>
        <w:t>lép</w:t>
      </w:r>
      <w:r w:rsidRPr="00D31CD4">
        <w:rPr>
          <w:sz w:val="24"/>
          <w:szCs w:val="24"/>
          <w:lang w:val="pt-PT"/>
        </w:rPr>
        <w:t xml:space="preserve"> a 2026.</w:t>
      </w:r>
      <w:r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>március</w:t>
      </w:r>
      <w:r>
        <w:rPr>
          <w:sz w:val="24"/>
          <w:szCs w:val="24"/>
          <w:lang w:val="pt-PT"/>
        </w:rPr>
        <w:t xml:space="preserve"> 26-án </w:t>
      </w:r>
      <w:r>
        <w:rPr>
          <w:sz w:val="24"/>
          <w:szCs w:val="24"/>
          <w:lang w:val="pt-PT"/>
        </w:rPr>
        <w:t>elfogadott</w:t>
      </w:r>
      <w:r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>módosítások</w:t>
      </w:r>
      <w:r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>helyébe</w:t>
      </w:r>
      <w:r w:rsidRPr="00D31CD4">
        <w:rPr>
          <w:sz w:val="24"/>
          <w:szCs w:val="24"/>
          <w:lang w:val="pt-PT"/>
        </w:rPr>
        <w:t xml:space="preserve"> (</w:t>
      </w:r>
      <w:r>
        <w:rPr>
          <w:sz w:val="24"/>
          <w:szCs w:val="24"/>
          <w:lang w:val="pt-PT"/>
        </w:rPr>
        <w:t>Elfogadott</w:t>
      </w:r>
      <w:r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>szövegek</w:t>
      </w:r>
      <w:r w:rsidRPr="00D31CD4">
        <w:rPr>
          <w:sz w:val="24"/>
          <w:szCs w:val="24"/>
          <w:lang w:val="pt-PT"/>
        </w:rPr>
        <w:t>, P</w:t>
      </w:r>
      <w:r>
        <w:rPr>
          <w:sz w:val="24"/>
          <w:szCs w:val="24"/>
          <w:lang w:val="pt-PT"/>
        </w:rPr>
        <w:t>10</w:t>
      </w:r>
      <w:r w:rsidRPr="00D31CD4">
        <w:rPr>
          <w:sz w:val="24"/>
          <w:szCs w:val="24"/>
          <w:lang w:val="pt-PT"/>
        </w:rPr>
        <w:t>_</w:t>
      </w:r>
      <w:r w:rsidRPr="00D31CD4">
        <w:rPr>
          <w:sz w:val="24"/>
          <w:szCs w:val="24"/>
          <w:lang w:val="pt-PT"/>
        </w:rPr>
        <w:t>TA(</w:t>
      </w:r>
      <w:r w:rsidRPr="00D31CD4">
        <w:rPr>
          <w:sz w:val="24"/>
          <w:szCs w:val="24"/>
          <w:lang w:val="pt-PT"/>
        </w:rPr>
        <w:t>2026)009</w:t>
      </w:r>
      <w:r>
        <w:rPr>
          <w:sz w:val="24"/>
          <w:szCs w:val="24"/>
          <w:lang w:val="pt-PT"/>
        </w:rPr>
        <w:t>7</w:t>
      </w:r>
      <w:r w:rsidRPr="00D31CD4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14:paraId="3A1AF8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14:paraId="7C009F8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94750" w14:paraId="1F95F08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0724104">
    <w:abstractNumId w:val="9"/>
  </w:num>
  <w:num w:numId="2" w16cid:durableId="312564259">
    <w:abstractNumId w:val="9"/>
  </w:num>
  <w:num w:numId="3" w16cid:durableId="254436351">
    <w:abstractNumId w:val="7"/>
  </w:num>
  <w:num w:numId="4" w16cid:durableId="621425812">
    <w:abstractNumId w:val="7"/>
  </w:num>
  <w:num w:numId="5" w16cid:durableId="951783959">
    <w:abstractNumId w:val="6"/>
  </w:num>
  <w:num w:numId="6" w16cid:durableId="121846440">
    <w:abstractNumId w:val="6"/>
  </w:num>
  <w:num w:numId="7" w16cid:durableId="547910692">
    <w:abstractNumId w:val="5"/>
  </w:num>
  <w:num w:numId="8" w16cid:durableId="1075586341">
    <w:abstractNumId w:val="5"/>
  </w:num>
  <w:num w:numId="9" w16cid:durableId="930895771">
    <w:abstractNumId w:val="4"/>
  </w:num>
  <w:num w:numId="10" w16cid:durableId="1723485505">
    <w:abstractNumId w:val="4"/>
  </w:num>
  <w:num w:numId="11" w16cid:durableId="409695516">
    <w:abstractNumId w:val="8"/>
  </w:num>
  <w:num w:numId="12" w16cid:durableId="234362077">
    <w:abstractNumId w:val="8"/>
  </w:num>
  <w:num w:numId="13" w16cid:durableId="1948537956">
    <w:abstractNumId w:val="3"/>
  </w:num>
  <w:num w:numId="14" w16cid:durableId="1842088197">
    <w:abstractNumId w:val="3"/>
  </w:num>
  <w:num w:numId="15" w16cid:durableId="1561668850">
    <w:abstractNumId w:val="2"/>
  </w:num>
  <w:num w:numId="16" w16cid:durableId="325136280">
    <w:abstractNumId w:val="2"/>
  </w:num>
  <w:num w:numId="17" w16cid:durableId="2057117864">
    <w:abstractNumId w:val="1"/>
  </w:num>
  <w:num w:numId="18" w16cid:durableId="1283345511">
    <w:abstractNumId w:val="1"/>
  </w:num>
  <w:num w:numId="19" w16cid:durableId="605502866">
    <w:abstractNumId w:val="0"/>
  </w:num>
  <w:num w:numId="20" w16cid:durableId="104617733">
    <w:abstractNumId w:val="0"/>
  </w:num>
  <w:num w:numId="21" w16cid:durableId="352921835">
    <w:abstractNumId w:val="9"/>
  </w:num>
  <w:num w:numId="22" w16cid:durableId="309015657">
    <w:abstractNumId w:val="7"/>
  </w:num>
  <w:num w:numId="23" w16cid:durableId="61296603">
    <w:abstractNumId w:val="6"/>
  </w:num>
  <w:num w:numId="24" w16cid:durableId="692078569">
    <w:abstractNumId w:val="5"/>
  </w:num>
  <w:num w:numId="25" w16cid:durableId="163715797">
    <w:abstractNumId w:val="4"/>
  </w:num>
  <w:num w:numId="26" w16cid:durableId="108401830">
    <w:abstractNumId w:val="8"/>
  </w:num>
  <w:num w:numId="27" w16cid:durableId="1272274852">
    <w:abstractNumId w:val="3"/>
  </w:num>
  <w:num w:numId="28" w16cid:durableId="1574270355">
    <w:abstractNumId w:val="2"/>
  </w:num>
  <w:num w:numId="29" w16cid:durableId="190269933">
    <w:abstractNumId w:val="1"/>
  </w:num>
  <w:num w:numId="30" w16cid:durableId="439375853">
    <w:abstractNumId w:val="0"/>
  </w:num>
  <w:num w:numId="31" w16cid:durableId="1559511316">
    <w:abstractNumId w:val="9"/>
  </w:num>
  <w:num w:numId="32" w16cid:durableId="528220709">
    <w:abstractNumId w:val="7"/>
  </w:num>
  <w:num w:numId="33" w16cid:durableId="467019112">
    <w:abstractNumId w:val="6"/>
  </w:num>
  <w:num w:numId="34" w16cid:durableId="669335487">
    <w:abstractNumId w:val="5"/>
  </w:num>
  <w:num w:numId="35" w16cid:durableId="1294749544">
    <w:abstractNumId w:val="4"/>
  </w:num>
  <w:num w:numId="36" w16cid:durableId="736319777">
    <w:abstractNumId w:val="8"/>
  </w:num>
  <w:num w:numId="37" w16cid:durableId="419108601">
    <w:abstractNumId w:val="3"/>
  </w:num>
  <w:num w:numId="38" w16cid:durableId="298606591">
    <w:abstractNumId w:val="2"/>
  </w:num>
  <w:num w:numId="39" w16cid:durableId="1880120856">
    <w:abstractNumId w:val="1"/>
  </w:num>
  <w:num w:numId="40" w16cid:durableId="1938633524">
    <w:abstractNumId w:val="0"/>
  </w:num>
  <w:num w:numId="41" w16cid:durableId="2015300326">
    <w:abstractNumId w:val="10"/>
  </w:num>
  <w:num w:numId="42" w16cid:durableId="435251647">
    <w:abstractNumId w:val="10"/>
  </w:num>
  <w:num w:numId="43" w16cid:durableId="1760514999">
    <w:abstractNumId w:val="10"/>
  </w:num>
  <w:num w:numId="44" w16cid:durableId="681642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98"/>
    <w:rsid w:val="00000606"/>
    <w:rsid w:val="00002272"/>
    <w:rsid w:val="00064002"/>
    <w:rsid w:val="000677B9"/>
    <w:rsid w:val="000831BA"/>
    <w:rsid w:val="000A42CC"/>
    <w:rsid w:val="000B4849"/>
    <w:rsid w:val="000E7DD9"/>
    <w:rsid w:val="0010095E"/>
    <w:rsid w:val="00125B37"/>
    <w:rsid w:val="00187494"/>
    <w:rsid w:val="001F32AE"/>
    <w:rsid w:val="002367F3"/>
    <w:rsid w:val="00273013"/>
    <w:rsid w:val="002767FF"/>
    <w:rsid w:val="002B18FE"/>
    <w:rsid w:val="002B5493"/>
    <w:rsid w:val="00323969"/>
    <w:rsid w:val="00343214"/>
    <w:rsid w:val="00361C00"/>
    <w:rsid w:val="00372C79"/>
    <w:rsid w:val="00395FA1"/>
    <w:rsid w:val="003E15D4"/>
    <w:rsid w:val="00411CCE"/>
    <w:rsid w:val="0041666E"/>
    <w:rsid w:val="00421060"/>
    <w:rsid w:val="00471C19"/>
    <w:rsid w:val="004867E3"/>
    <w:rsid w:val="00494A28"/>
    <w:rsid w:val="00497C02"/>
    <w:rsid w:val="004B149C"/>
    <w:rsid w:val="004C0004"/>
    <w:rsid w:val="004C5D52"/>
    <w:rsid w:val="0050519A"/>
    <w:rsid w:val="005072A1"/>
    <w:rsid w:val="00514517"/>
    <w:rsid w:val="005235FF"/>
    <w:rsid w:val="00545827"/>
    <w:rsid w:val="00546090"/>
    <w:rsid w:val="00560270"/>
    <w:rsid w:val="005C2568"/>
    <w:rsid w:val="005F1B17"/>
    <w:rsid w:val="005F34E8"/>
    <w:rsid w:val="006037C0"/>
    <w:rsid w:val="00616A43"/>
    <w:rsid w:val="006631B6"/>
    <w:rsid w:val="00680577"/>
    <w:rsid w:val="006F74FA"/>
    <w:rsid w:val="007200A8"/>
    <w:rsid w:val="00731ADD"/>
    <w:rsid w:val="00734777"/>
    <w:rsid w:val="00747932"/>
    <w:rsid w:val="00751A4A"/>
    <w:rsid w:val="00756632"/>
    <w:rsid w:val="00762C74"/>
    <w:rsid w:val="00786EC0"/>
    <w:rsid w:val="0078775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059"/>
    <w:rsid w:val="00930C23"/>
    <w:rsid w:val="0093193B"/>
    <w:rsid w:val="009509D8"/>
    <w:rsid w:val="00950B64"/>
    <w:rsid w:val="00953198"/>
    <w:rsid w:val="00981893"/>
    <w:rsid w:val="00A10E85"/>
    <w:rsid w:val="00A1687D"/>
    <w:rsid w:val="00A43E52"/>
    <w:rsid w:val="00A4678D"/>
    <w:rsid w:val="00A778C7"/>
    <w:rsid w:val="00AB441E"/>
    <w:rsid w:val="00AB6293"/>
    <w:rsid w:val="00AD1BFC"/>
    <w:rsid w:val="00AE0928"/>
    <w:rsid w:val="00AE539F"/>
    <w:rsid w:val="00AE6AF2"/>
    <w:rsid w:val="00AF3B82"/>
    <w:rsid w:val="00B12E95"/>
    <w:rsid w:val="00B22876"/>
    <w:rsid w:val="00B558F0"/>
    <w:rsid w:val="00B8169C"/>
    <w:rsid w:val="00BB4B32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F071A"/>
    <w:rsid w:val="00D058B8"/>
    <w:rsid w:val="00D31CD4"/>
    <w:rsid w:val="00D56C11"/>
    <w:rsid w:val="00D834A0"/>
    <w:rsid w:val="00D872DF"/>
    <w:rsid w:val="00D91E21"/>
    <w:rsid w:val="00DA7FCD"/>
    <w:rsid w:val="00DC40E3"/>
    <w:rsid w:val="00E365E1"/>
    <w:rsid w:val="00E820A4"/>
    <w:rsid w:val="00EB006A"/>
    <w:rsid w:val="00EB4772"/>
    <w:rsid w:val="00EB626E"/>
    <w:rsid w:val="00ED169E"/>
    <w:rsid w:val="00ED4235"/>
    <w:rsid w:val="00F02A85"/>
    <w:rsid w:val="00F04346"/>
    <w:rsid w:val="00F075DC"/>
    <w:rsid w:val="00F10BE0"/>
    <w:rsid w:val="00F149E9"/>
    <w:rsid w:val="00F5134D"/>
    <w:rsid w:val="00F74202"/>
    <w:rsid w:val="00F87713"/>
    <w:rsid w:val="00F94750"/>
    <w:rsid w:val="00FB4360"/>
    <w:rsid w:val="00FD0C70"/>
  </w:rsids>
  <w:docVars>
    <w:docVar w:name="dvdocse" w:val="A10-0070/2026"/>
    <w:docVar w:name="dvlangue" w:val="HU"/>
    <w:docVar w:name="dvnumam" w:val="17"/>
    <w:docVar w:name="dvpe" w:val="779.298"/>
    <w:docVar w:name="dvrapporteur" w:val="Előadó: "/>
    <w:docVar w:name="dvtitre" w:val="Az Európai Parlament 2026.  ...-i jogalkotási állásfoglalása az egyes áruk behozatalára vonatkozó vámok alkalmazásának mellőzéséről szóló európai parlamenti és tanácsi rendeletre irányuló javaslatról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09E2F4"/>
  <w15:chartTrackingRefBased/>
  <w15:docId w15:val="{3305C26E-2C02-4BEF-A004-B97FBE8D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46090"/>
    <w:pPr>
      <w:spacing w:after="120"/>
    </w:pPr>
  </w:style>
  <w:style w:type="paragraph" w:customStyle="1" w:styleId="NormalBold">
    <w:name w:val="NormalBold"/>
    <w:basedOn w:val="Normal"/>
    <w:link w:val="NormalBoldChar"/>
    <w:rsid w:val="00546090"/>
    <w:rPr>
      <w:b/>
    </w:rPr>
  </w:style>
  <w:style w:type="paragraph" w:customStyle="1" w:styleId="NormalHanging12a">
    <w:name w:val="NormalHanging12a"/>
    <w:basedOn w:val="Normal"/>
    <w:rsid w:val="0054609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460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60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46090"/>
    <w:pPr>
      <w:spacing w:before="240"/>
    </w:pPr>
    <w:rPr>
      <w:b/>
    </w:rPr>
  </w:style>
  <w:style w:type="paragraph" w:customStyle="1" w:styleId="EPComma">
    <w:name w:val="EPComma"/>
    <w:basedOn w:val="Normal"/>
    <w:rsid w:val="00546090"/>
    <w:pPr>
      <w:spacing w:before="480" w:after="240"/>
    </w:pPr>
  </w:style>
  <w:style w:type="character" w:customStyle="1" w:styleId="Normal6Char">
    <w:name w:val="Normal6 Char"/>
    <w:link w:val="Normal6"/>
    <w:locked/>
    <w:rsid w:val="0054609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46090"/>
    <w:pPr>
      <w:spacing w:after="120"/>
    </w:pPr>
  </w:style>
  <w:style w:type="character" w:customStyle="1" w:styleId="NormalBoldChar">
    <w:name w:val="NormalBold Char"/>
    <w:link w:val="NormalBold"/>
    <w:locked/>
    <w:rsid w:val="00546090"/>
    <w:rPr>
      <w:b/>
      <w:sz w:val="24"/>
      <w:lang w:val="hu-HU"/>
    </w:rPr>
  </w:style>
  <w:style w:type="paragraph" w:customStyle="1" w:styleId="ColumnHeading">
    <w:name w:val="ColumnHeading"/>
    <w:basedOn w:val="Normal"/>
    <w:rsid w:val="00546090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5460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E6AF2"/>
    <w:rPr>
      <w:sz w:val="24"/>
      <w:lang w:val="hu-HU"/>
    </w:rPr>
  </w:style>
  <w:style w:type="paragraph" w:styleId="Header">
    <w:name w:val="header"/>
    <w:basedOn w:val="Normal"/>
    <w:link w:val="HeaderChar"/>
    <w:rsid w:val="00F947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4750"/>
    <w:rPr>
      <w:sz w:val="24"/>
      <w:lang w:val="hu-HU"/>
    </w:rPr>
  </w:style>
  <w:style w:type="paragraph" w:customStyle="1" w:styleId="EPFooter2">
    <w:name w:val="EPFooter2"/>
    <w:basedOn w:val="Normal"/>
    <w:next w:val="Normal"/>
    <w:rsid w:val="00F947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F947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uiPriority w:val="99"/>
    <w:rsid w:val="00F947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50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F94750"/>
    <w:rPr>
      <w:color w:val="0563C1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AE539F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2026-08-31T11:20:00Z</dcterms:created>
  <dcterms:modified xsi:type="dcterms:W3CDTF">2026-08-31T11:20:00Z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