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D510C0A" w14:textId="77777777" w:rsidTr="0010095E">
        <w:tblPrEx>
          <w:tblW w:w="9072" w:type="dxa"/>
          <w:tblLook w:val="01E0"/>
        </w:tblPrEx>
        <w:trPr>
          <w:trHeight w:hRule="exact" w:val="1418"/>
        </w:trPr>
        <w:tc>
          <w:tcPr>
            <w:tcW w:w="6804" w:type="dxa"/>
            <w:shd w:val="clear" w:color="auto" w:fill="auto"/>
            <w:vAlign w:val="center"/>
          </w:tcPr>
          <w:p w:rsidR="00751A4A" w:rsidRPr="00E726AE" w:rsidP="0010095E" w14:paraId="163D5035" w14:textId="77777777">
            <w:pPr>
              <w:pStyle w:val="EPName"/>
            </w:pPr>
            <w:r w:rsidRPr="00E726AE">
              <w:t>Eiropas Parlaments</w:t>
            </w:r>
          </w:p>
          <w:p w:rsidR="00751A4A" w:rsidRPr="00E726AE" w:rsidP="005F1B17" w14:paraId="493AAB97" w14:textId="77777777">
            <w:pPr>
              <w:pStyle w:val="EPTerm"/>
              <w:rPr>
                <w:rStyle w:val="HideTWBExt"/>
                <w:noProof w:val="0"/>
                <w:vanish w:val="0"/>
                <w:color w:val="auto"/>
              </w:rPr>
            </w:pPr>
            <w:r w:rsidRPr="00E726AE">
              <w:t>2024</w:t>
            </w:r>
            <w:r w:rsidRPr="00E726AE" w:rsidR="00817416">
              <w:t>-202</w:t>
            </w:r>
            <w:r w:rsidRPr="00E726AE">
              <w:t>9</w:t>
            </w:r>
          </w:p>
        </w:tc>
        <w:tc>
          <w:tcPr>
            <w:tcW w:w="2268" w:type="dxa"/>
            <w:shd w:val="clear" w:color="auto" w:fill="auto"/>
          </w:tcPr>
          <w:p w:rsidR="00751A4A" w:rsidRPr="00E726AE" w:rsidP="0010095E" w14:paraId="6AD58B62" w14:textId="77777777">
            <w:pPr>
              <w:pStyle w:val="EPLogo"/>
            </w:pPr>
            <w:r w:rsidRPr="00E726A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726AE" w:rsidP="004C5D52" w14:paraId="4947A297" w14:textId="77777777">
      <w:pPr>
        <w:pStyle w:val="LineTop"/>
      </w:pPr>
    </w:p>
    <w:p w:rsidR="00680577" w:rsidRPr="00E726AE" w:rsidP="00680577" w14:paraId="5C355538" w14:textId="77777777">
      <w:pPr>
        <w:pStyle w:val="EPBodyTA1"/>
      </w:pPr>
      <w:r w:rsidRPr="00E726AE">
        <w:t>PIEŅEMTIE TEKSTI</w:t>
      </w:r>
    </w:p>
    <w:p w:rsidR="00D058B8" w:rsidRPr="00E726AE" w:rsidP="00D058B8" w14:paraId="0513216F" w14:textId="77777777">
      <w:pPr>
        <w:pStyle w:val="LineBottom"/>
      </w:pPr>
    </w:p>
    <w:p w:rsidR="00E30CEE" w:rsidRPr="00E726AE" w:rsidP="00E30CEE" w14:paraId="49F65BDE" w14:textId="7BA83115">
      <w:pPr>
        <w:pStyle w:val="ATHeading1"/>
      </w:pPr>
      <w:bookmarkStart w:id="0" w:name="TANumber"/>
      <w:r w:rsidRPr="00E726AE">
        <w:t>P10_TA(2026)0</w:t>
      </w:r>
      <w:r w:rsidRPr="00E726AE" w:rsidR="00E726AE">
        <w:t>197</w:t>
      </w:r>
      <w:bookmarkEnd w:id="0"/>
    </w:p>
    <w:p w:rsidR="00E30CEE" w:rsidRPr="00E726AE" w:rsidP="00E30CEE" w14:paraId="0B2F2480" w14:textId="56207BAD">
      <w:pPr>
        <w:pStyle w:val="ATHeading2"/>
      </w:pPr>
      <w:bookmarkStart w:id="1" w:name="title"/>
      <w:r w:rsidRPr="00E726AE">
        <w:t>Muitas nodok</w:t>
      </w:r>
      <w:r w:rsidRPr="00E726AE">
        <w:rPr>
          <w:rFonts w:hint="eastAsia"/>
        </w:rPr>
        <w:t>ļ</w:t>
      </w:r>
      <w:r w:rsidRPr="00E726AE">
        <w:t>u nepiem</w:t>
      </w:r>
      <w:r w:rsidRPr="00E726AE">
        <w:rPr>
          <w:rFonts w:hint="eastAsia"/>
        </w:rPr>
        <w:t>ē</w:t>
      </w:r>
      <w:r w:rsidRPr="00E726AE">
        <w:t>ro</w:t>
      </w:r>
      <w:r w:rsidRPr="00E726AE">
        <w:rPr>
          <w:rFonts w:hint="eastAsia"/>
        </w:rPr>
        <w:t>š</w:t>
      </w:r>
      <w:r w:rsidRPr="00E726AE">
        <w:t>ana da</w:t>
      </w:r>
      <w:r w:rsidRPr="00E726AE">
        <w:rPr>
          <w:rFonts w:hint="eastAsia"/>
        </w:rPr>
        <w:t>ž</w:t>
      </w:r>
      <w:r w:rsidRPr="00E726AE">
        <w:t>u pre</w:t>
      </w:r>
      <w:r w:rsidRPr="00E726AE">
        <w:rPr>
          <w:rFonts w:hint="eastAsia"/>
        </w:rPr>
        <w:t>č</w:t>
      </w:r>
      <w:r w:rsidRPr="00E726AE">
        <w:t>u importam</w:t>
      </w:r>
      <w:bookmarkEnd w:id="1"/>
    </w:p>
    <w:p w:rsidR="00E30CEE" w:rsidRPr="00E726AE" w:rsidP="00E30CEE" w14:paraId="2A97F59A" w14:textId="77777777">
      <w:pPr>
        <w:rPr>
          <w:i/>
          <w:vanish/>
        </w:rPr>
      </w:pPr>
      <w:r>
        <w:rPr>
          <w:i/>
        </w:rPr>
        <w:fldChar w:fldCharType="begin"/>
      </w:r>
      <w:r w:rsidRPr="00E726AE">
        <w:rPr>
          <w:i/>
        </w:rPr>
        <w:instrText xml:space="preserve"> TC"(</w:instrText>
      </w:r>
      <w:bookmarkStart w:id="2" w:name="DocNumber"/>
      <w:r w:rsidRPr="00E726AE">
        <w:rPr>
          <w:i/>
        </w:rPr>
        <w:instrText>A10-0070/2026</w:instrText>
      </w:r>
      <w:bookmarkEnd w:id="2"/>
      <w:r w:rsidRPr="00E726AE">
        <w:rPr>
          <w:i/>
        </w:rPr>
        <w:instrText xml:space="preserve"> - Referents: Bernd Lange)"\l3 \n&gt; \* MERGEFORMAT </w:instrText>
      </w:r>
      <w:r>
        <w:rPr>
          <w:i/>
        </w:rPr>
        <w:fldChar w:fldCharType="end"/>
      </w:r>
    </w:p>
    <w:p w:rsidR="00E30CEE" w:rsidRPr="00E726AE" w:rsidP="00E30CEE" w14:paraId="22B5EA24" w14:textId="77777777">
      <w:pPr>
        <w:rPr>
          <w:vanish/>
        </w:rPr>
      </w:pPr>
      <w:bookmarkStart w:id="3" w:name="Commission"/>
      <w:r w:rsidRPr="00E726AE">
        <w:rPr>
          <w:vanish/>
        </w:rPr>
        <w:t>Starptautiskās tirdzniecības komiteja</w:t>
      </w:r>
      <w:bookmarkEnd w:id="3"/>
    </w:p>
    <w:p w:rsidR="00E30CEE" w:rsidRPr="00E726AE" w:rsidP="00E30CEE" w14:paraId="37E42EB6" w14:textId="77777777">
      <w:pPr>
        <w:rPr>
          <w:vanish/>
        </w:rPr>
      </w:pPr>
      <w:bookmarkStart w:id="4" w:name="PE"/>
      <w:r w:rsidRPr="00E726AE">
        <w:rPr>
          <w:vanish/>
        </w:rPr>
        <w:t>PE779.298</w:t>
      </w:r>
      <w:bookmarkEnd w:id="4"/>
    </w:p>
    <w:p w:rsidR="00E30CEE" w:rsidRPr="00E726AE" w:rsidP="00E30CEE" w14:paraId="47E0C878" w14:textId="770C3839">
      <w:pPr>
        <w:pStyle w:val="ATHeading3"/>
      </w:pPr>
      <w:bookmarkStart w:id="5" w:name="Sujet"/>
      <w:r w:rsidRPr="00E726AE">
        <w:t xml:space="preserve">Eiropas Parlamenta 2026. gada </w:t>
      </w:r>
      <w:r w:rsidRPr="00E726AE" w:rsidR="00CC1256">
        <w:t>16. jūnija</w:t>
      </w:r>
      <w:r w:rsidRPr="00E726AE">
        <w:t xml:space="preserve"> normatīvā rezolūcija par priekšlikumu Eiropas Parlamenta un Padomes regulai </w:t>
      </w:r>
      <w:bookmarkEnd w:id="5"/>
      <w:r w:rsidRPr="00767C7C" w:rsidR="00E924CE">
        <w:rPr>
          <w:noProof/>
        </w:rPr>
        <w:t>par muitas nodokļu nepiemērošanu dažu preču importam</w:t>
      </w:r>
      <w:r w:rsidRPr="00E726AE">
        <w:t xml:space="preserve"> </w:t>
      </w:r>
      <w:bookmarkStart w:id="6" w:name="References"/>
      <w:r w:rsidRPr="00E726AE">
        <w:t>(COM(2025)0472 – C10-0192/2025 – 2025/0260(COD))</w:t>
      </w:r>
      <w:bookmarkEnd w:id="6"/>
    </w:p>
    <w:p w:rsidR="008F7E00" w:rsidRPr="00E726AE" w:rsidP="008F7E00" w14:paraId="3C995A89" w14:textId="77777777">
      <w:pPr>
        <w:pStyle w:val="NormalBold"/>
      </w:pPr>
      <w:r w:rsidRPr="00E726AE">
        <w:t>(Parastā likumdošanas procedūra: pirmais lasījums)</w:t>
      </w:r>
    </w:p>
    <w:p w:rsidR="008F7E00" w:rsidRPr="00E726AE" w:rsidP="008F7E00" w14:paraId="62330E36" w14:textId="77777777">
      <w:pPr>
        <w:pStyle w:val="EPComma"/>
      </w:pPr>
      <w:r w:rsidRPr="00E726AE">
        <w:rPr>
          <w:i/>
        </w:rPr>
        <w:t>Eiropas Parlaments,</w:t>
      </w:r>
    </w:p>
    <w:p w:rsidR="008F7E00" w:rsidRPr="00E726AE" w:rsidP="008F7E00" w14:paraId="5BB522A7" w14:textId="77777777">
      <w:pPr>
        <w:pStyle w:val="NormalHanging12a"/>
      </w:pPr>
      <w:r w:rsidRPr="00E726AE">
        <w:t>–</w:t>
      </w:r>
      <w:r w:rsidRPr="00E726AE">
        <w:tab/>
        <w:t>ņemot vērā Komisijas priekšlikumu Eiropas Parlamentam un Padomei (COM(2025)0472),</w:t>
      </w:r>
    </w:p>
    <w:p w:rsidR="008F7E00" w:rsidRPr="00E726AE" w:rsidP="008F7E00" w14:paraId="4EFF563B" w14:textId="77777777">
      <w:pPr>
        <w:pStyle w:val="NormalHanging12a"/>
      </w:pPr>
      <w:r w:rsidRPr="00E726AE">
        <w:t>–</w:t>
      </w:r>
      <w:r w:rsidRPr="00E726AE">
        <w:tab/>
        <w:t>ņemot vērā Līguma par Eiropas Savienības darbību 294. panta 2. punktu un 207. panta 2. punktu, saskaņā ar kuriem Komisija tam ir iesniegusi priekšlikumu (C10</w:t>
      </w:r>
      <w:r w:rsidRPr="00E726AE">
        <w:noBreakHyphen/>
        <w:t>0192/2025),</w:t>
      </w:r>
    </w:p>
    <w:p w:rsidR="008F7E00" w:rsidRPr="00E726AE" w:rsidP="008F7E00" w14:paraId="349BEF0D" w14:textId="77777777">
      <w:pPr>
        <w:pStyle w:val="NormalHanging12a"/>
      </w:pPr>
      <w:r w:rsidRPr="00E726AE">
        <w:t>–</w:t>
      </w:r>
      <w:r w:rsidRPr="00E726AE">
        <w:tab/>
        <w:t>ņemot vērā Līguma par Eiropas Savienības darbību 294. panta 3. punktu,</w:t>
      </w:r>
    </w:p>
    <w:p w:rsidR="008F7E00" w:rsidRPr="00E726AE" w:rsidP="008F7E00" w14:paraId="5D2E827D" w14:textId="77777777">
      <w:pPr>
        <w:pStyle w:val="NormalHanging12a"/>
      </w:pPr>
      <w:r w:rsidRPr="00E726AE">
        <w:t>–</w:t>
      </w:r>
      <w:r w:rsidRPr="00E726AE">
        <w:tab/>
        <w:t xml:space="preserve">ņemot vēra Budžeta komitejas veikto budžeta </w:t>
      </w:r>
      <w:r w:rsidRPr="00E726AE">
        <w:t>izvērtējumu</w:t>
      </w:r>
      <w:r w:rsidRPr="00E726AE">
        <w:t>,</w:t>
      </w:r>
    </w:p>
    <w:p w:rsidR="00CC1256" w:rsidRPr="00E726AE" w:rsidP="00E726AE" w14:paraId="38280292" w14:textId="3863E02C">
      <w:pPr>
        <w:pStyle w:val="NormalHanging12a"/>
      </w:pPr>
      <w:r w:rsidRPr="00E726AE">
        <w:t>–</w:t>
      </w:r>
      <w:r w:rsidRPr="00E726AE">
        <w:tab/>
        <w:t>ņemot vērā provizorisko vienošanos, ko atbildīgā komiteja apstiprināja saskaņā ar Reglamenta 75. panta 4. punktu, un Padomes pārstāvja 202</w:t>
      </w:r>
      <w:r w:rsidRPr="00E726AE" w:rsidR="00063A64">
        <w:t>6</w:t>
      </w:r>
      <w:r w:rsidRPr="00E726AE">
        <w:t xml:space="preserve">. gada </w:t>
      </w:r>
      <w:r w:rsidRPr="00E726AE" w:rsidR="00063A64">
        <w:t>27. maija</w:t>
      </w:r>
      <w:r w:rsidRPr="00E726AE">
        <w:t xml:space="preserve"> vēstulē pausto apņemšanos apstiprināt Parlamenta nostāju saskaņā ar Līguma par Eiropas Savienības darbību 294. panta 4. punktu,</w:t>
      </w:r>
    </w:p>
    <w:p w:rsidR="008F7E00" w:rsidRPr="00E726AE" w:rsidP="008F7E00" w14:paraId="5C50DB29" w14:textId="31EA0904">
      <w:pPr>
        <w:pStyle w:val="NormalHanging12a"/>
      </w:pPr>
      <w:r w:rsidRPr="00E726AE">
        <w:t>–</w:t>
      </w:r>
      <w:r w:rsidRPr="00E726AE">
        <w:tab/>
        <w:t>ņemot vērā Reglamenta 60.</w:t>
      </w:r>
      <w:r w:rsidRPr="00E726AE" w:rsidR="00063A64">
        <w:t xml:space="preserve"> un 58.</w:t>
      </w:r>
      <w:r w:rsidRPr="00E726AE">
        <w:t> pantu,</w:t>
      </w:r>
    </w:p>
    <w:p w:rsidR="008F7E00" w:rsidRPr="00E726AE" w:rsidP="008F7E00" w14:paraId="24F4A75C" w14:textId="77777777">
      <w:pPr>
        <w:pStyle w:val="NormalHanging12a"/>
      </w:pPr>
      <w:r w:rsidRPr="00E726AE">
        <w:t>–</w:t>
      </w:r>
      <w:r w:rsidRPr="00E726AE">
        <w:tab/>
        <w:t>ņemot vērā Starptautiskās tirdzniecības komitejas ziņojumu (A10</w:t>
      </w:r>
      <w:r w:rsidRPr="00E726AE">
        <w:noBreakHyphen/>
        <w:t>0070/2026),</w:t>
      </w:r>
    </w:p>
    <w:p w:rsidR="008F7E00" w:rsidRPr="00E726AE" w:rsidP="008F7E00" w14:paraId="58C54ABD" w14:textId="3EA1E7A8">
      <w:pPr>
        <w:pStyle w:val="NormalHanging12a"/>
      </w:pPr>
      <w:r w:rsidRPr="00E726AE">
        <w:t>1.</w:t>
      </w:r>
      <w:r w:rsidRPr="00E726AE">
        <w:tab/>
        <w:t>pieņem pirmajā lasījumā turpmāk izklāstīto nostāju</w:t>
      </w:r>
      <w:r>
        <w:rPr>
          <w:rStyle w:val="FootnoteReference"/>
        </w:rPr>
        <w:footnoteReference w:id="2"/>
      </w:r>
      <w:r w:rsidRPr="00E726AE">
        <w:t>;</w:t>
      </w:r>
    </w:p>
    <w:p w:rsidR="008F7E00" w:rsidRPr="00E726AE" w:rsidP="008F7E00" w14:paraId="23D11818" w14:textId="77777777">
      <w:pPr>
        <w:pStyle w:val="NormalHanging12a"/>
      </w:pPr>
      <w:r w:rsidRPr="00E726AE">
        <w:t>2.</w:t>
      </w:r>
      <w:r w:rsidRPr="00E726AE">
        <w:tab/>
        <w:t>prasa Komisijai priekšlikumu Parlamentam iesniegt vēlreiz, ja tā savu priekšlikumu aizstāj, būtiski groza vai ir paredzējusi to būtiski grozīt;</w:t>
      </w:r>
    </w:p>
    <w:p w:rsidR="00CC1256" w:rsidRPr="00E726AE" w:rsidP="008F7E00" w14:paraId="57FD63AF" w14:textId="0A76A779">
      <w:pPr>
        <w:pStyle w:val="NormalHanging12a"/>
        <w:sectPr w:rsidSect="00892794">
          <w:footnotePr>
            <w:numRestart w:val="eachSect"/>
          </w:footnotePr>
          <w:endnotePr>
            <w:numFmt w:val="decimal"/>
          </w:endnotePr>
          <w:pgSz w:w="11906" w:h="16838" w:code="9"/>
          <w:pgMar w:top="1134" w:right="1418" w:bottom="1418" w:left="1418" w:header="1134" w:footer="567" w:gutter="0"/>
          <w:cols w:space="720"/>
          <w:noEndnote/>
          <w:docGrid w:linePitch="326"/>
        </w:sectPr>
      </w:pPr>
      <w:r w:rsidRPr="00E726AE">
        <w:t>3.</w:t>
      </w:r>
      <w:r w:rsidRPr="00E726AE">
        <w:tab/>
        <w:t>uzdod priekšsēdētājai Parlamenta nostāju nosūtīt Padomei, Komisijai</w:t>
      </w:r>
      <w:r w:rsidRPr="00E726AE">
        <w:t xml:space="preserve">, kā arī </w:t>
      </w:r>
      <w:r w:rsidRPr="00E726AE">
        <w:t xml:space="preserve">dalībvalstu </w:t>
      </w:r>
      <w:r w:rsidRPr="00E726AE">
        <w:t>parlamentiem.</w:t>
      </w:r>
    </w:p>
    <w:p w:rsidR="00CC1256" w:rsidRPr="00E726AE" w:rsidP="00CC1256" w14:paraId="50D8A987" w14:textId="1796FADB">
      <w:pPr>
        <w:pStyle w:val="Normal12Hanging"/>
        <w:tabs>
          <w:tab w:val="left" w:pos="357"/>
        </w:tabs>
        <w:rPr>
          <w:b/>
        </w:rPr>
      </w:pPr>
      <w:r w:rsidRPr="00E726AE">
        <w:rPr>
          <w:b/>
        </w:rPr>
        <w:t>P10_TC1-COD(2025)0260</w:t>
      </w:r>
    </w:p>
    <w:p w:rsidR="00CC1256" w:rsidP="00CC1256" w14:paraId="07EB324A" w14:textId="33AAD943">
      <w:pPr>
        <w:pStyle w:val="Normal12Hanging"/>
        <w:ind w:left="0" w:firstLine="0"/>
        <w:rPr>
          <w:rFonts w:eastAsia="Calibri"/>
          <w:b/>
          <w:szCs w:val="22"/>
          <w:lang w:eastAsia="lv-LV" w:bidi="lv-LV"/>
        </w:rPr>
      </w:pPr>
      <w:r w:rsidRPr="00E726AE">
        <w:rPr>
          <w:b/>
        </w:rPr>
        <w:t xml:space="preserve">Eiropas Parlamenta nostāja, pieņemta pirmajā lasījumā 2026. gada 16. jūnijā, lai pieņemtu Eiropas Parlamenta un Padomes Regulu (ES) 2026/... </w:t>
      </w:r>
      <w:r w:rsidRPr="00E924CE" w:rsidR="00E924CE">
        <w:rPr>
          <w:rFonts w:eastAsia="Calibri"/>
          <w:b/>
          <w:bCs/>
          <w:szCs w:val="22"/>
          <w:lang w:eastAsia="lv-LV" w:bidi="lv-LV"/>
        </w:rPr>
        <w:t>par muitas nodokļu nepiemērošanu konkrētu preču importam</w:t>
      </w:r>
    </w:p>
    <w:p w:rsidR="00E924CE" w:rsidP="00E924CE" w14:paraId="1EEA6B0D" w14:textId="783279C0">
      <w:pPr>
        <w:rPr>
          <w:i/>
        </w:rPr>
      </w:pPr>
      <w:r w:rsidRPr="003E6639">
        <w:rPr>
          <w:i/>
        </w:rPr>
        <w:t xml:space="preserve">(Tā kā starp Parlamentu un Padomi tika panākta vienošanās, Parlamenta nostāja atbilst galīgajam tiesību aktam Regulai </w:t>
      </w:r>
      <w:r w:rsidRPr="00E924CE">
        <w:rPr>
          <w:i/>
        </w:rPr>
        <w:t>(ES) 202</w:t>
      </w:r>
      <w:r w:rsidRPr="00E924CE">
        <w:rPr>
          <w:i/>
        </w:rPr>
        <w:t>6</w:t>
      </w:r>
      <w:r w:rsidRPr="00E924CE">
        <w:rPr>
          <w:i/>
        </w:rPr>
        <w:t>/</w:t>
      </w:r>
      <w:r w:rsidRPr="00E924CE">
        <w:rPr>
          <w:i/>
        </w:rPr>
        <w:t>1461</w:t>
      </w:r>
      <w:r w:rsidRPr="00E924CE">
        <w:rPr>
          <w:i/>
        </w:rPr>
        <w:t>.)</w:t>
      </w:r>
    </w:p>
    <w:p w:rsidR="00E924CE" w:rsidRPr="00E726AE" w:rsidP="00CC1256" w14:paraId="6B499212" w14:textId="77777777">
      <w:pPr>
        <w:pStyle w:val="Normal12Hanging"/>
        <w:ind w:left="0" w:firstLine="0"/>
        <w:rPr>
          <w:rFonts w:eastAsia="Calibri"/>
          <w:b/>
          <w:bCs/>
          <w:szCs w:val="22"/>
          <w:lang w:eastAsia="lv-LV" w:bidi="lv-LV"/>
        </w:rPr>
      </w:pPr>
    </w:p>
    <w:sectPr w:rsidSect="00E924CE">
      <w:footnotePr>
        <w:numRestart w:val="eachSect"/>
      </w:footnotePr>
      <w:pgSz w:w="11907" w:h="16840" w:code="9"/>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30CEE" w:rsidRPr="00892794" w14:paraId="3438819C" w14:textId="77777777">
      <w:r w:rsidRPr="00892794">
        <w:separator/>
      </w:r>
    </w:p>
  </w:footnote>
  <w:footnote w:type="continuationSeparator" w:id="1">
    <w:p w:rsidR="00E30CEE" w:rsidRPr="00892794" w14:paraId="4E9F6CD7" w14:textId="77777777">
      <w:r w:rsidRPr="00892794">
        <w:continuationSeparator/>
      </w:r>
    </w:p>
  </w:footnote>
  <w:footnote w:id="2">
    <w:p w:rsidR="00CC1256" w:rsidRPr="00E726AE" w:rsidP="00E726AE" w14:paraId="6440F730" w14:textId="487B22B8">
      <w:pPr>
        <w:pStyle w:val="FootnoteText"/>
        <w:ind w:left="567" w:hanging="567"/>
        <w:rPr>
          <w:sz w:val="24"/>
          <w:szCs w:val="24"/>
          <w:lang w:val="lv-LV"/>
        </w:rPr>
      </w:pPr>
      <w:r w:rsidRPr="00E726AE">
        <w:rPr>
          <w:rStyle w:val="FootnoteReference"/>
          <w:sz w:val="24"/>
          <w:szCs w:val="24"/>
        </w:rPr>
        <w:footnoteRef/>
      </w:r>
      <w:r w:rsidRPr="00E726AE">
        <w:rPr>
          <w:sz w:val="24"/>
          <w:szCs w:val="24"/>
          <w:lang w:val="lv-LV"/>
        </w:rPr>
        <w:t xml:space="preserve"> </w:t>
      </w:r>
      <w:r w:rsidRPr="00E726AE">
        <w:rPr>
          <w:sz w:val="24"/>
          <w:szCs w:val="24"/>
          <w:lang w:val="lv-LV"/>
        </w:rPr>
        <w:tab/>
      </w:r>
      <w:bookmarkStart w:id="7" w:name="_Hlk232497269"/>
      <w:r w:rsidRPr="00E726AE">
        <w:rPr>
          <w:sz w:val="24"/>
          <w:szCs w:val="24"/>
          <w:lang w:val="lv-LV"/>
        </w:rPr>
        <w:t>Ar šo nostāju aizstāj 202</w:t>
      </w:r>
      <w:r>
        <w:rPr>
          <w:sz w:val="24"/>
          <w:szCs w:val="24"/>
          <w:lang w:val="lv-LV"/>
        </w:rPr>
        <w:t>6</w:t>
      </w:r>
      <w:r w:rsidRPr="00E726AE">
        <w:rPr>
          <w:sz w:val="24"/>
          <w:szCs w:val="24"/>
          <w:lang w:val="lv-LV"/>
        </w:rPr>
        <w:t xml:space="preserve">. gada </w:t>
      </w:r>
      <w:r>
        <w:rPr>
          <w:sz w:val="24"/>
          <w:szCs w:val="24"/>
          <w:lang w:val="lv-LV"/>
        </w:rPr>
        <w:t>26. martā</w:t>
      </w:r>
      <w:r w:rsidRPr="00E726AE">
        <w:rPr>
          <w:sz w:val="24"/>
          <w:szCs w:val="24"/>
          <w:lang w:val="lv-LV"/>
        </w:rPr>
        <w:t xml:space="preserve"> pieņemtos grozījumus (Pieņemtie teksti, P</w:t>
      </w:r>
      <w:r>
        <w:rPr>
          <w:sz w:val="24"/>
          <w:szCs w:val="24"/>
          <w:lang w:val="lv-LV"/>
        </w:rPr>
        <w:t>10</w:t>
      </w:r>
      <w:r w:rsidRPr="00E726AE">
        <w:rPr>
          <w:sz w:val="24"/>
          <w:szCs w:val="24"/>
          <w:lang w:val="lv-LV"/>
        </w:rPr>
        <w:t>_TA(202</w:t>
      </w:r>
      <w:r>
        <w:rPr>
          <w:sz w:val="24"/>
          <w:szCs w:val="24"/>
          <w:lang w:val="lv-LV"/>
        </w:rPr>
        <w:t>6</w:t>
      </w:r>
      <w:r w:rsidRPr="00E726AE">
        <w:rPr>
          <w:sz w:val="24"/>
          <w:szCs w:val="24"/>
          <w:lang w:val="lv-LV"/>
        </w:rPr>
        <w:t>)0</w:t>
      </w:r>
      <w:r>
        <w:rPr>
          <w:sz w:val="24"/>
          <w:szCs w:val="24"/>
          <w:lang w:val="lv-LV"/>
        </w:rPr>
        <w:t>097</w:t>
      </w:r>
      <w:r w:rsidRPr="00E726AE">
        <w:rPr>
          <w:sz w:val="24"/>
          <w:szCs w:val="24"/>
          <w:lang w:val="lv-LV"/>
        </w:rPr>
        <w:t>).</w:t>
      </w:r>
      <w:bookmarkEnd w:id="7"/>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B0401F6"/>
    <w:multiLevelType w:val="hybridMultilevel"/>
    <w:tmpl w:val="765875DE"/>
    <w:lvl w:ilvl="0">
      <w:start w:val="3"/>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41F93177"/>
    <w:multiLevelType w:val="hybridMultilevel"/>
    <w:tmpl w:val="4078B66C"/>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422726684">
    <w:abstractNumId w:val="9"/>
  </w:num>
  <w:num w:numId="2" w16cid:durableId="707611863">
    <w:abstractNumId w:val="9"/>
  </w:num>
  <w:num w:numId="3" w16cid:durableId="836505222">
    <w:abstractNumId w:val="7"/>
  </w:num>
  <w:num w:numId="4" w16cid:durableId="507401848">
    <w:abstractNumId w:val="7"/>
  </w:num>
  <w:num w:numId="5" w16cid:durableId="1589726188">
    <w:abstractNumId w:val="6"/>
  </w:num>
  <w:num w:numId="6" w16cid:durableId="1961523457">
    <w:abstractNumId w:val="6"/>
  </w:num>
  <w:num w:numId="7" w16cid:durableId="732197476">
    <w:abstractNumId w:val="5"/>
  </w:num>
  <w:num w:numId="8" w16cid:durableId="2017808583">
    <w:abstractNumId w:val="5"/>
  </w:num>
  <w:num w:numId="9" w16cid:durableId="1423065500">
    <w:abstractNumId w:val="4"/>
  </w:num>
  <w:num w:numId="10" w16cid:durableId="198398476">
    <w:abstractNumId w:val="4"/>
  </w:num>
  <w:num w:numId="11" w16cid:durableId="1794013283">
    <w:abstractNumId w:val="8"/>
  </w:num>
  <w:num w:numId="12" w16cid:durableId="2093117438">
    <w:abstractNumId w:val="8"/>
  </w:num>
  <w:num w:numId="13" w16cid:durableId="494951546">
    <w:abstractNumId w:val="3"/>
  </w:num>
  <w:num w:numId="14" w16cid:durableId="1371492773">
    <w:abstractNumId w:val="3"/>
  </w:num>
  <w:num w:numId="15" w16cid:durableId="1714697416">
    <w:abstractNumId w:val="2"/>
  </w:num>
  <w:num w:numId="16" w16cid:durableId="1651206679">
    <w:abstractNumId w:val="2"/>
  </w:num>
  <w:num w:numId="17" w16cid:durableId="1846826837">
    <w:abstractNumId w:val="1"/>
  </w:num>
  <w:num w:numId="18" w16cid:durableId="326061732">
    <w:abstractNumId w:val="1"/>
  </w:num>
  <w:num w:numId="19" w16cid:durableId="745225877">
    <w:abstractNumId w:val="0"/>
  </w:num>
  <w:num w:numId="20" w16cid:durableId="339505383">
    <w:abstractNumId w:val="0"/>
  </w:num>
  <w:num w:numId="21" w16cid:durableId="1913351779">
    <w:abstractNumId w:val="9"/>
  </w:num>
  <w:num w:numId="22" w16cid:durableId="151408921">
    <w:abstractNumId w:val="7"/>
  </w:num>
  <w:num w:numId="23" w16cid:durableId="1887063222">
    <w:abstractNumId w:val="6"/>
  </w:num>
  <w:num w:numId="24" w16cid:durableId="1040665292">
    <w:abstractNumId w:val="5"/>
  </w:num>
  <w:num w:numId="25" w16cid:durableId="1574968525">
    <w:abstractNumId w:val="4"/>
  </w:num>
  <w:num w:numId="26" w16cid:durableId="898827702">
    <w:abstractNumId w:val="8"/>
  </w:num>
  <w:num w:numId="27" w16cid:durableId="981890008">
    <w:abstractNumId w:val="3"/>
  </w:num>
  <w:num w:numId="28" w16cid:durableId="102923589">
    <w:abstractNumId w:val="2"/>
  </w:num>
  <w:num w:numId="29" w16cid:durableId="863707179">
    <w:abstractNumId w:val="1"/>
  </w:num>
  <w:num w:numId="30" w16cid:durableId="1792047258">
    <w:abstractNumId w:val="0"/>
  </w:num>
  <w:num w:numId="31" w16cid:durableId="391150999">
    <w:abstractNumId w:val="9"/>
  </w:num>
  <w:num w:numId="32" w16cid:durableId="301157281">
    <w:abstractNumId w:val="7"/>
  </w:num>
  <w:num w:numId="33" w16cid:durableId="227962042">
    <w:abstractNumId w:val="6"/>
  </w:num>
  <w:num w:numId="34" w16cid:durableId="1239904956">
    <w:abstractNumId w:val="5"/>
  </w:num>
  <w:num w:numId="35" w16cid:durableId="493498362">
    <w:abstractNumId w:val="4"/>
  </w:num>
  <w:num w:numId="36" w16cid:durableId="1040008137">
    <w:abstractNumId w:val="8"/>
  </w:num>
  <w:num w:numId="37" w16cid:durableId="310453310">
    <w:abstractNumId w:val="3"/>
  </w:num>
  <w:num w:numId="38" w16cid:durableId="445735861">
    <w:abstractNumId w:val="2"/>
  </w:num>
  <w:num w:numId="39" w16cid:durableId="689988172">
    <w:abstractNumId w:val="1"/>
  </w:num>
  <w:num w:numId="40" w16cid:durableId="1853565737">
    <w:abstractNumId w:val="0"/>
  </w:num>
  <w:num w:numId="41" w16cid:durableId="1608544717">
    <w:abstractNumId w:val="10"/>
  </w:num>
  <w:num w:numId="42" w16cid:durableId="1340767147">
    <w:abstractNumId w:val="10"/>
  </w:num>
  <w:num w:numId="43" w16cid:durableId="305746051">
    <w:abstractNumId w:val="10"/>
  </w:num>
  <w:num w:numId="44" w16cid:durableId="2111392911">
    <w:abstractNumId w:val="12"/>
  </w:num>
  <w:num w:numId="45" w16cid:durableId="1300771472">
    <w:abstractNumId w:val="13"/>
  </w:num>
  <w:num w:numId="46" w16cid:durableId="17494262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EE"/>
    <w:rsid w:val="00002272"/>
    <w:rsid w:val="00063A64"/>
    <w:rsid w:val="00064002"/>
    <w:rsid w:val="000677B9"/>
    <w:rsid w:val="000831BA"/>
    <w:rsid w:val="000A42CC"/>
    <w:rsid w:val="000E7DD9"/>
    <w:rsid w:val="0010095E"/>
    <w:rsid w:val="00125B37"/>
    <w:rsid w:val="0016218E"/>
    <w:rsid w:val="00187494"/>
    <w:rsid w:val="001F32AE"/>
    <w:rsid w:val="002767FF"/>
    <w:rsid w:val="002B18FE"/>
    <w:rsid w:val="002B5493"/>
    <w:rsid w:val="00343214"/>
    <w:rsid w:val="00361C00"/>
    <w:rsid w:val="00395FA1"/>
    <w:rsid w:val="003E15D4"/>
    <w:rsid w:val="003E6639"/>
    <w:rsid w:val="00411CCE"/>
    <w:rsid w:val="0041666E"/>
    <w:rsid w:val="00421060"/>
    <w:rsid w:val="00471C19"/>
    <w:rsid w:val="004867E3"/>
    <w:rsid w:val="00494A28"/>
    <w:rsid w:val="004C0004"/>
    <w:rsid w:val="004C5D52"/>
    <w:rsid w:val="0050519A"/>
    <w:rsid w:val="005072A1"/>
    <w:rsid w:val="00514517"/>
    <w:rsid w:val="00545827"/>
    <w:rsid w:val="00560270"/>
    <w:rsid w:val="0059246F"/>
    <w:rsid w:val="005C2568"/>
    <w:rsid w:val="005F1B17"/>
    <w:rsid w:val="006037C0"/>
    <w:rsid w:val="006631B6"/>
    <w:rsid w:val="00680577"/>
    <w:rsid w:val="006F74FA"/>
    <w:rsid w:val="00731ADD"/>
    <w:rsid w:val="00734777"/>
    <w:rsid w:val="00747932"/>
    <w:rsid w:val="00751A4A"/>
    <w:rsid w:val="00756632"/>
    <w:rsid w:val="00762C74"/>
    <w:rsid w:val="00767C7C"/>
    <w:rsid w:val="00786EC0"/>
    <w:rsid w:val="007D1690"/>
    <w:rsid w:val="007E22AD"/>
    <w:rsid w:val="00817416"/>
    <w:rsid w:val="00842779"/>
    <w:rsid w:val="00865F67"/>
    <w:rsid w:val="00881A7B"/>
    <w:rsid w:val="008840E5"/>
    <w:rsid w:val="00887B3E"/>
    <w:rsid w:val="00892794"/>
    <w:rsid w:val="008C2AC6"/>
    <w:rsid w:val="008F7E00"/>
    <w:rsid w:val="00930C23"/>
    <w:rsid w:val="0093193B"/>
    <w:rsid w:val="009509D8"/>
    <w:rsid w:val="00950B64"/>
    <w:rsid w:val="00981893"/>
    <w:rsid w:val="00A1687D"/>
    <w:rsid w:val="00A316E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256"/>
    <w:rsid w:val="00CC2357"/>
    <w:rsid w:val="00CF071A"/>
    <w:rsid w:val="00D058B8"/>
    <w:rsid w:val="00D56C11"/>
    <w:rsid w:val="00D834A0"/>
    <w:rsid w:val="00D872DF"/>
    <w:rsid w:val="00D91E21"/>
    <w:rsid w:val="00DA7FCD"/>
    <w:rsid w:val="00E30CEE"/>
    <w:rsid w:val="00E365E1"/>
    <w:rsid w:val="00E726AE"/>
    <w:rsid w:val="00E820A4"/>
    <w:rsid w:val="00E924CE"/>
    <w:rsid w:val="00EB006A"/>
    <w:rsid w:val="00EB4772"/>
    <w:rsid w:val="00ED169E"/>
    <w:rsid w:val="00ED4235"/>
    <w:rsid w:val="00F04346"/>
    <w:rsid w:val="00F075DC"/>
    <w:rsid w:val="00F149E9"/>
    <w:rsid w:val="00F5134D"/>
    <w:rsid w:val="00F74202"/>
    <w:rsid w:val="00F87713"/>
    <w:rsid w:val="00FB4360"/>
    <w:rsid w:val="00FD0C70"/>
  </w:rsids>
  <w:docVars>
    <w:docVar w:name="dvdocse" w:val="A10-0070/2026"/>
    <w:docVar w:name="dvlangue" w:val="LV"/>
    <w:docVar w:name="dvnumam" w:val="17"/>
    <w:docVar w:name="dvpe" w:val="779.298"/>
    <w:docVar w:name="dvrapporteur" w:val="Referents: "/>
    <w:docVar w:name="dvstar" w:val="***I"/>
    <w:docVar w:name="dvtitre" w:val="Eiropas Parlamenta 2026. gada XX. XXX normatīvā rezolūcija par priekšlikumu Eiropas Parlamenta un Padomes regulai par muitas nodokļu nepiemērošanu dažu preču importam(COM(2025)0472 – C10-0192/2025 – 2025/0260(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FB26DCB"/>
  <w15:chartTrackingRefBased/>
  <w15:docId w15:val="{2C6B812C-414F-451D-A057-538A048DA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annotation text"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link w:val="ftrefCharCharCharCharCharCharCharCharChar"/>
    <w:uiPriority w:val="99"/>
    <w:qFormat/>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libléc,lįbléc,o,Ch"/>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libléc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8F7E00"/>
    <w:pPr>
      <w:spacing w:after="120"/>
    </w:pPr>
  </w:style>
  <w:style w:type="paragraph" w:customStyle="1" w:styleId="NormalBold">
    <w:name w:val="NormalBold"/>
    <w:basedOn w:val="Normal"/>
    <w:link w:val="NormalBoldChar"/>
    <w:rsid w:val="008F7E00"/>
    <w:rPr>
      <w:b/>
    </w:rPr>
  </w:style>
  <w:style w:type="paragraph" w:customStyle="1" w:styleId="NormalBold12a">
    <w:name w:val="NormalBold12a"/>
    <w:basedOn w:val="Normal"/>
    <w:rsid w:val="008F7E00"/>
    <w:pPr>
      <w:spacing w:after="240"/>
    </w:pPr>
    <w:rPr>
      <w:b/>
    </w:rPr>
  </w:style>
  <w:style w:type="paragraph" w:customStyle="1" w:styleId="NormalHanging12a">
    <w:name w:val="NormalHanging12a"/>
    <w:basedOn w:val="Normal"/>
    <w:rsid w:val="008F7E00"/>
    <w:pPr>
      <w:spacing w:after="240"/>
      <w:ind w:left="567" w:hanging="567"/>
    </w:pPr>
  </w:style>
  <w:style w:type="paragraph" w:customStyle="1" w:styleId="AmColumnHeading">
    <w:name w:val="AmColumnHeading"/>
    <w:basedOn w:val="Normal"/>
    <w:rsid w:val="008F7E00"/>
    <w:pPr>
      <w:spacing w:after="240"/>
      <w:jc w:val="center"/>
    </w:pPr>
    <w:rPr>
      <w:i/>
    </w:rPr>
  </w:style>
  <w:style w:type="paragraph" w:customStyle="1" w:styleId="AmNumberTabs">
    <w:name w:val="AmNumberTabs"/>
    <w:basedOn w:val="Normal"/>
    <w:rsid w:val="008F7E0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8F7E00"/>
    <w:pPr>
      <w:spacing w:before="240"/>
    </w:pPr>
    <w:rPr>
      <w:b/>
    </w:rPr>
  </w:style>
  <w:style w:type="paragraph" w:customStyle="1" w:styleId="EPComma">
    <w:name w:val="EPComma"/>
    <w:basedOn w:val="Normal"/>
    <w:rsid w:val="008F7E00"/>
    <w:pPr>
      <w:spacing w:before="480" w:after="240"/>
    </w:pPr>
  </w:style>
  <w:style w:type="character" w:customStyle="1" w:styleId="Normal6Char">
    <w:name w:val="Normal6 Char"/>
    <w:link w:val="Normal6"/>
    <w:locked/>
    <w:rsid w:val="008F7E00"/>
    <w:rPr>
      <w:sz w:val="24"/>
      <w:lang w:val="lv-LV"/>
    </w:rPr>
  </w:style>
  <w:style w:type="paragraph" w:customStyle="1" w:styleId="Normal6">
    <w:name w:val="Normal6"/>
    <w:basedOn w:val="Normal"/>
    <w:link w:val="Normal6Char"/>
    <w:rsid w:val="008F7E00"/>
    <w:pPr>
      <w:spacing w:after="120"/>
    </w:pPr>
  </w:style>
  <w:style w:type="character" w:customStyle="1" w:styleId="NormalBoldChar">
    <w:name w:val="NormalBold Char"/>
    <w:link w:val="NormalBold"/>
    <w:locked/>
    <w:rsid w:val="008F7E00"/>
    <w:rPr>
      <w:b/>
      <w:sz w:val="24"/>
      <w:lang w:val="lv-LV"/>
    </w:rPr>
  </w:style>
  <w:style w:type="paragraph" w:customStyle="1" w:styleId="ColumnHeading">
    <w:name w:val="ColumnHeading"/>
    <w:basedOn w:val="Normal"/>
    <w:rsid w:val="008F7E00"/>
    <w:pPr>
      <w:spacing w:after="240"/>
      <w:jc w:val="center"/>
    </w:pPr>
    <w:rPr>
      <w:i/>
    </w:rPr>
  </w:style>
  <w:style w:type="character" w:styleId="Hyperlink">
    <w:name w:val="Hyperlink"/>
    <w:basedOn w:val="DefaultParagraphFont"/>
    <w:rsid w:val="008F7E00"/>
    <w:rPr>
      <w:color w:val="0563C1" w:themeColor="hyperlink"/>
      <w:u w:val="single"/>
    </w:rPr>
  </w:style>
  <w:style w:type="paragraph" w:customStyle="1" w:styleId="EPFooter2">
    <w:name w:val="EPFooter2"/>
    <w:basedOn w:val="Normal"/>
    <w:next w:val="Normal"/>
    <w:rsid w:val="00CC1256"/>
    <w:pPr>
      <w:widowControl/>
      <w:tabs>
        <w:tab w:val="center" w:pos="4535"/>
        <w:tab w:val="right" w:pos="9921"/>
      </w:tabs>
      <w:ind w:left="-850" w:right="-850"/>
    </w:pPr>
    <w:rPr>
      <w:rFonts w:ascii="Arial" w:hAnsi="Arial" w:cs="Arial"/>
      <w:b/>
      <w:sz w:val="48"/>
    </w:rPr>
  </w:style>
  <w:style w:type="paragraph" w:customStyle="1" w:styleId="AmOrLang">
    <w:name w:val="AmOrLang"/>
    <w:basedOn w:val="Normal"/>
    <w:rsid w:val="00CC1256"/>
    <w:pPr>
      <w:spacing w:before="240" w:after="240"/>
      <w:jc w:val="right"/>
    </w:pPr>
  </w:style>
  <w:style w:type="paragraph" w:customStyle="1" w:styleId="NormalCenter12a">
    <w:name w:val="NormalCenter12a"/>
    <w:basedOn w:val="Normal"/>
    <w:rsid w:val="00CC1256"/>
    <w:pPr>
      <w:spacing w:after="240"/>
      <w:jc w:val="center"/>
    </w:pPr>
  </w:style>
  <w:style w:type="paragraph" w:customStyle="1" w:styleId="EPFooter">
    <w:name w:val="EPFooter"/>
    <w:basedOn w:val="Normal"/>
    <w:rsid w:val="00CC1256"/>
    <w:pPr>
      <w:tabs>
        <w:tab w:val="center" w:pos="4535"/>
        <w:tab w:val="right" w:pos="9071"/>
      </w:tabs>
      <w:spacing w:before="240" w:after="240"/>
    </w:pPr>
    <w:rPr>
      <w:color w:val="010000"/>
      <w:sz w:val="22"/>
    </w:rPr>
  </w:style>
  <w:style w:type="character" w:customStyle="1" w:styleId="Hyperlink1">
    <w:name w:val="Hyperlink1"/>
    <w:basedOn w:val="DefaultParagraphFont"/>
    <w:uiPriority w:val="99"/>
    <w:unhideWhenUsed/>
    <w:rsid w:val="00CC1256"/>
    <w:rPr>
      <w:color w:val="0563C1"/>
      <w:u w:val="single"/>
    </w:rPr>
  </w:style>
  <w:style w:type="character" w:styleId="CommentReference">
    <w:name w:val="annotation reference"/>
    <w:basedOn w:val="DefaultParagraphFont"/>
    <w:uiPriority w:val="99"/>
    <w:unhideWhenUsed/>
    <w:rsid w:val="00CC1256"/>
    <w:rPr>
      <w:sz w:val="16"/>
      <w:szCs w:val="16"/>
    </w:rPr>
  </w:style>
  <w:style w:type="paragraph" w:styleId="CommentText">
    <w:name w:val="annotation text"/>
    <w:basedOn w:val="Normal"/>
    <w:link w:val="CommentTextChar"/>
    <w:uiPriority w:val="99"/>
    <w:unhideWhenUsed/>
    <w:rsid w:val="00CC1256"/>
    <w:pPr>
      <w:widowControl/>
      <w:spacing w:before="120" w:after="120"/>
    </w:pPr>
    <w:rPr>
      <w:rFonts w:eastAsia="Calibri"/>
      <w:sz w:val="20"/>
      <w:lang w:eastAsia="lv-LV" w:bidi="lv-LV"/>
    </w:rPr>
  </w:style>
  <w:style w:type="character" w:customStyle="1" w:styleId="CommentTextChar">
    <w:name w:val="Comment Text Char"/>
    <w:basedOn w:val="DefaultParagraphFont"/>
    <w:link w:val="CommentText"/>
    <w:uiPriority w:val="99"/>
    <w:rsid w:val="00CC1256"/>
    <w:rPr>
      <w:rFonts w:eastAsia="Calibri"/>
      <w:lang w:val="lv-LV" w:eastAsia="lv-LV" w:bidi="lv-LV"/>
    </w:rPr>
  </w:style>
  <w:style w:type="paragraph" w:styleId="Revision">
    <w:name w:val="Revision"/>
    <w:hidden/>
    <w:uiPriority w:val="99"/>
    <w:semiHidden/>
    <w:rsid w:val="00CC1256"/>
    <w:rPr>
      <w:sz w:val="24"/>
      <w:lang w:val="lv-LV"/>
    </w:rPr>
  </w:style>
  <w:style w:type="paragraph" w:styleId="ListParagraph">
    <w:name w:val="List Paragraph"/>
    <w:basedOn w:val="Normal"/>
    <w:uiPriority w:val="34"/>
    <w:qFormat/>
    <w:rsid w:val="00CC1256"/>
    <w:pPr>
      <w:ind w:left="720"/>
      <w:contextualSpacing/>
    </w:pPr>
  </w:style>
  <w:style w:type="paragraph" w:customStyle="1" w:styleId="Normal12Hanging">
    <w:name w:val="Normal12Hanging"/>
    <w:basedOn w:val="Normal"/>
    <w:link w:val="Normal12HangingChar"/>
    <w:rsid w:val="00CC1256"/>
    <w:pPr>
      <w:spacing w:after="240"/>
      <w:ind w:left="357" w:hanging="357"/>
    </w:pPr>
  </w:style>
  <w:style w:type="character" w:customStyle="1" w:styleId="Normal12HangingChar">
    <w:name w:val="Normal12Hanging Char"/>
    <w:basedOn w:val="DefaultParagraphFont"/>
    <w:link w:val="Normal12Hanging"/>
    <w:rsid w:val="00CC1256"/>
    <w:rPr>
      <w:sz w:val="24"/>
      <w:lang w:val="lv-LV"/>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CC1256"/>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234</Words>
  <Characters>1750</Characters>
  <Application>Microsoft Office Word</Application>
  <DocSecurity>0</DocSecurity>
  <Lines>145</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2026-09-01T13:06:00Z</dcterms:created>
  <dcterms:modified xsi:type="dcterms:W3CDTF">2026-09-01T13:06:00Z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P10_TA(2026)0197_</vt:lpwstr>
  </property>
  <property fmtid="{D5CDD505-2E9C-101B-9397-08002B2CF9AE}" pid="4" name="&lt;Type&gt;">
    <vt:lpwstr>RR</vt:lpwstr>
  </property>
</Properties>
</file>