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EE4F30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227AA" w:rsidP="0010095E" w14:paraId="6DAD95FC" w14:textId="77777777">
            <w:pPr>
              <w:pStyle w:val="EPName"/>
            </w:pPr>
            <w:r w:rsidRPr="00D227AA">
              <w:t>Parlament Europejski</w:t>
            </w:r>
          </w:p>
          <w:p w:rsidR="00751A4A" w:rsidRPr="00D227AA" w:rsidP="005F1B17" w14:paraId="375FDB62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27AA">
              <w:t>2024</w:t>
            </w:r>
            <w:r w:rsidRPr="00D227AA" w:rsidR="00817416">
              <w:t>-202</w:t>
            </w:r>
            <w:r w:rsidRPr="00D227A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227AA" w:rsidP="0010095E" w14:paraId="73701BBC" w14:textId="77777777">
            <w:pPr>
              <w:pStyle w:val="EPLogo"/>
            </w:pPr>
            <w:r w:rsidRPr="00D227A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227AA" w:rsidP="004C5D52" w14:paraId="204C5DF0" w14:textId="77777777">
      <w:pPr>
        <w:pStyle w:val="LineTop"/>
      </w:pPr>
    </w:p>
    <w:p w:rsidR="00680577" w:rsidRPr="00D227AA" w:rsidP="00680577" w14:paraId="2CBC8679" w14:textId="77777777">
      <w:pPr>
        <w:pStyle w:val="EPBodyTA1"/>
      </w:pPr>
      <w:r w:rsidRPr="00D227AA">
        <w:t>TEKSTY PRZYJĘTE</w:t>
      </w:r>
    </w:p>
    <w:p w:rsidR="00D058B8" w:rsidRPr="00D227AA" w:rsidP="00D058B8" w14:paraId="577F91F8" w14:textId="77777777">
      <w:pPr>
        <w:pStyle w:val="LineBottom"/>
      </w:pPr>
    </w:p>
    <w:p w:rsidR="004C6EFC" w:rsidRPr="00D227AA" w:rsidP="004C6EFC" w14:paraId="540FB1E8" w14:textId="3DCD4044">
      <w:pPr>
        <w:pStyle w:val="ATHeading1"/>
      </w:pPr>
      <w:bookmarkStart w:id="0" w:name="TANumber"/>
      <w:r w:rsidRPr="00D227AA">
        <w:t>P10_TA(2026)0</w:t>
      </w:r>
      <w:bookmarkEnd w:id="0"/>
      <w:r w:rsidR="00FE3F2F">
        <w:t>197</w:t>
      </w:r>
    </w:p>
    <w:p w:rsidR="004C6EFC" w:rsidRPr="002213CB" w:rsidP="004C6EFC" w14:paraId="7928F0D0" w14:textId="75F1456A">
      <w:pPr>
        <w:pStyle w:val="ATHeading2"/>
      </w:pPr>
      <w:r w:rsidRPr="002213CB">
        <w:t>Niestosowanie ceł przywozowych na niektóre towary</w:t>
      </w:r>
    </w:p>
    <w:p w:rsidR="004C6EFC" w:rsidRPr="00D227AA" w:rsidP="004C6EFC" w14:paraId="32AB4C1B" w14:textId="77777777">
      <w:pPr>
        <w:rPr>
          <w:i/>
          <w:vanish/>
        </w:rPr>
      </w:pPr>
      <w:r>
        <w:rPr>
          <w:i/>
        </w:rPr>
        <w:fldChar w:fldCharType="begin"/>
      </w:r>
      <w:r w:rsidRPr="00D227AA">
        <w:rPr>
          <w:i/>
        </w:rPr>
        <w:instrText xml:space="preserve"> TC"(</w:instrText>
      </w:r>
      <w:bookmarkStart w:id="1" w:name="DocNumber"/>
      <w:r w:rsidRPr="00D227AA">
        <w:rPr>
          <w:i/>
        </w:rPr>
        <w:instrText>A10-0070/2026</w:instrText>
      </w:r>
      <w:bookmarkEnd w:id="1"/>
      <w:r w:rsidRPr="00D227AA">
        <w:rPr>
          <w:i/>
        </w:rPr>
        <w:instrText xml:space="preserve"> - Sprawozdawca: </w:instrText>
      </w:r>
      <w:r w:rsidRPr="00D227AA">
        <w:rPr>
          <w:i/>
        </w:rPr>
        <w:instrText>Bernd</w:instrText>
      </w:r>
      <w:r w:rsidRPr="00D227AA">
        <w:rPr>
          <w:i/>
        </w:rPr>
        <w:instrText xml:space="preserve"> Lange)"\l3 \n&gt; \* MERGEFORMAT </w:instrText>
      </w:r>
      <w:r>
        <w:rPr>
          <w:i/>
        </w:rPr>
        <w:fldChar w:fldCharType="end"/>
      </w:r>
    </w:p>
    <w:p w:rsidR="004C6EFC" w:rsidRPr="00D227AA" w:rsidP="004C6EFC" w14:paraId="70937B0D" w14:textId="77777777">
      <w:pPr>
        <w:rPr>
          <w:vanish/>
        </w:rPr>
      </w:pPr>
      <w:bookmarkStart w:id="2" w:name="Commission"/>
      <w:r w:rsidRPr="00D227AA">
        <w:rPr>
          <w:vanish/>
        </w:rPr>
        <w:t>Komisja Handlu Międzynarodowego</w:t>
      </w:r>
      <w:bookmarkEnd w:id="2"/>
    </w:p>
    <w:p w:rsidR="004C6EFC" w:rsidRPr="00D227AA" w:rsidP="004C6EFC" w14:paraId="64E49A5B" w14:textId="77777777">
      <w:pPr>
        <w:rPr>
          <w:vanish/>
        </w:rPr>
      </w:pPr>
      <w:bookmarkStart w:id="3" w:name="PE"/>
      <w:r w:rsidRPr="00D227AA">
        <w:rPr>
          <w:vanish/>
        </w:rPr>
        <w:t>PE779.298</w:t>
      </w:r>
      <w:bookmarkEnd w:id="3"/>
    </w:p>
    <w:p w:rsidR="004C6EFC" w:rsidRPr="00D227AA" w:rsidP="004C6EFC" w14:paraId="31027FFC" w14:textId="45999403">
      <w:pPr>
        <w:pStyle w:val="ATHeading3"/>
      </w:pPr>
      <w:bookmarkStart w:id="4" w:name="Sujet"/>
      <w:r w:rsidRPr="00D227AA">
        <w:t xml:space="preserve">Rezolucja ustawodawcza Parlamentu Europejskiego z dnia </w:t>
      </w:r>
      <w:r w:rsidR="002213CB">
        <w:t>16</w:t>
      </w:r>
      <w:r w:rsidR="00044535">
        <w:t xml:space="preserve"> czerwca</w:t>
      </w:r>
      <w:r w:rsidRPr="00D227AA">
        <w:t xml:space="preserve"> 2026 r. w sprawie wniosku dotyczącego rozporządzenia Parlamentu Europejskiego i Rady o niestosowaniu ceł przywozowych na niektóre towary</w:t>
      </w:r>
      <w:bookmarkEnd w:id="4"/>
      <w:r w:rsidRPr="00D227AA">
        <w:t xml:space="preserve"> </w:t>
      </w:r>
      <w:bookmarkStart w:id="5" w:name="References"/>
      <w:r w:rsidRPr="00D227AA">
        <w:t>(COM(2025)0472 – C10-0192/2025 – 2025/0260(COD))</w:t>
      </w:r>
      <w:bookmarkEnd w:id="5"/>
    </w:p>
    <w:p w:rsidR="00503FF4" w:rsidRPr="00D227AA" w:rsidP="00503FF4" w14:paraId="29389479" w14:textId="77777777">
      <w:pPr>
        <w:pStyle w:val="NormalBold"/>
      </w:pPr>
      <w:r w:rsidRPr="00D227AA">
        <w:t>(Zwykła procedura ustawodawcza: pierwsze czytanie)</w:t>
      </w:r>
    </w:p>
    <w:p w:rsidR="00503FF4" w:rsidRPr="00D227AA" w:rsidP="00503FF4" w14:paraId="7AA4C0B1" w14:textId="77777777">
      <w:pPr>
        <w:pStyle w:val="EPComma"/>
      </w:pPr>
      <w:r w:rsidRPr="00D227AA">
        <w:rPr>
          <w:i/>
        </w:rPr>
        <w:t>Parlament Europejski</w:t>
      </w:r>
      <w:r w:rsidRPr="00D227AA">
        <w:t>,</w:t>
      </w:r>
    </w:p>
    <w:p w:rsidR="00503FF4" w:rsidRPr="00D227AA" w:rsidP="00503FF4" w14:paraId="1D81453B" w14:textId="77777777">
      <w:pPr>
        <w:pStyle w:val="NormalHanging12a"/>
      </w:pPr>
      <w:r w:rsidRPr="00D227AA">
        <w:t>–</w:t>
      </w:r>
      <w:r w:rsidRPr="00D227AA">
        <w:tab/>
        <w:t>uwzględniając wniosek Komisji przedstawiony Parlamentowi Europejskiemu i Radzie (COM(2025)0472),</w:t>
      </w:r>
    </w:p>
    <w:p w:rsidR="00503FF4" w:rsidRPr="00D227AA" w:rsidP="00503FF4" w14:paraId="0349B6E3" w14:textId="77777777">
      <w:pPr>
        <w:pStyle w:val="NormalHanging12a"/>
      </w:pPr>
      <w:r w:rsidRPr="00D227AA">
        <w:t>–</w:t>
      </w:r>
      <w:r w:rsidRPr="00D227AA">
        <w:tab/>
        <w:t>uwzględniając art. 294 ust. 2 i art. 207 ust. 2 Traktatu o funkcjonowaniu Unii Europejskiej, zgodnie z którymi wniosek został przedstawiony Parlamentowi przez Komisję (C10</w:t>
      </w:r>
      <w:r w:rsidRPr="00D227AA">
        <w:noBreakHyphen/>
        <w:t>0192/2025),</w:t>
      </w:r>
    </w:p>
    <w:p w:rsidR="00503FF4" w:rsidRPr="00D227AA" w:rsidP="00503FF4" w14:paraId="3DF9DCC2" w14:textId="77777777">
      <w:pPr>
        <w:pStyle w:val="NormalHanging12a"/>
      </w:pPr>
      <w:r w:rsidRPr="00D227AA">
        <w:t>–</w:t>
      </w:r>
      <w:r w:rsidRPr="00D227AA">
        <w:tab/>
        <w:t>uwzględniając art. 294 ust. 3 Traktatu o funkcjonowaniu Unii Europejskiej,</w:t>
      </w:r>
    </w:p>
    <w:p w:rsidR="00503FF4" w:rsidP="00503FF4" w14:paraId="3596E475" w14:textId="77777777">
      <w:pPr>
        <w:pStyle w:val="NormalHanging12a"/>
      </w:pPr>
      <w:r w:rsidRPr="00D227AA">
        <w:t>–</w:t>
      </w:r>
      <w:r w:rsidRPr="00D227AA">
        <w:tab/>
        <w:t>uwzględniając ocenę budżetową sporządzoną przez Komisję Budżetową,</w:t>
      </w:r>
    </w:p>
    <w:p w:rsidR="002213CB" w:rsidRPr="00D227AA" w:rsidP="00503FF4" w14:paraId="60CDA3B2" w14:textId="4C0DD6FA">
      <w:pPr>
        <w:pStyle w:val="NormalHanging12a"/>
      </w:pPr>
      <w:bookmarkStart w:id="6" w:name="_Hlk211842926"/>
      <w:r w:rsidRPr="0090212C">
        <w:t>–</w:t>
      </w:r>
      <w:r w:rsidRPr="0090212C">
        <w:tab/>
        <w:t xml:space="preserve">uwzględniając wstępne porozumienie zatwierdzone przez komisję </w:t>
      </w:r>
      <w:r>
        <w:t>przedmiotowo właściwą na podstawie art. 75</w:t>
      </w:r>
      <w:r w:rsidRPr="0090212C">
        <w:t xml:space="preserve"> ust. 4 Regulaminu oraz </w:t>
      </w:r>
      <w:r>
        <w:t>przekazane pismem z dnia 27 maja 2026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>, zgodnie z art. 294 ust. 4 Traktatu o funkcjonowaniu Unii Europejskiej,</w:t>
      </w:r>
      <w:bookmarkEnd w:id="6"/>
    </w:p>
    <w:p w:rsidR="00503FF4" w:rsidRPr="00D227AA" w:rsidP="00503FF4" w14:paraId="78C72F26" w14:textId="55655539">
      <w:pPr>
        <w:pStyle w:val="NormalHanging12a"/>
      </w:pPr>
      <w:r w:rsidRPr="00D227AA">
        <w:t>–</w:t>
      </w:r>
      <w:r w:rsidRPr="00D227AA">
        <w:tab/>
        <w:t xml:space="preserve">uwzględniając art. 60 </w:t>
      </w:r>
      <w:r w:rsidR="002213CB">
        <w:t xml:space="preserve">i </w:t>
      </w:r>
      <w:r w:rsidR="000F6338">
        <w:t>art. </w:t>
      </w:r>
      <w:r w:rsidR="002213CB">
        <w:t xml:space="preserve">58 </w:t>
      </w:r>
      <w:r w:rsidRPr="00D227AA">
        <w:t>Regulaminu,</w:t>
      </w:r>
    </w:p>
    <w:p w:rsidR="00503FF4" w:rsidRPr="00D227AA" w:rsidP="00503FF4" w14:paraId="0C68AC0F" w14:textId="77777777">
      <w:pPr>
        <w:pStyle w:val="NormalHanging12a"/>
      </w:pPr>
      <w:r w:rsidRPr="00D227AA">
        <w:t>–</w:t>
      </w:r>
      <w:r w:rsidRPr="00D227AA">
        <w:tab/>
        <w:t>uwzględniając sprawozdanie Komisji Handlu Międzynarodowego (A10-0070/2026),</w:t>
      </w:r>
    </w:p>
    <w:p w:rsidR="00503FF4" w:rsidRPr="00D227AA" w:rsidP="00503FF4" w14:paraId="269D7A9E" w14:textId="405EAD88">
      <w:pPr>
        <w:pStyle w:val="NormalHanging12a"/>
      </w:pPr>
      <w:r w:rsidRPr="00D227AA">
        <w:t>1.</w:t>
      </w:r>
      <w:r w:rsidRPr="00D227AA">
        <w:tab/>
        <w:t>przyjmuje poniższe stanowisko w pierwszym czytaniu</w:t>
      </w:r>
      <w:r>
        <w:rPr>
          <w:rStyle w:val="FootnoteReference"/>
        </w:rPr>
        <w:footnoteReference w:id="2"/>
      </w:r>
      <w:r w:rsidRPr="00D227AA">
        <w:t>;</w:t>
      </w:r>
    </w:p>
    <w:p w:rsidR="00503FF4" w:rsidRPr="00D227AA" w:rsidP="00503FF4" w14:paraId="0275B799" w14:textId="77777777">
      <w:pPr>
        <w:pStyle w:val="NormalHanging12a"/>
      </w:pPr>
      <w:r w:rsidRPr="00D227AA">
        <w:t>2.</w:t>
      </w:r>
      <w:r w:rsidRPr="00D227AA">
        <w:tab/>
        <w:t>zwraca się do Komisji o ponowne przekazanie mu sprawy, jeśli zastąpi ona pierwotny wniosek, wprowadzi w nim istotne zmiany lub planuje ich wprowadzenie;</w:t>
      </w:r>
    </w:p>
    <w:p w:rsidR="002213CB" w:rsidP="00503FF4" w14:paraId="53A36C3D" w14:textId="77777777">
      <w:pPr>
        <w:pStyle w:val="NormalHanging12a"/>
        <w:sectPr w:rsidSect="00D227AA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227AA">
        <w:t>3.</w:t>
      </w:r>
      <w:r w:rsidRPr="00D227AA">
        <w:tab/>
        <w:t>zobowiązuje swoją przewodniczącą do przekazania stanowiska Parlamentu Radzie i Komisji oraz parlamentom narodowym.</w:t>
      </w:r>
    </w:p>
    <w:p w:rsidR="002213CB" w:rsidP="002213CB" w14:paraId="1D9C8CA8" w14:textId="5E9696D4">
      <w:pPr>
        <w:spacing w:after="240"/>
        <w:rPr>
          <w:b/>
        </w:rPr>
      </w:pPr>
      <w:r>
        <w:rPr>
          <w:b/>
        </w:rPr>
        <w:t>P10_TC1-COD(2025)0260</w:t>
      </w:r>
    </w:p>
    <w:p w:rsidR="002213CB" w:rsidP="002213CB" w14:paraId="244BB905" w14:textId="7EDA73E1">
      <w:pPr>
        <w:spacing w:after="240"/>
        <w:rPr>
          <w:b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>
        <w:rPr>
          <w:b/>
        </w:rPr>
        <w:t>16 czerwca 2026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2026/... </w:t>
      </w:r>
      <w:r w:rsidRPr="00EB1245">
        <w:rPr>
          <w:b/>
        </w:rPr>
        <w:t>w sprawie niestosowania ceł na przywóz niektórych towarów</w:t>
      </w:r>
    </w:p>
    <w:p w:rsidR="001E3271" w:rsidRPr="009B0F34" w:rsidP="001E3271" w14:paraId="1418AD17" w14:textId="3E03AF49">
      <w:pPr>
        <w:spacing w:before="240"/>
        <w:rPr>
          <w:i/>
        </w:rPr>
      </w:pPr>
      <w:r w:rsidRPr="009B0F34">
        <w:rPr>
          <w:i/>
        </w:rPr>
        <w:t>(Jako że pomiędzy Parlamentem i Radą osiągnięte zostało porozumienie, stanowisko Parlamentu odpowiada ostatecznej wersji aktu prawnego, rozporządzenia (UE) 202</w:t>
      </w:r>
      <w:r>
        <w:rPr>
          <w:i/>
        </w:rPr>
        <w:t>6</w:t>
      </w:r>
      <w:r w:rsidRPr="009B0F34">
        <w:rPr>
          <w:i/>
        </w:rPr>
        <w:t>/</w:t>
      </w:r>
      <w:r>
        <w:rPr>
          <w:i/>
        </w:rPr>
        <w:t>1461</w:t>
      </w:r>
      <w:r w:rsidRPr="009B0F34">
        <w:rPr>
          <w:i/>
        </w:rPr>
        <w:t>.)</w:t>
      </w:r>
    </w:p>
    <w:p w:rsidR="001E3271" w:rsidRPr="00EB1245" w:rsidP="002213CB" w14:paraId="7EE78CFC" w14:textId="77777777">
      <w:pPr>
        <w:spacing w:after="240"/>
        <w:rPr>
          <w:b/>
          <w:bCs/>
        </w:rPr>
      </w:pPr>
    </w:p>
    <w:sectPr w:rsidSect="002213C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C6EFC" w:rsidRPr="00D227AA" w14:paraId="71D9829E" w14:textId="77777777">
      <w:r w:rsidRPr="00D227AA">
        <w:separator/>
      </w:r>
    </w:p>
  </w:footnote>
  <w:footnote w:type="continuationSeparator" w:id="1">
    <w:p w:rsidR="004C6EFC" w:rsidRPr="00D227AA" w14:paraId="5CC6B4A5" w14:textId="77777777">
      <w:r w:rsidRPr="00D227AA">
        <w:continuationSeparator/>
      </w:r>
    </w:p>
  </w:footnote>
  <w:footnote w:id="2">
    <w:p w:rsidR="002213CB" w:rsidRPr="002B7BE4" w:rsidP="002213CB" w14:paraId="0B341659" w14:textId="33D2483C">
      <w:pPr>
        <w:pStyle w:val="FootnoteText"/>
        <w:ind w:left="851" w:hanging="851"/>
        <w:rPr>
          <w:lang w:val="pl-PL"/>
        </w:rPr>
      </w:pPr>
      <w:r>
        <w:rPr>
          <w:rStyle w:val="FootnoteReference"/>
        </w:rPr>
        <w:footnoteRef/>
      </w:r>
      <w:r w:rsidRPr="002B7BE4">
        <w:rPr>
          <w:lang w:val="pl-PL"/>
        </w:rPr>
        <w:t xml:space="preserve"> </w:t>
      </w:r>
      <w:r w:rsidRPr="002B7BE4">
        <w:rPr>
          <w:lang w:val="pl-PL"/>
        </w:rPr>
        <w:tab/>
      </w:r>
      <w:bookmarkStart w:id="7" w:name="_Hlk211843012"/>
      <w:r w:rsidRPr="002B7BE4">
        <w:rPr>
          <w:lang w:val="pl-PL"/>
        </w:rPr>
        <w:t xml:space="preserve">Niniejsze stanowisko zastępuje poprawki przyjęte dnia </w:t>
      </w:r>
      <w:r>
        <w:rPr>
          <w:lang w:val="pl-PL"/>
        </w:rPr>
        <w:t>26 marca</w:t>
      </w:r>
      <w:r w:rsidRPr="002B7BE4">
        <w:rPr>
          <w:lang w:val="pl-PL"/>
        </w:rPr>
        <w:t xml:space="preserve"> 20</w:t>
      </w:r>
      <w:r>
        <w:rPr>
          <w:lang w:val="pl-PL"/>
        </w:rPr>
        <w:t>26</w:t>
      </w:r>
      <w:r w:rsidRPr="002B7BE4">
        <w:rPr>
          <w:lang w:val="pl-PL"/>
        </w:rPr>
        <w:t xml:space="preserve"> r. (Teksty przyjęte, P</w:t>
      </w:r>
      <w:r>
        <w:rPr>
          <w:lang w:val="pl-PL"/>
        </w:rPr>
        <w:t>10</w:t>
      </w:r>
      <w:r w:rsidRPr="002B7BE4">
        <w:rPr>
          <w:lang w:val="pl-PL"/>
        </w:rPr>
        <w:t>_TA(202</w:t>
      </w:r>
      <w:r>
        <w:rPr>
          <w:lang w:val="pl-PL"/>
        </w:rPr>
        <w:t>6</w:t>
      </w:r>
      <w:r w:rsidRPr="002B7BE4">
        <w:rPr>
          <w:lang w:val="pl-PL"/>
        </w:rPr>
        <w:t>)00</w:t>
      </w:r>
      <w:r>
        <w:rPr>
          <w:lang w:val="pl-PL"/>
        </w:rPr>
        <w:t>97</w:t>
      </w:r>
      <w:r w:rsidRPr="002B7BE4">
        <w:rPr>
          <w:lang w:val="pl-PL"/>
        </w:rPr>
        <w:t>).</w:t>
      </w:r>
      <w:bookmarkEnd w:id="7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1356612">
    <w:abstractNumId w:val="9"/>
  </w:num>
  <w:num w:numId="2" w16cid:durableId="1794521769">
    <w:abstractNumId w:val="9"/>
  </w:num>
  <w:num w:numId="3" w16cid:durableId="86007425">
    <w:abstractNumId w:val="7"/>
  </w:num>
  <w:num w:numId="4" w16cid:durableId="1374304850">
    <w:abstractNumId w:val="7"/>
  </w:num>
  <w:num w:numId="5" w16cid:durableId="903838831">
    <w:abstractNumId w:val="6"/>
  </w:num>
  <w:num w:numId="6" w16cid:durableId="2071927464">
    <w:abstractNumId w:val="6"/>
  </w:num>
  <w:num w:numId="7" w16cid:durableId="1517036564">
    <w:abstractNumId w:val="5"/>
  </w:num>
  <w:num w:numId="8" w16cid:durableId="1497957842">
    <w:abstractNumId w:val="5"/>
  </w:num>
  <w:num w:numId="9" w16cid:durableId="701249841">
    <w:abstractNumId w:val="4"/>
  </w:num>
  <w:num w:numId="10" w16cid:durableId="1356006382">
    <w:abstractNumId w:val="4"/>
  </w:num>
  <w:num w:numId="11" w16cid:durableId="309794678">
    <w:abstractNumId w:val="8"/>
  </w:num>
  <w:num w:numId="12" w16cid:durableId="829448954">
    <w:abstractNumId w:val="8"/>
  </w:num>
  <w:num w:numId="13" w16cid:durableId="1504317976">
    <w:abstractNumId w:val="3"/>
  </w:num>
  <w:num w:numId="14" w16cid:durableId="1293707449">
    <w:abstractNumId w:val="3"/>
  </w:num>
  <w:num w:numId="15" w16cid:durableId="1289120169">
    <w:abstractNumId w:val="2"/>
  </w:num>
  <w:num w:numId="16" w16cid:durableId="2048213841">
    <w:abstractNumId w:val="2"/>
  </w:num>
  <w:num w:numId="17" w16cid:durableId="202136375">
    <w:abstractNumId w:val="1"/>
  </w:num>
  <w:num w:numId="18" w16cid:durableId="1792089702">
    <w:abstractNumId w:val="1"/>
  </w:num>
  <w:num w:numId="19" w16cid:durableId="200436668">
    <w:abstractNumId w:val="0"/>
  </w:num>
  <w:num w:numId="20" w16cid:durableId="925185911">
    <w:abstractNumId w:val="0"/>
  </w:num>
  <w:num w:numId="21" w16cid:durableId="1612932071">
    <w:abstractNumId w:val="9"/>
  </w:num>
  <w:num w:numId="22" w16cid:durableId="833565646">
    <w:abstractNumId w:val="7"/>
  </w:num>
  <w:num w:numId="23" w16cid:durableId="1581678390">
    <w:abstractNumId w:val="6"/>
  </w:num>
  <w:num w:numId="24" w16cid:durableId="1718894442">
    <w:abstractNumId w:val="5"/>
  </w:num>
  <w:num w:numId="25" w16cid:durableId="1493135744">
    <w:abstractNumId w:val="4"/>
  </w:num>
  <w:num w:numId="26" w16cid:durableId="2023820572">
    <w:abstractNumId w:val="8"/>
  </w:num>
  <w:num w:numId="27" w16cid:durableId="1044252349">
    <w:abstractNumId w:val="3"/>
  </w:num>
  <w:num w:numId="28" w16cid:durableId="22557401">
    <w:abstractNumId w:val="2"/>
  </w:num>
  <w:num w:numId="29" w16cid:durableId="923608901">
    <w:abstractNumId w:val="1"/>
  </w:num>
  <w:num w:numId="30" w16cid:durableId="1632396342">
    <w:abstractNumId w:val="0"/>
  </w:num>
  <w:num w:numId="31" w16cid:durableId="1438869310">
    <w:abstractNumId w:val="9"/>
  </w:num>
  <w:num w:numId="32" w16cid:durableId="1327632734">
    <w:abstractNumId w:val="7"/>
  </w:num>
  <w:num w:numId="33" w16cid:durableId="1605842123">
    <w:abstractNumId w:val="6"/>
  </w:num>
  <w:num w:numId="34" w16cid:durableId="2022778693">
    <w:abstractNumId w:val="5"/>
  </w:num>
  <w:num w:numId="35" w16cid:durableId="105469527">
    <w:abstractNumId w:val="4"/>
  </w:num>
  <w:num w:numId="36" w16cid:durableId="206725746">
    <w:abstractNumId w:val="8"/>
  </w:num>
  <w:num w:numId="37" w16cid:durableId="1689212072">
    <w:abstractNumId w:val="3"/>
  </w:num>
  <w:num w:numId="38" w16cid:durableId="1553233460">
    <w:abstractNumId w:val="2"/>
  </w:num>
  <w:num w:numId="39" w16cid:durableId="588006035">
    <w:abstractNumId w:val="1"/>
  </w:num>
  <w:num w:numId="40" w16cid:durableId="480733777">
    <w:abstractNumId w:val="0"/>
  </w:num>
  <w:num w:numId="41" w16cid:durableId="1829057212">
    <w:abstractNumId w:val="10"/>
  </w:num>
  <w:num w:numId="42" w16cid:durableId="983124390">
    <w:abstractNumId w:val="10"/>
  </w:num>
  <w:num w:numId="43" w16cid:durableId="13847126">
    <w:abstractNumId w:val="10"/>
  </w:num>
  <w:num w:numId="44" w16cid:durableId="14517818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EFC"/>
    <w:rsid w:val="00002272"/>
    <w:rsid w:val="00044535"/>
    <w:rsid w:val="00064002"/>
    <w:rsid w:val="000677B9"/>
    <w:rsid w:val="000831BA"/>
    <w:rsid w:val="000A42CC"/>
    <w:rsid w:val="000E7DD9"/>
    <w:rsid w:val="000F6338"/>
    <w:rsid w:val="0010095E"/>
    <w:rsid w:val="00125B37"/>
    <w:rsid w:val="00187494"/>
    <w:rsid w:val="001E3271"/>
    <w:rsid w:val="001F32AE"/>
    <w:rsid w:val="002213CB"/>
    <w:rsid w:val="002767FF"/>
    <w:rsid w:val="00291A00"/>
    <w:rsid w:val="002B18FE"/>
    <w:rsid w:val="002B5493"/>
    <w:rsid w:val="002B7BE4"/>
    <w:rsid w:val="00343214"/>
    <w:rsid w:val="00361C00"/>
    <w:rsid w:val="00395FA1"/>
    <w:rsid w:val="003E15D4"/>
    <w:rsid w:val="00411CCE"/>
    <w:rsid w:val="0041666E"/>
    <w:rsid w:val="00421060"/>
    <w:rsid w:val="00424307"/>
    <w:rsid w:val="00471C19"/>
    <w:rsid w:val="004867E3"/>
    <w:rsid w:val="00494A28"/>
    <w:rsid w:val="004C0004"/>
    <w:rsid w:val="004C5D52"/>
    <w:rsid w:val="004C6EFC"/>
    <w:rsid w:val="0050063C"/>
    <w:rsid w:val="005026AD"/>
    <w:rsid w:val="00503FF4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0A36"/>
    <w:rsid w:val="006F74FA"/>
    <w:rsid w:val="00731ADD"/>
    <w:rsid w:val="00734777"/>
    <w:rsid w:val="00741191"/>
    <w:rsid w:val="00747932"/>
    <w:rsid w:val="00751A4A"/>
    <w:rsid w:val="00756632"/>
    <w:rsid w:val="00762C74"/>
    <w:rsid w:val="00786EC0"/>
    <w:rsid w:val="00797681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212C"/>
    <w:rsid w:val="00930C23"/>
    <w:rsid w:val="0093193B"/>
    <w:rsid w:val="009355BE"/>
    <w:rsid w:val="009509D8"/>
    <w:rsid w:val="00950B64"/>
    <w:rsid w:val="00981893"/>
    <w:rsid w:val="009B0F3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27AA"/>
    <w:rsid w:val="00D56C11"/>
    <w:rsid w:val="00D834A0"/>
    <w:rsid w:val="00D872DF"/>
    <w:rsid w:val="00D91E21"/>
    <w:rsid w:val="00DA7FCD"/>
    <w:rsid w:val="00E365E1"/>
    <w:rsid w:val="00E820A4"/>
    <w:rsid w:val="00EB006A"/>
    <w:rsid w:val="00EB1245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3F2F"/>
  </w:rsids>
  <w:docVars>
    <w:docVar w:name="dvdocse" w:val="A10-0070/2026"/>
    <w:docVar w:name="dvlangue" w:val="PL"/>
    <w:docVar w:name="dvnumam" w:val="17"/>
    <w:docVar w:name="dvpe" w:val="779.298"/>
    <w:docVar w:name="dvrapporteur" w:val="Sprawozdawca: "/>
    <w:docVar w:name="dvstar" w:val="***I"/>
    <w:docVar w:name="dvtitre" w:val="Rezolucja ustawodawcza Parlamentu Europejskiego z dnia  2026 r. w sprawie wniosku dotyczącego rozporządzenia Parlamentu Europejskiego i Rady o niestosowaniu ceł przywozowych na niektóre towary(COM(2025)0472 – C10-0192/2025 – 2025/0260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1507B50"/>
  <w15:chartTrackingRefBased/>
  <w15:docId w15:val="{40EB8E41-47EC-4E56-9736-E8BECFAD5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503FF4"/>
    <w:pPr>
      <w:spacing w:after="120"/>
    </w:pPr>
  </w:style>
  <w:style w:type="paragraph" w:customStyle="1" w:styleId="NormalBold">
    <w:name w:val="NormalBold"/>
    <w:basedOn w:val="Normal"/>
    <w:link w:val="NormalBoldChar"/>
    <w:rsid w:val="00503FF4"/>
    <w:rPr>
      <w:b/>
    </w:rPr>
  </w:style>
  <w:style w:type="paragraph" w:customStyle="1" w:styleId="NormalHanging12a">
    <w:name w:val="NormalHanging12a"/>
    <w:basedOn w:val="Normal"/>
    <w:rsid w:val="00503FF4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503FF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03FF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03FF4"/>
    <w:pPr>
      <w:spacing w:before="240"/>
    </w:pPr>
    <w:rPr>
      <w:b/>
    </w:rPr>
  </w:style>
  <w:style w:type="paragraph" w:customStyle="1" w:styleId="EPComma">
    <w:name w:val="EPComma"/>
    <w:basedOn w:val="Normal"/>
    <w:rsid w:val="00503FF4"/>
    <w:pPr>
      <w:spacing w:before="480" w:after="240"/>
    </w:pPr>
  </w:style>
  <w:style w:type="character" w:customStyle="1" w:styleId="Normal6Char">
    <w:name w:val="Normal6 Char"/>
    <w:link w:val="Normal6"/>
    <w:locked/>
    <w:rsid w:val="00503FF4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503FF4"/>
    <w:pPr>
      <w:spacing w:after="120"/>
    </w:pPr>
  </w:style>
  <w:style w:type="character" w:customStyle="1" w:styleId="NormalBoldChar">
    <w:name w:val="NormalBold Char"/>
    <w:link w:val="NormalBold"/>
    <w:locked/>
    <w:rsid w:val="00503FF4"/>
    <w:rPr>
      <w:b/>
      <w:sz w:val="24"/>
      <w:lang w:val="pl-PL"/>
    </w:rPr>
  </w:style>
  <w:style w:type="paragraph" w:customStyle="1" w:styleId="ColumnHeading">
    <w:name w:val="ColumnHeading"/>
    <w:basedOn w:val="Normal"/>
    <w:rsid w:val="00503FF4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uiPriority w:val="99"/>
    <w:rsid w:val="00503FF4"/>
    <w:rPr>
      <w:color w:val="0563C1" w:themeColor="hyperlink"/>
      <w:u w:val="single"/>
    </w:rPr>
  </w:style>
  <w:style w:type="paragraph" w:customStyle="1" w:styleId="EPFooter2">
    <w:name w:val="EPFooter2"/>
    <w:basedOn w:val="Normal"/>
    <w:next w:val="Normal"/>
    <w:rsid w:val="002213CB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2213CB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2213CB"/>
    <w:pPr>
      <w:spacing w:after="240"/>
      <w:jc w:val="center"/>
    </w:pPr>
  </w:style>
  <w:style w:type="paragraph" w:customStyle="1" w:styleId="EPFooter">
    <w:name w:val="EPFooter"/>
    <w:basedOn w:val="Normal"/>
    <w:rsid w:val="002213CB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Footer">
    <w:name w:val="footer"/>
    <w:basedOn w:val="Normal"/>
    <w:link w:val="FooterChar"/>
    <w:rsid w:val="002213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213CB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2026-09-07T13:35:00Z</dcterms:created>
  <dcterms:modified xsi:type="dcterms:W3CDTF">2026-09-07T13:35:00Z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P10_TA(2026)0197_</vt:lpwstr>
  </property>
  <property fmtid="{D5CDD505-2E9C-101B-9397-08002B2CF9AE}" pid="4" name="&lt;Type&gt;">
    <vt:lpwstr>RR</vt:lpwstr>
  </property>
</Properties>
</file>