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31A81883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A7D50" w:rsidP="0010095E" w14:paraId="64882A7D" w14:textId="77777777">
            <w:pPr>
              <w:pStyle w:val="EPName"/>
            </w:pPr>
            <w:r w:rsidRPr="003A7D50">
              <w:t>Evropský parlament</w:t>
            </w:r>
          </w:p>
          <w:p w:rsidR="00751A4A" w:rsidRPr="003A7D50" w:rsidP="005F1B17" w14:paraId="56D2F106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A7D50">
              <w:t>2024</w:t>
            </w:r>
            <w:r w:rsidRPr="003A7D50" w:rsidR="00817416">
              <w:t>-202</w:t>
            </w:r>
            <w:r w:rsidRPr="003A7D5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A7D50" w:rsidP="0010095E" w14:paraId="7575576E" w14:textId="77777777">
            <w:pPr>
              <w:pStyle w:val="EPLogo"/>
            </w:pPr>
            <w:r w:rsidRPr="003A7D50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A7D50" w:rsidP="004C5D52" w14:paraId="18C135AE" w14:textId="77777777">
      <w:pPr>
        <w:pStyle w:val="LineTop"/>
      </w:pPr>
    </w:p>
    <w:p w:rsidR="00680577" w:rsidRPr="003A7D50" w:rsidP="00680577" w14:paraId="473510C1" w14:textId="77777777">
      <w:pPr>
        <w:pStyle w:val="EPBodyTA1"/>
      </w:pPr>
      <w:r w:rsidRPr="003A7D50">
        <w:t>PŘIJATÉ TEXTY</w:t>
      </w:r>
    </w:p>
    <w:p w:rsidR="00D058B8" w:rsidRPr="003A7D50" w:rsidP="00D058B8" w14:paraId="59D08CF6" w14:textId="77777777">
      <w:pPr>
        <w:pStyle w:val="LineBottom"/>
      </w:pPr>
    </w:p>
    <w:p w:rsidR="00F93FA2" w:rsidRPr="003A7D50" w:rsidP="00F93FA2" w14:paraId="30BC92D5" w14:textId="117628F7">
      <w:pPr>
        <w:pStyle w:val="ATHeading1"/>
      </w:pPr>
      <w:bookmarkStart w:id="0" w:name="TANumber"/>
      <w:r w:rsidRPr="003A7D50">
        <w:t>P10_</w:t>
      </w:r>
      <w:r w:rsidRPr="003A7D50">
        <w:t>TA(</w:t>
      </w:r>
      <w:r w:rsidRPr="003A7D50">
        <w:t>2026)0</w:t>
      </w:r>
      <w:r w:rsidRPr="003A7D50" w:rsidR="002666DA">
        <w:t>198</w:t>
      </w:r>
      <w:bookmarkEnd w:id="0"/>
    </w:p>
    <w:p w:rsidR="00F93FA2" w:rsidRPr="003A7D50" w:rsidP="00F93FA2" w14:paraId="4D59CA92" w14:textId="77777777">
      <w:pPr>
        <w:pStyle w:val="ATHeading2"/>
      </w:pPr>
      <w:bookmarkStart w:id="1" w:name="title"/>
      <w:r w:rsidRPr="003A7D50">
        <w:t>Zjednodušení provádění harmonizovaných pravidel pro umělou inteligenci (souhrnný balíček pro digitální oblast a umělou inteligenci)</w:t>
      </w:r>
      <w:bookmarkEnd w:id="1"/>
    </w:p>
    <w:p w:rsidR="00F93FA2" w:rsidRPr="003A7D50" w:rsidP="00F93FA2" w14:paraId="08BD310A" w14:textId="77777777">
      <w:pPr>
        <w:rPr>
          <w:i/>
          <w:vanish/>
        </w:rPr>
      </w:pPr>
      <w:r>
        <w:rPr>
          <w:i/>
        </w:rPr>
        <w:fldChar w:fldCharType="begin"/>
      </w:r>
      <w:r w:rsidRPr="003A7D50">
        <w:rPr>
          <w:i/>
        </w:rPr>
        <w:instrText xml:space="preserve"> TC"(</w:instrText>
      </w:r>
      <w:bookmarkStart w:id="2" w:name="DocNumber"/>
      <w:r w:rsidRPr="003A7D50">
        <w:rPr>
          <w:i/>
        </w:rPr>
        <w:instrText>A10-0073/2026</w:instrText>
      </w:r>
      <w:bookmarkEnd w:id="2"/>
      <w:r w:rsidRPr="003A7D50">
        <w:rPr>
          <w:i/>
        </w:rPr>
        <w:instrText xml:space="preserve"> - Zpravodajové: Arba Kokalari, Michael McNamara)"\l3 \n&gt; \* MERGEFORMAT </w:instrText>
      </w:r>
      <w:r>
        <w:rPr>
          <w:i/>
        </w:rPr>
        <w:fldChar w:fldCharType="end"/>
      </w:r>
    </w:p>
    <w:p w:rsidR="00F93FA2" w:rsidRPr="003A7D50" w:rsidP="00F93FA2" w14:paraId="5D0EF29F" w14:textId="77777777">
      <w:pPr>
        <w:rPr>
          <w:vanish/>
        </w:rPr>
      </w:pPr>
      <w:bookmarkStart w:id="3" w:name="Commission"/>
      <w:r w:rsidRPr="003A7D50">
        <w:rPr>
          <w:vanish/>
        </w:rPr>
        <w:t>Výbor pro vnitřní trh a ochranu spotřebitelů, Výbor pro občanské svobody, spravedlnost a vnitřní věci</w:t>
      </w:r>
      <w:bookmarkEnd w:id="3"/>
    </w:p>
    <w:p w:rsidR="00F93FA2" w:rsidRPr="003A7D50" w:rsidP="00F93FA2" w14:paraId="217E9B20" w14:textId="77777777">
      <w:pPr>
        <w:rPr>
          <w:vanish/>
        </w:rPr>
      </w:pPr>
      <w:bookmarkStart w:id="4" w:name="PE"/>
      <w:r w:rsidRPr="003A7D50">
        <w:rPr>
          <w:vanish/>
        </w:rPr>
        <w:t>PE782.530</w:t>
      </w:r>
      <w:bookmarkEnd w:id="4"/>
    </w:p>
    <w:p w:rsidR="00F93FA2" w:rsidRPr="003A7D50" w:rsidP="00F93FA2" w14:paraId="1111DA8B" w14:textId="62E7CD1D">
      <w:pPr>
        <w:pStyle w:val="ATHeading3"/>
      </w:pPr>
      <w:bookmarkStart w:id="5" w:name="Sujet"/>
      <w:r w:rsidRPr="003A7D50">
        <w:t>Legislativní usnesení Evropského parlamentu ze dne</w:t>
      </w:r>
      <w:r w:rsidRPr="003A7D50" w:rsidR="00AC4926">
        <w:t xml:space="preserve"> </w:t>
      </w:r>
      <w:r w:rsidRPr="003A7D50" w:rsidR="00C837DE">
        <w:t>16</w:t>
      </w:r>
      <w:r w:rsidRPr="003A7D50" w:rsidR="00AC4926">
        <w:t xml:space="preserve">. </w:t>
      </w:r>
      <w:r w:rsidRPr="003A7D50" w:rsidR="00C837DE">
        <w:t>června</w:t>
      </w:r>
      <w:r w:rsidRPr="003A7D50">
        <w:t xml:space="preserve"> 2026 o návrhu nařízení Evropského parlamentu a Rady, kterým se mění nařízení (EU) 2024/1689 a (EU) 2018/1139, pokud jde o zjednodušení provádění harmonizovaných pravidel pro umělou inteligenci (souhrnný balíček pro digitální oblast týkající se umělé inteligence)</w:t>
      </w:r>
      <w:bookmarkEnd w:id="5"/>
      <w:r w:rsidRPr="003A7D50">
        <w:t xml:space="preserve"> </w:t>
      </w:r>
      <w:bookmarkStart w:id="6" w:name="References"/>
      <w:r w:rsidRPr="003A7D50">
        <w:t>(</w:t>
      </w:r>
      <w:r w:rsidRPr="003A7D50">
        <w:t>COM(</w:t>
      </w:r>
      <w:r w:rsidRPr="003A7D50">
        <w:t>2025)0836 – C10-0304/2025 – 2025/0359(COD))</w:t>
      </w:r>
      <w:bookmarkEnd w:id="6"/>
    </w:p>
    <w:p w:rsidR="00E85A13" w:rsidRPr="003A7D50" w:rsidP="00E85A13" w14:paraId="398ED6DE" w14:textId="77777777">
      <w:pPr>
        <w:pStyle w:val="NormalBold"/>
      </w:pPr>
      <w:r w:rsidRPr="003A7D50">
        <w:t>(Řádný legislativní postup: první čtení)</w:t>
      </w:r>
    </w:p>
    <w:p w:rsidR="00E85A13" w:rsidRPr="003A7D50" w:rsidP="00E85A13" w14:paraId="37D5E554" w14:textId="529DA4BB">
      <w:pPr>
        <w:pStyle w:val="EPComma"/>
      </w:pPr>
      <w:r w:rsidRPr="003A7D50">
        <w:rPr>
          <w:i/>
          <w:iCs/>
        </w:rPr>
        <w:t>Evropský parlament</w:t>
      </w:r>
      <w:r w:rsidRPr="003A7D50">
        <w:t>,</w:t>
      </w:r>
    </w:p>
    <w:p w:rsidR="00E85A13" w:rsidRPr="003A7D50" w:rsidP="00E85A13" w14:paraId="23CBA9D3" w14:textId="25C666CD">
      <w:pPr>
        <w:pStyle w:val="NormalHanging12a"/>
      </w:pPr>
      <w:r w:rsidRPr="003A7D50">
        <w:t>–</w:t>
      </w:r>
      <w:r w:rsidRPr="003A7D50">
        <w:tab/>
        <w:t>s ohledem na návrh Komise předložený Evropskému parlamentu a Radě (</w:t>
      </w:r>
      <w:r w:rsidRPr="003A7D50">
        <w:t>COM(</w:t>
      </w:r>
      <w:r w:rsidRPr="003A7D50">
        <w:t>2025)0836),</w:t>
      </w:r>
    </w:p>
    <w:p w:rsidR="00E85A13" w:rsidRPr="003A7D50" w:rsidP="00E85A13" w14:paraId="573EC31E" w14:textId="52A97408">
      <w:pPr>
        <w:pStyle w:val="NormalHanging12a"/>
      </w:pPr>
      <w:r w:rsidRPr="003A7D50">
        <w:t>–</w:t>
      </w:r>
      <w:r w:rsidRPr="003A7D50">
        <w:tab/>
        <w:t>s ohledem na čl. 294 odst. 2 a čl. 114 Smlouvy o fungování Evropské unie, v </w:t>
      </w:r>
      <w:r w:rsidRPr="003A7D50">
        <w:t>souladu</w:t>
      </w:r>
      <w:r w:rsidRPr="003A7D50">
        <w:t xml:space="preserve"> </w:t>
      </w:r>
      <w:r w:rsidRPr="003A7D50" w:rsidR="00AC4926">
        <w:t>se kterými</w:t>
      </w:r>
      <w:r w:rsidRPr="003A7D50">
        <w:t xml:space="preserve"> Komise předložila svůj návrh Parlamentu (C10-0304/2025),</w:t>
      </w:r>
    </w:p>
    <w:p w:rsidR="00C3555E" w:rsidRPr="003A7D50" w:rsidP="00C3555E" w14:paraId="793D9C13" w14:textId="576D87E7">
      <w:pPr>
        <w:pStyle w:val="NormalHanging12a"/>
      </w:pPr>
      <w:r w:rsidRPr="003A7D50">
        <w:t>–</w:t>
      </w:r>
      <w:r w:rsidRPr="003A7D50">
        <w:tab/>
        <w:t>s ohledem na čl. 294 odst. 3 Smlouvy o fungování Evropské unie,</w:t>
      </w:r>
    </w:p>
    <w:p w:rsidR="00C3555E" w:rsidRPr="003A7D50" w:rsidP="00C3555E" w14:paraId="413DA3D7" w14:textId="7EC56E4D">
      <w:pPr>
        <w:pStyle w:val="NormalHanging12a"/>
        <w:numPr>
          <w:ilvl w:val="0"/>
          <w:numId w:val="48"/>
        </w:numPr>
        <w:ind w:left="567" w:hanging="567"/>
      </w:pPr>
      <w:r w:rsidRPr="003A7D50">
        <w:t>s ohledem na stanovisko Evropské centrální banky ze dne 15. dubna 2026</w:t>
      </w:r>
      <w:r>
        <w:rPr>
          <w:rStyle w:val="FootnoteReference"/>
        </w:rPr>
        <w:footnoteReference w:id="2"/>
      </w:r>
      <w:r w:rsidRPr="003A7D50">
        <w:t>,</w:t>
      </w:r>
    </w:p>
    <w:p w:rsidR="00C3555E" w:rsidRPr="003A7D50" w:rsidP="00C3555E" w14:paraId="400B516F" w14:textId="338CE4B6">
      <w:pPr>
        <w:pStyle w:val="NormalHanging12a"/>
        <w:numPr>
          <w:ilvl w:val="0"/>
          <w:numId w:val="48"/>
        </w:numPr>
        <w:ind w:left="567" w:hanging="567"/>
      </w:pPr>
      <w:r w:rsidRPr="003A7D50">
        <w:t>s ohledem na stanovisko Evropského hospodářského a sociálního výboru ze dne 18. března 2026</w:t>
      </w:r>
      <w:r>
        <w:rPr>
          <w:rStyle w:val="FootnoteReference"/>
        </w:rPr>
        <w:footnoteReference w:id="3"/>
      </w:r>
      <w:r w:rsidRPr="003A7D50">
        <w:t>,</w:t>
      </w:r>
    </w:p>
    <w:p w:rsidR="00C3555E" w:rsidRPr="003A7D50" w:rsidP="00C3555E" w14:paraId="219270DA" w14:textId="6CC85ED3">
      <w:pPr>
        <w:pStyle w:val="NormalHanging12a"/>
        <w:numPr>
          <w:ilvl w:val="0"/>
          <w:numId w:val="48"/>
        </w:numPr>
        <w:ind w:left="567" w:hanging="567"/>
      </w:pPr>
      <w:r w:rsidRPr="003A7D50">
        <w:t>s ohledem na stanovisko Výboru regionů ze dne 7. května 2026</w:t>
      </w:r>
      <w:r>
        <w:rPr>
          <w:rStyle w:val="FootnoteReference"/>
        </w:rPr>
        <w:footnoteReference w:id="4"/>
      </w:r>
      <w:r w:rsidRPr="003A7D50">
        <w:t>,</w:t>
      </w:r>
    </w:p>
    <w:p w:rsidR="00C3555E" w:rsidRPr="003A7D50" w:rsidP="009F269F" w14:paraId="706F0AD6" w14:textId="7AC1DA62">
      <w:pPr>
        <w:pStyle w:val="NormalHanging12a"/>
        <w:numPr>
          <w:ilvl w:val="0"/>
          <w:numId w:val="48"/>
        </w:numPr>
        <w:ind w:left="567" w:hanging="567"/>
      </w:pPr>
      <w:r w:rsidRPr="003A7D50">
        <w:t xml:space="preserve">s ohledem na předběžnou dohodu přijatou příslušnými výbory podle čl. 75 odst. 4 jednacího řádu a s ohledem na to, že se zástupce Rady dopisem ze dne 13. května 2026 </w:t>
      </w:r>
      <w:r w:rsidRPr="003A7D50">
        <w:t>zavázal schválit tento postoj podle čl. 294 odst. 4 Smlouvy o fungování Evropské unie,</w:t>
      </w:r>
    </w:p>
    <w:p w:rsidR="00E85A13" w:rsidRPr="003A7D50" w:rsidP="00E85A13" w14:paraId="55E6E14A" w14:textId="7598F783">
      <w:pPr>
        <w:pStyle w:val="NormalHanging12a"/>
      </w:pPr>
      <w:r w:rsidRPr="003A7D50">
        <w:t>–</w:t>
      </w:r>
      <w:r w:rsidRPr="003A7D50">
        <w:tab/>
        <w:t>s ohledem na článek 60 jednacího řádu,</w:t>
      </w:r>
    </w:p>
    <w:p w:rsidR="00E85A13" w:rsidRPr="003A7D50" w:rsidP="00E85A13" w14:paraId="155DB7B1" w14:textId="5CC83D7C">
      <w:pPr>
        <w:pStyle w:val="NormalHanging12a"/>
      </w:pPr>
      <w:r w:rsidRPr="003A7D50">
        <w:t>–</w:t>
      </w:r>
      <w:r w:rsidRPr="003A7D50">
        <w:tab/>
        <w:t>s ohledem na společná jednání Výboru pro vnitřní trh a ochranu spotřebitelů a Výboru pro občanské svobody, spravedlnost a vnitřní věci podle článku 5</w:t>
      </w:r>
      <w:r w:rsidRPr="003A7D50" w:rsidR="00C3555E">
        <w:t>9</w:t>
      </w:r>
      <w:r w:rsidRPr="003A7D50">
        <w:t xml:space="preserve"> jednacího řádu,</w:t>
      </w:r>
    </w:p>
    <w:p w:rsidR="003F053A" w:rsidRPr="003A7D50" w:rsidP="009F269F" w14:paraId="376E2FAF" w14:textId="0C243245">
      <w:pPr>
        <w:pStyle w:val="NormalHanging12a"/>
        <w:numPr>
          <w:ilvl w:val="0"/>
          <w:numId w:val="48"/>
        </w:numPr>
        <w:ind w:left="567" w:hanging="567"/>
      </w:pPr>
      <w:r w:rsidRPr="003A7D50">
        <w:t>s ohledem na stanoviska Výboru pro dopravu a cestovní ruch, Výbor</w:t>
      </w:r>
      <w:r w:rsidRPr="003A7D50" w:rsidR="00A83500">
        <w:t>u</w:t>
      </w:r>
      <w:r w:rsidRPr="003A7D50">
        <w:t xml:space="preserve"> pro kulturu a vzdělávání a Výboru pro právní záležitosti,</w:t>
      </w:r>
    </w:p>
    <w:p w:rsidR="00E85A13" w:rsidRPr="003A7D50" w:rsidP="00E85A13" w14:paraId="475CB2AE" w14:textId="1846143A">
      <w:pPr>
        <w:pStyle w:val="NormalHanging12a"/>
      </w:pPr>
      <w:r w:rsidRPr="003A7D50">
        <w:t>–</w:t>
      </w:r>
      <w:r w:rsidRPr="003A7D50">
        <w:tab/>
        <w:t>s ohledem na zprávu Výboru pro vnitřní trh a ochranu spotřebitelů a Výboru pro občanské svobody, spravedlnost a vnitřní věci (A10</w:t>
      </w:r>
      <w:r w:rsidRPr="003A7D50">
        <w:noBreakHyphen/>
        <w:t>0073/2026),</w:t>
      </w:r>
    </w:p>
    <w:p w:rsidR="00E85A13" w:rsidRPr="003A7D50" w:rsidP="009F269F" w14:paraId="4A3F8B96" w14:textId="153C2211">
      <w:pPr>
        <w:pStyle w:val="NormalHanging12a"/>
      </w:pPr>
      <w:r w:rsidRPr="003A7D50">
        <w:t>1.</w:t>
      </w:r>
      <w:r w:rsidRPr="003A7D50">
        <w:tab/>
        <w:t>přijímá níže uvedený postoj v prvním čtení</w:t>
      </w:r>
      <w:r>
        <w:rPr>
          <w:rStyle w:val="FootnoteReference"/>
        </w:rPr>
        <w:footnoteReference w:id="5"/>
      </w:r>
      <w:r w:rsidRPr="003A7D50">
        <w:t>;</w:t>
      </w:r>
    </w:p>
    <w:p w:rsidR="00E85A13" w:rsidRPr="003A7D50" w:rsidP="009F269F" w14:paraId="02DAD32F" w14:textId="21A36734">
      <w:pPr>
        <w:pStyle w:val="NormalHanging12a"/>
      </w:pPr>
      <w:r w:rsidRPr="003A7D50">
        <w:t>2.</w:t>
      </w:r>
      <w:r w:rsidRPr="003A7D50">
        <w:tab/>
        <w:t>vyzývá Komisi, aby věc znovu postoupila Parlamentu, jestliže svůj návrh nahradí jiným textem, podstatně jej změní nebo má v úmyslu jej podstatně změnit;</w:t>
      </w:r>
    </w:p>
    <w:p w:rsidR="009F269F" w:rsidRPr="003A7D50" w:rsidP="009F269F" w14:paraId="548FEA35" w14:textId="77777777">
      <w:pPr>
        <w:autoSpaceDE w:val="0"/>
        <w:autoSpaceDN w:val="0"/>
        <w:adjustRightInd w:val="0"/>
        <w:spacing w:after="240"/>
        <w:ind w:left="567" w:hanging="567"/>
        <w:sectPr w:rsidSect="008C7B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A7D50">
        <w:t>3.</w:t>
      </w:r>
      <w:r w:rsidRPr="003A7D50">
        <w:tab/>
        <w:t>pověřuje svou předsedkyni, aby předala postoj Parlamentu Radě, Komisi, jakož i vnitrostátním parlamentům.</w:t>
      </w:r>
    </w:p>
    <w:p w:rsidR="00DB69C7" w:rsidRPr="003A7D50" w:rsidP="00DB69C7" w14:paraId="3BA20F6F" w14:textId="08EBAE7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A7D50">
        <w:rPr>
          <w:rFonts w:eastAsia="Calibri"/>
          <w:b/>
          <w:bCs/>
          <w:color w:val="000000"/>
          <w:szCs w:val="24"/>
        </w:rPr>
        <w:t>P10_TC1-</w:t>
      </w:r>
      <w:r w:rsidRPr="003A7D50">
        <w:rPr>
          <w:rFonts w:eastAsia="Calibri"/>
          <w:b/>
          <w:bCs/>
          <w:color w:val="000000"/>
          <w:szCs w:val="24"/>
        </w:rPr>
        <w:t>COD(</w:t>
      </w:r>
      <w:r w:rsidRPr="003A7D50">
        <w:rPr>
          <w:rFonts w:eastAsia="Calibri"/>
          <w:b/>
          <w:bCs/>
          <w:color w:val="000000"/>
          <w:szCs w:val="24"/>
        </w:rPr>
        <w:t>2025)0359</w:t>
      </w:r>
    </w:p>
    <w:p w:rsidR="0034330C" w:rsidP="0034330C" w14:paraId="49FEFDDE" w14:textId="51D09606">
      <w:pPr>
        <w:pStyle w:val="AmNumberTabs"/>
        <w:rPr>
          <w:szCs w:val="24"/>
          <w:lang w:eastAsia="en-US"/>
        </w:rPr>
      </w:pPr>
      <w:r w:rsidRPr="003A7D50">
        <w:rPr>
          <w:rFonts w:eastAsia="Calibri"/>
          <w:bCs/>
          <w:szCs w:val="24"/>
        </w:rPr>
        <w:t xml:space="preserve">Postoj Evropského parlamentu přijatý v prvním čtení dne 16. června 2026 k přijetí </w:t>
      </w:r>
      <w:r w:rsidRPr="003A7D50">
        <w:rPr>
          <w:bCs/>
          <w:szCs w:val="24"/>
          <w:lang w:eastAsia="en-US"/>
        </w:rPr>
        <w:t>nařízení Evropského parlamentu a Rady</w:t>
      </w:r>
      <w:r w:rsidRPr="003A7D50">
        <w:rPr>
          <w:b w:val="0"/>
          <w:szCs w:val="24"/>
          <w:lang w:eastAsia="en-US"/>
        </w:rPr>
        <w:t xml:space="preserve"> </w:t>
      </w:r>
      <w:r w:rsidRPr="003A7D50">
        <w:rPr>
          <w:szCs w:val="24"/>
          <w:lang w:eastAsia="en-US"/>
        </w:rPr>
        <w:t>(EU) 2026/...</w:t>
      </w:r>
      <w:r w:rsidRPr="003A7D50">
        <w:rPr>
          <w:color w:val="000000"/>
          <w:szCs w:val="24"/>
          <w:lang w:eastAsia="en-US"/>
        </w:rPr>
        <w:t>,</w:t>
      </w:r>
      <w:r w:rsidRPr="003A7D50">
        <w:rPr>
          <w:b w:val="0"/>
          <w:color w:val="000000"/>
          <w:szCs w:val="24"/>
          <w:lang w:eastAsia="en-US"/>
        </w:rPr>
        <w:t xml:space="preserve"> </w:t>
      </w:r>
      <w:r w:rsidRPr="003A7D50">
        <w:rPr>
          <w:szCs w:val="24"/>
          <w:lang w:eastAsia="en-US"/>
        </w:rPr>
        <w:t>kterým se mění nařízení (EU) 2024/1689, (EU) 2018/1139 a (EU) 2023/1230, pokud jde o zjednodušení provádění harmonizovaných pravidel pro umělou inteligenci (souhrnný balíček pro digitální oblast týkající se umělé inteligence)</w:t>
      </w:r>
    </w:p>
    <w:p w:rsidR="00B036C3" w:rsidRPr="00B036C3" w:rsidP="00B036C3" w14:paraId="43F276A9" w14:textId="062CC6DD">
      <w:pPr>
        <w:spacing w:before="360"/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2026</w:t>
      </w:r>
      <w:r w:rsidRPr="008977C0">
        <w:rPr>
          <w:i/>
        </w:rPr>
        <w:t>/</w:t>
      </w:r>
      <w:r>
        <w:rPr>
          <w:i/>
        </w:rPr>
        <w:t>1744</w:t>
      </w:r>
      <w:r>
        <w:rPr>
          <w:i/>
        </w:rPr>
        <w:t>.)</w:t>
      </w:r>
    </w:p>
    <w:sectPr w:rsidSect="008C7BB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C7BB1" w14:paraId="547B51E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C7BB1" w14:paraId="5E2916A3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C7BB1" w14:paraId="5028441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93FA2" w:rsidRPr="008C7BB1" w14:paraId="1DCEDA9D" w14:textId="77777777">
      <w:r w:rsidRPr="008C7BB1">
        <w:separator/>
      </w:r>
    </w:p>
  </w:footnote>
  <w:footnote w:type="continuationSeparator" w:id="1">
    <w:p w:rsidR="00F93FA2" w:rsidRPr="008C7BB1" w14:paraId="1E7F9566" w14:textId="77777777">
      <w:r w:rsidRPr="008C7BB1">
        <w:continuationSeparator/>
      </w:r>
    </w:p>
  </w:footnote>
  <w:footnote w:id="2">
    <w:p w:rsidR="009D4242" w:rsidRPr="003A7D50" w:rsidP="009F269F" w14:paraId="77257EAC" w14:textId="126688E5">
      <w:pPr>
        <w:pStyle w:val="FootnoteText"/>
        <w:ind w:left="567" w:hanging="567"/>
        <w:rPr>
          <w:sz w:val="24"/>
          <w:szCs w:val="24"/>
          <w:lang w:val="fi-FI"/>
        </w:rPr>
      </w:pPr>
      <w:r w:rsidRPr="003A7D50">
        <w:rPr>
          <w:rStyle w:val="FootnoteReference"/>
          <w:sz w:val="24"/>
          <w:szCs w:val="24"/>
        </w:rPr>
        <w:footnoteRef/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ab/>
      </w:r>
      <w:r w:rsidRPr="003A7D50">
        <w:rPr>
          <w:sz w:val="24"/>
          <w:szCs w:val="24"/>
          <w:lang w:val="fi-FI"/>
        </w:rPr>
        <w:t>Úř</w:t>
      </w:r>
      <w:r w:rsidRPr="003A7D50">
        <w:rPr>
          <w:sz w:val="24"/>
          <w:szCs w:val="24"/>
          <w:lang w:val="fi-FI"/>
        </w:rPr>
        <w:t xml:space="preserve">. </w:t>
      </w:r>
      <w:r w:rsidRPr="003A7D50" w:rsidR="00D75681">
        <w:rPr>
          <w:sz w:val="24"/>
          <w:szCs w:val="24"/>
          <w:lang w:val="fi-FI"/>
        </w:rPr>
        <w:t>v</w:t>
      </w:r>
      <w:r w:rsidRPr="003A7D50">
        <w:rPr>
          <w:sz w:val="24"/>
          <w:szCs w:val="24"/>
          <w:lang w:val="fi-FI"/>
        </w:rPr>
        <w:t>ěst</w:t>
      </w:r>
      <w:r w:rsidRPr="003A7D50">
        <w:rPr>
          <w:sz w:val="24"/>
          <w:szCs w:val="24"/>
          <w:lang w:val="fi-FI"/>
        </w:rPr>
        <w:t xml:space="preserve">. C, C/2026/2285, 15.4.2026, ELI: </w:t>
      </w:r>
      <w:hyperlink r:id="rId1" w:history="1">
        <w:r w:rsidRPr="003A7D50">
          <w:rPr>
            <w:rStyle w:val="Hyperlink"/>
            <w:sz w:val="24"/>
            <w:szCs w:val="24"/>
            <w:lang w:val="fi-FI"/>
          </w:rPr>
          <w:t>http://data.europa.eu/eli/C/2026/2285/oj</w:t>
        </w:r>
      </w:hyperlink>
      <w:r w:rsidRPr="003A7D50">
        <w:rPr>
          <w:sz w:val="24"/>
          <w:szCs w:val="24"/>
          <w:lang w:val="fi-FI"/>
        </w:rPr>
        <w:t>.</w:t>
      </w:r>
    </w:p>
  </w:footnote>
  <w:footnote w:id="3">
    <w:p w:rsidR="009D4242" w:rsidRPr="003A7D50" w:rsidP="009F269F" w14:paraId="3F2EDF80" w14:textId="6466075B">
      <w:pPr>
        <w:pStyle w:val="FootnoteText"/>
        <w:ind w:left="567" w:hanging="567"/>
        <w:rPr>
          <w:sz w:val="24"/>
          <w:szCs w:val="24"/>
          <w:lang w:val="fi-FI"/>
        </w:rPr>
      </w:pPr>
      <w:r w:rsidRPr="003A7D50">
        <w:rPr>
          <w:rStyle w:val="FootnoteReference"/>
          <w:sz w:val="24"/>
          <w:szCs w:val="24"/>
        </w:rPr>
        <w:footnoteRef/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ab/>
      </w:r>
      <w:r w:rsidRPr="003A7D50">
        <w:rPr>
          <w:sz w:val="24"/>
          <w:szCs w:val="24"/>
          <w:lang w:val="fi-FI"/>
        </w:rPr>
        <w:t>Stanovisko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ze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dne</w:t>
      </w:r>
      <w:r w:rsidRPr="003A7D50">
        <w:rPr>
          <w:sz w:val="24"/>
          <w:szCs w:val="24"/>
          <w:lang w:val="fi-FI"/>
        </w:rPr>
        <w:t xml:space="preserve"> 18. </w:t>
      </w:r>
      <w:r w:rsidRPr="003A7D50">
        <w:rPr>
          <w:sz w:val="24"/>
          <w:szCs w:val="24"/>
          <w:lang w:val="fi-FI"/>
        </w:rPr>
        <w:t>března</w:t>
      </w:r>
      <w:r w:rsidRPr="003A7D50">
        <w:rPr>
          <w:sz w:val="24"/>
          <w:szCs w:val="24"/>
          <w:lang w:val="fi-FI"/>
        </w:rPr>
        <w:t xml:space="preserve"> 2026 (</w:t>
      </w:r>
      <w:r w:rsidRPr="003A7D50">
        <w:rPr>
          <w:sz w:val="24"/>
          <w:szCs w:val="24"/>
          <w:lang w:val="fi-FI"/>
        </w:rPr>
        <w:t>dosud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nezveřejněné</w:t>
      </w:r>
      <w:r w:rsidRPr="003A7D50">
        <w:rPr>
          <w:sz w:val="24"/>
          <w:szCs w:val="24"/>
          <w:lang w:val="fi-FI"/>
        </w:rPr>
        <w:t xml:space="preserve"> v </w:t>
      </w:r>
      <w:r w:rsidRPr="003A7D50">
        <w:rPr>
          <w:sz w:val="24"/>
          <w:szCs w:val="24"/>
          <w:lang w:val="fi-FI"/>
        </w:rPr>
        <w:t>Úředním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věstníku</w:t>
      </w:r>
      <w:r w:rsidRPr="003A7D50">
        <w:rPr>
          <w:sz w:val="24"/>
          <w:szCs w:val="24"/>
          <w:lang w:val="fi-FI"/>
        </w:rPr>
        <w:t>).</w:t>
      </w:r>
    </w:p>
  </w:footnote>
  <w:footnote w:id="4">
    <w:p w:rsidR="009D4242" w:rsidRPr="003A7D50" w:rsidP="009F269F" w14:paraId="5DEABB30" w14:textId="10FF4612">
      <w:pPr>
        <w:pStyle w:val="FootnoteText"/>
        <w:ind w:left="567" w:hanging="567"/>
        <w:rPr>
          <w:sz w:val="24"/>
          <w:szCs w:val="24"/>
          <w:lang w:val="fi-FI"/>
        </w:rPr>
      </w:pPr>
      <w:r w:rsidRPr="003A7D50">
        <w:rPr>
          <w:rStyle w:val="FootnoteReference"/>
          <w:sz w:val="24"/>
          <w:szCs w:val="24"/>
        </w:rPr>
        <w:footnoteRef/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ab/>
      </w:r>
      <w:r w:rsidRPr="003A7D50">
        <w:rPr>
          <w:sz w:val="24"/>
          <w:szCs w:val="24"/>
          <w:lang w:val="fi-FI"/>
        </w:rPr>
        <w:t>Stanovisko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ze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dne</w:t>
      </w:r>
      <w:r w:rsidRPr="003A7D50">
        <w:rPr>
          <w:sz w:val="24"/>
          <w:szCs w:val="24"/>
          <w:lang w:val="fi-FI"/>
        </w:rPr>
        <w:t xml:space="preserve"> 7. </w:t>
      </w:r>
      <w:r w:rsidRPr="003A7D50">
        <w:rPr>
          <w:sz w:val="24"/>
          <w:szCs w:val="24"/>
          <w:lang w:val="fi-FI"/>
        </w:rPr>
        <w:t>května</w:t>
      </w:r>
      <w:r w:rsidRPr="003A7D50">
        <w:rPr>
          <w:sz w:val="24"/>
          <w:szCs w:val="24"/>
          <w:lang w:val="fi-FI"/>
        </w:rPr>
        <w:t xml:space="preserve"> 2026 (</w:t>
      </w:r>
      <w:r w:rsidRPr="003A7D50">
        <w:rPr>
          <w:sz w:val="24"/>
          <w:szCs w:val="24"/>
          <w:lang w:val="fi-FI"/>
        </w:rPr>
        <w:t>dosud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nezveřejněné</w:t>
      </w:r>
      <w:r w:rsidRPr="003A7D50">
        <w:rPr>
          <w:sz w:val="24"/>
          <w:szCs w:val="24"/>
          <w:lang w:val="fi-FI"/>
        </w:rPr>
        <w:t xml:space="preserve"> v </w:t>
      </w:r>
      <w:r w:rsidRPr="003A7D50">
        <w:rPr>
          <w:sz w:val="24"/>
          <w:szCs w:val="24"/>
          <w:lang w:val="fi-FI"/>
        </w:rPr>
        <w:t>Úředním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věstníku</w:t>
      </w:r>
      <w:r w:rsidRPr="003A7D50">
        <w:rPr>
          <w:sz w:val="24"/>
          <w:szCs w:val="24"/>
          <w:lang w:val="fi-FI"/>
        </w:rPr>
        <w:t>).</w:t>
      </w:r>
    </w:p>
  </w:footnote>
  <w:footnote w:id="5">
    <w:p w:rsidR="00A83500" w:rsidRPr="003A7D50" w:rsidP="00A83500" w14:paraId="3EF39515" w14:textId="021335FD">
      <w:pPr>
        <w:pStyle w:val="FootnoteText"/>
        <w:ind w:left="567" w:hanging="567"/>
        <w:rPr>
          <w:sz w:val="24"/>
          <w:szCs w:val="24"/>
          <w:lang w:val="fi-FI"/>
        </w:rPr>
      </w:pPr>
      <w:r w:rsidRPr="003A7D50">
        <w:rPr>
          <w:rStyle w:val="FootnoteReference"/>
          <w:sz w:val="24"/>
          <w:szCs w:val="24"/>
        </w:rPr>
        <w:footnoteRef/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ab/>
      </w:r>
      <w:r w:rsidRPr="003A7D50">
        <w:rPr>
          <w:sz w:val="24"/>
          <w:szCs w:val="24"/>
          <w:lang w:val="fi-FI"/>
        </w:rPr>
        <w:t>Tento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postoj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nahrazuje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pozměňovací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návrhy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přijaté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dne</w:t>
      </w:r>
      <w:r w:rsidRPr="003A7D50">
        <w:rPr>
          <w:sz w:val="24"/>
          <w:szCs w:val="24"/>
          <w:lang w:val="fi-FI"/>
        </w:rPr>
        <w:t xml:space="preserve"> 26. </w:t>
      </w:r>
      <w:r w:rsidRPr="003A7D50">
        <w:rPr>
          <w:sz w:val="24"/>
          <w:szCs w:val="24"/>
          <w:lang w:val="fi-FI"/>
        </w:rPr>
        <w:t>března</w:t>
      </w:r>
      <w:r w:rsidRPr="003A7D50">
        <w:rPr>
          <w:sz w:val="24"/>
          <w:szCs w:val="24"/>
          <w:lang w:val="fi-FI"/>
        </w:rPr>
        <w:t xml:space="preserve"> 2026 (</w:t>
      </w:r>
      <w:r w:rsidRPr="003A7D50">
        <w:rPr>
          <w:sz w:val="24"/>
          <w:szCs w:val="24"/>
          <w:lang w:val="fi-FI"/>
        </w:rPr>
        <w:t>Přijaté</w:t>
      </w:r>
      <w:r w:rsidRPr="003A7D50">
        <w:rPr>
          <w:sz w:val="24"/>
          <w:szCs w:val="24"/>
          <w:lang w:val="fi-FI"/>
        </w:rPr>
        <w:t xml:space="preserve"> </w:t>
      </w:r>
      <w:r w:rsidRPr="003A7D50">
        <w:rPr>
          <w:sz w:val="24"/>
          <w:szCs w:val="24"/>
          <w:lang w:val="fi-FI"/>
        </w:rPr>
        <w:t>texty</w:t>
      </w:r>
      <w:r w:rsidRPr="003A7D50">
        <w:rPr>
          <w:sz w:val="24"/>
          <w:szCs w:val="24"/>
          <w:lang w:val="fi-FI"/>
        </w:rPr>
        <w:t>, P10_TA(2026)0098).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C7BB1" w14:paraId="220403D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C7BB1" w14:paraId="6C1B62B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C7BB1" w14:paraId="2D987C4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0F526586"/>
    <w:multiLevelType w:val="hybridMultilevel"/>
    <w:tmpl w:val="AEBE340E"/>
    <w:lvl w:ilvl="0">
      <w:start w:val="1"/>
      <w:numFmt w:val="lowerLetter"/>
      <w:lvlText w:val="(%1)"/>
      <w:lvlJc w:val="left"/>
      <w:pPr>
        <w:ind w:left="12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0" w:hanging="360"/>
      </w:pPr>
    </w:lvl>
    <w:lvl w:ilvl="2" w:tentative="1">
      <w:start w:val="1"/>
      <w:numFmt w:val="lowerRoman"/>
      <w:lvlText w:val="%3."/>
      <w:lvlJc w:val="right"/>
      <w:pPr>
        <w:ind w:left="2650" w:hanging="180"/>
      </w:pPr>
    </w:lvl>
    <w:lvl w:ilvl="3" w:tentative="1">
      <w:start w:val="1"/>
      <w:numFmt w:val="decimal"/>
      <w:lvlText w:val="%4."/>
      <w:lvlJc w:val="left"/>
      <w:pPr>
        <w:ind w:left="3370" w:hanging="360"/>
      </w:pPr>
    </w:lvl>
    <w:lvl w:ilvl="4" w:tentative="1">
      <w:start w:val="1"/>
      <w:numFmt w:val="lowerLetter"/>
      <w:lvlText w:val="%5."/>
      <w:lvlJc w:val="left"/>
      <w:pPr>
        <w:ind w:left="4090" w:hanging="360"/>
      </w:pPr>
    </w:lvl>
    <w:lvl w:ilvl="5" w:tentative="1">
      <w:start w:val="1"/>
      <w:numFmt w:val="lowerRoman"/>
      <w:lvlText w:val="%6."/>
      <w:lvlJc w:val="right"/>
      <w:pPr>
        <w:ind w:left="4810" w:hanging="180"/>
      </w:pPr>
    </w:lvl>
    <w:lvl w:ilvl="6" w:tentative="1">
      <w:start w:val="1"/>
      <w:numFmt w:val="decimal"/>
      <w:lvlText w:val="%7."/>
      <w:lvlJc w:val="left"/>
      <w:pPr>
        <w:ind w:left="5530" w:hanging="360"/>
      </w:pPr>
    </w:lvl>
    <w:lvl w:ilvl="7" w:tentative="1">
      <w:start w:val="1"/>
      <w:numFmt w:val="lowerLetter"/>
      <w:lvlText w:val="%8."/>
      <w:lvlJc w:val="left"/>
      <w:pPr>
        <w:ind w:left="6250" w:hanging="360"/>
      </w:pPr>
    </w:lvl>
    <w:lvl w:ilvl="8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245508B1"/>
    <w:multiLevelType w:val="hybridMultilevel"/>
    <w:tmpl w:val="BFAA5420"/>
    <w:lvl w:ilvl="0">
      <w:start w:val="3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67F98"/>
    <w:multiLevelType w:val="multilevel"/>
    <w:tmpl w:val="5E2C2F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5E28A4"/>
    <w:multiLevelType w:val="multilevel"/>
    <w:tmpl w:val="8C36810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831E4B"/>
    <w:multiLevelType w:val="hybridMultilevel"/>
    <w:tmpl w:val="BDFC1952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6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>
    <w:nsid w:val="43060FAF"/>
    <w:multiLevelType w:val="multilevel"/>
    <w:tmpl w:val="A7862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2966ED"/>
    <w:multiLevelType w:val="multilevel"/>
    <w:tmpl w:val="A000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C729A0"/>
    <w:multiLevelType w:val="hybridMultilevel"/>
    <w:tmpl w:val="45DA247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0">
    <w:nsid w:val="554B53A5"/>
    <w:multiLevelType w:val="hybridMultilevel"/>
    <w:tmpl w:val="8A2AF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A1A4A"/>
    <w:multiLevelType w:val="multilevel"/>
    <w:tmpl w:val="7804A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4602AB"/>
    <w:multiLevelType w:val="multilevel"/>
    <w:tmpl w:val="1C3A1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FF26D3"/>
    <w:multiLevelType w:val="hybridMultilevel"/>
    <w:tmpl w:val="C0E6CEB0"/>
    <w:lvl w:ilvl="0">
      <w:start w:val="1"/>
      <w:numFmt w:val="lowerLetter"/>
      <w:lvlText w:val="(%1)"/>
      <w:lvlJc w:val="left"/>
      <w:pPr>
        <w:ind w:left="1440" w:hanging="59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28" w:hanging="360"/>
      </w:pPr>
    </w:lvl>
    <w:lvl w:ilvl="2" w:tentative="1">
      <w:start w:val="1"/>
      <w:numFmt w:val="lowerRoman"/>
      <w:lvlText w:val="%3."/>
      <w:lvlJc w:val="right"/>
      <w:pPr>
        <w:ind w:left="2648" w:hanging="180"/>
      </w:pPr>
    </w:lvl>
    <w:lvl w:ilvl="3" w:tentative="1">
      <w:start w:val="1"/>
      <w:numFmt w:val="decimal"/>
      <w:lvlText w:val="%4."/>
      <w:lvlJc w:val="left"/>
      <w:pPr>
        <w:ind w:left="3368" w:hanging="360"/>
      </w:pPr>
    </w:lvl>
    <w:lvl w:ilvl="4" w:tentative="1">
      <w:start w:val="1"/>
      <w:numFmt w:val="lowerLetter"/>
      <w:lvlText w:val="%5."/>
      <w:lvlJc w:val="left"/>
      <w:pPr>
        <w:ind w:left="4088" w:hanging="360"/>
      </w:pPr>
    </w:lvl>
    <w:lvl w:ilvl="5" w:tentative="1">
      <w:start w:val="1"/>
      <w:numFmt w:val="lowerRoman"/>
      <w:lvlText w:val="%6."/>
      <w:lvlJc w:val="right"/>
      <w:pPr>
        <w:ind w:left="4808" w:hanging="180"/>
      </w:pPr>
    </w:lvl>
    <w:lvl w:ilvl="6" w:tentative="1">
      <w:start w:val="1"/>
      <w:numFmt w:val="decimal"/>
      <w:lvlText w:val="%7."/>
      <w:lvlJc w:val="left"/>
      <w:pPr>
        <w:ind w:left="5528" w:hanging="360"/>
      </w:pPr>
    </w:lvl>
    <w:lvl w:ilvl="7" w:tentative="1">
      <w:start w:val="1"/>
      <w:numFmt w:val="lowerLetter"/>
      <w:lvlText w:val="%8."/>
      <w:lvlJc w:val="left"/>
      <w:pPr>
        <w:ind w:left="6248" w:hanging="360"/>
      </w:pPr>
    </w:lvl>
    <w:lvl w:ilvl="8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4">
    <w:nsid w:val="7D3F2A20"/>
    <w:multiLevelType w:val="multilevel"/>
    <w:tmpl w:val="8CAE8EE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224698">
    <w:abstractNumId w:val="9"/>
  </w:num>
  <w:num w:numId="2" w16cid:durableId="761992882">
    <w:abstractNumId w:val="9"/>
  </w:num>
  <w:num w:numId="3" w16cid:durableId="524906933">
    <w:abstractNumId w:val="7"/>
  </w:num>
  <w:num w:numId="4" w16cid:durableId="1171480518">
    <w:abstractNumId w:val="7"/>
  </w:num>
  <w:num w:numId="5" w16cid:durableId="739182930">
    <w:abstractNumId w:val="6"/>
  </w:num>
  <w:num w:numId="6" w16cid:durableId="2019696783">
    <w:abstractNumId w:val="6"/>
  </w:num>
  <w:num w:numId="7" w16cid:durableId="864826780">
    <w:abstractNumId w:val="5"/>
  </w:num>
  <w:num w:numId="8" w16cid:durableId="696200763">
    <w:abstractNumId w:val="5"/>
  </w:num>
  <w:num w:numId="9" w16cid:durableId="1485388909">
    <w:abstractNumId w:val="4"/>
  </w:num>
  <w:num w:numId="10" w16cid:durableId="867908849">
    <w:abstractNumId w:val="4"/>
  </w:num>
  <w:num w:numId="11" w16cid:durableId="421147089">
    <w:abstractNumId w:val="8"/>
  </w:num>
  <w:num w:numId="12" w16cid:durableId="2146924332">
    <w:abstractNumId w:val="8"/>
  </w:num>
  <w:num w:numId="13" w16cid:durableId="246115713">
    <w:abstractNumId w:val="3"/>
  </w:num>
  <w:num w:numId="14" w16cid:durableId="1218931656">
    <w:abstractNumId w:val="3"/>
  </w:num>
  <w:num w:numId="15" w16cid:durableId="666906465">
    <w:abstractNumId w:val="2"/>
  </w:num>
  <w:num w:numId="16" w16cid:durableId="469830307">
    <w:abstractNumId w:val="2"/>
  </w:num>
  <w:num w:numId="17" w16cid:durableId="1992444894">
    <w:abstractNumId w:val="1"/>
  </w:num>
  <w:num w:numId="18" w16cid:durableId="2088989169">
    <w:abstractNumId w:val="1"/>
  </w:num>
  <w:num w:numId="19" w16cid:durableId="1422146226">
    <w:abstractNumId w:val="0"/>
  </w:num>
  <w:num w:numId="20" w16cid:durableId="871767967">
    <w:abstractNumId w:val="0"/>
  </w:num>
  <w:num w:numId="21" w16cid:durableId="627782230">
    <w:abstractNumId w:val="9"/>
  </w:num>
  <w:num w:numId="22" w16cid:durableId="11273223">
    <w:abstractNumId w:val="7"/>
  </w:num>
  <w:num w:numId="23" w16cid:durableId="323820808">
    <w:abstractNumId w:val="6"/>
  </w:num>
  <w:num w:numId="24" w16cid:durableId="139464460">
    <w:abstractNumId w:val="5"/>
  </w:num>
  <w:num w:numId="25" w16cid:durableId="106047633">
    <w:abstractNumId w:val="4"/>
  </w:num>
  <w:num w:numId="26" w16cid:durableId="788544713">
    <w:abstractNumId w:val="8"/>
  </w:num>
  <w:num w:numId="27" w16cid:durableId="2000501983">
    <w:abstractNumId w:val="3"/>
  </w:num>
  <w:num w:numId="28" w16cid:durableId="1827433520">
    <w:abstractNumId w:val="2"/>
  </w:num>
  <w:num w:numId="29" w16cid:durableId="1095327951">
    <w:abstractNumId w:val="1"/>
  </w:num>
  <w:num w:numId="30" w16cid:durableId="928849270">
    <w:abstractNumId w:val="0"/>
  </w:num>
  <w:num w:numId="31" w16cid:durableId="1493107548">
    <w:abstractNumId w:val="9"/>
  </w:num>
  <w:num w:numId="32" w16cid:durableId="1180387295">
    <w:abstractNumId w:val="7"/>
  </w:num>
  <w:num w:numId="33" w16cid:durableId="2007394304">
    <w:abstractNumId w:val="6"/>
  </w:num>
  <w:num w:numId="34" w16cid:durableId="1680036653">
    <w:abstractNumId w:val="5"/>
  </w:num>
  <w:num w:numId="35" w16cid:durableId="1802192213">
    <w:abstractNumId w:val="4"/>
  </w:num>
  <w:num w:numId="36" w16cid:durableId="1963345000">
    <w:abstractNumId w:val="8"/>
  </w:num>
  <w:num w:numId="37" w16cid:durableId="1667125683">
    <w:abstractNumId w:val="3"/>
  </w:num>
  <w:num w:numId="38" w16cid:durableId="775171807">
    <w:abstractNumId w:val="2"/>
  </w:num>
  <w:num w:numId="39" w16cid:durableId="690647542">
    <w:abstractNumId w:val="1"/>
  </w:num>
  <w:num w:numId="40" w16cid:durableId="1305892339">
    <w:abstractNumId w:val="0"/>
  </w:num>
  <w:num w:numId="41" w16cid:durableId="1332224301">
    <w:abstractNumId w:val="10"/>
  </w:num>
  <w:num w:numId="42" w16cid:durableId="1349913024">
    <w:abstractNumId w:val="10"/>
  </w:num>
  <w:num w:numId="43" w16cid:durableId="2084906221">
    <w:abstractNumId w:val="10"/>
  </w:num>
  <w:num w:numId="44" w16cid:durableId="1329946013">
    <w:abstractNumId w:val="16"/>
  </w:num>
  <w:num w:numId="45" w16cid:durableId="1579710837">
    <w:abstractNumId w:val="15"/>
  </w:num>
  <w:num w:numId="46" w16cid:durableId="1908564666">
    <w:abstractNumId w:val="19"/>
  </w:num>
  <w:num w:numId="47" w16cid:durableId="104232154">
    <w:abstractNumId w:val="20"/>
  </w:num>
  <w:num w:numId="48" w16cid:durableId="454639391">
    <w:abstractNumId w:val="12"/>
  </w:num>
  <w:num w:numId="49" w16cid:durableId="5195149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9330958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4926379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152382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151090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2011548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9315426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99120139">
    <w:abstractNumId w:val="11"/>
  </w:num>
  <w:num w:numId="57" w16cid:durableId="1426456651">
    <w:abstractNumId w:val="2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A2"/>
    <w:rsid w:val="00002272"/>
    <w:rsid w:val="00064002"/>
    <w:rsid w:val="000677B9"/>
    <w:rsid w:val="00072846"/>
    <w:rsid w:val="000831BA"/>
    <w:rsid w:val="000A42CC"/>
    <w:rsid w:val="000E7DD9"/>
    <w:rsid w:val="0010095E"/>
    <w:rsid w:val="00125B37"/>
    <w:rsid w:val="00187494"/>
    <w:rsid w:val="001F32AE"/>
    <w:rsid w:val="002666DA"/>
    <w:rsid w:val="002767FF"/>
    <w:rsid w:val="002B18FE"/>
    <w:rsid w:val="002B5493"/>
    <w:rsid w:val="00343214"/>
    <w:rsid w:val="0034330C"/>
    <w:rsid w:val="00361C00"/>
    <w:rsid w:val="00395FA1"/>
    <w:rsid w:val="003A7D50"/>
    <w:rsid w:val="003E15D4"/>
    <w:rsid w:val="003F053A"/>
    <w:rsid w:val="00411CCE"/>
    <w:rsid w:val="0041666E"/>
    <w:rsid w:val="004170FB"/>
    <w:rsid w:val="00421060"/>
    <w:rsid w:val="00436C5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7BF4"/>
    <w:rsid w:val="005C2568"/>
    <w:rsid w:val="005F1B17"/>
    <w:rsid w:val="006037C0"/>
    <w:rsid w:val="006151CE"/>
    <w:rsid w:val="006154AD"/>
    <w:rsid w:val="006631B6"/>
    <w:rsid w:val="00680577"/>
    <w:rsid w:val="006C0B6E"/>
    <w:rsid w:val="006C104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77C0"/>
    <w:rsid w:val="008C2AC6"/>
    <w:rsid w:val="008C7BB1"/>
    <w:rsid w:val="00930C23"/>
    <w:rsid w:val="0093193B"/>
    <w:rsid w:val="009509D8"/>
    <w:rsid w:val="00950B64"/>
    <w:rsid w:val="00981893"/>
    <w:rsid w:val="009D4242"/>
    <w:rsid w:val="009F269F"/>
    <w:rsid w:val="00A1687D"/>
    <w:rsid w:val="00A43E52"/>
    <w:rsid w:val="00A4678D"/>
    <w:rsid w:val="00A62A5B"/>
    <w:rsid w:val="00A778C7"/>
    <w:rsid w:val="00A83500"/>
    <w:rsid w:val="00AB441E"/>
    <w:rsid w:val="00AB6293"/>
    <w:rsid w:val="00AC4926"/>
    <w:rsid w:val="00AE0928"/>
    <w:rsid w:val="00AF3B82"/>
    <w:rsid w:val="00B036C3"/>
    <w:rsid w:val="00B12E95"/>
    <w:rsid w:val="00B22876"/>
    <w:rsid w:val="00B558F0"/>
    <w:rsid w:val="00BD48FE"/>
    <w:rsid w:val="00BD7BD8"/>
    <w:rsid w:val="00BE6ADC"/>
    <w:rsid w:val="00BF7760"/>
    <w:rsid w:val="00C05BFE"/>
    <w:rsid w:val="00C23CD4"/>
    <w:rsid w:val="00C3555E"/>
    <w:rsid w:val="00C61C0C"/>
    <w:rsid w:val="00C837DE"/>
    <w:rsid w:val="00C941CB"/>
    <w:rsid w:val="00CC2357"/>
    <w:rsid w:val="00CF071A"/>
    <w:rsid w:val="00D058B8"/>
    <w:rsid w:val="00D548F3"/>
    <w:rsid w:val="00D56C11"/>
    <w:rsid w:val="00D75681"/>
    <w:rsid w:val="00D834A0"/>
    <w:rsid w:val="00D872DF"/>
    <w:rsid w:val="00D91E21"/>
    <w:rsid w:val="00DA7FCD"/>
    <w:rsid w:val="00DB69C7"/>
    <w:rsid w:val="00DE7D51"/>
    <w:rsid w:val="00E1297C"/>
    <w:rsid w:val="00E365E1"/>
    <w:rsid w:val="00E820A4"/>
    <w:rsid w:val="00E85A13"/>
    <w:rsid w:val="00EB006A"/>
    <w:rsid w:val="00EB4772"/>
    <w:rsid w:val="00ED169E"/>
    <w:rsid w:val="00ED4235"/>
    <w:rsid w:val="00EF2B2C"/>
    <w:rsid w:val="00F04346"/>
    <w:rsid w:val="00F075DC"/>
    <w:rsid w:val="00F149E9"/>
    <w:rsid w:val="00F23D99"/>
    <w:rsid w:val="00F5134D"/>
    <w:rsid w:val="00F74202"/>
    <w:rsid w:val="00F87713"/>
    <w:rsid w:val="00F93FA2"/>
    <w:rsid w:val="00FB4360"/>
    <w:rsid w:val="00FD0C70"/>
  </w:rsids>
  <w:docVars>
    <w:docVar w:name="dvdocse" w:val="A10-0073/2026"/>
    <w:docVar w:name="dvlangue" w:val="CS"/>
    <w:docVar w:name="dvnumam" w:val="171"/>
    <w:docVar w:name="dvpe" w:val="782.530"/>
    <w:docVar w:name="dvrapporteur" w:val="Zpravodajové: "/>
    <w:docVar w:name="dvstar" w:val="***I"/>
    <w:docVar w:name="dvtitre" w:val="Legislativní usnesení Evropského parlamentu ze dne.... 2026 o návrhu nařízení Evropského parlamentu a Rady, kterým se mění nařízení (EU) 2024/1689 a (EU) 2018/1139, pokud jde o zjednodušení provádění harmonizovaných pravidel pro umělou inteligenci (souhrnný balíček pro digitální oblast týkající se umělé inteligence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FA6B0A"/>
  <w15:chartTrackingRefBased/>
  <w15:docId w15:val="{87384FEF-2718-4E19-8C87-0EBEEC9D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-E Fußnotenzeichen,BVI fnr,E FNZ,Exposant 3 Point,Footnote,Footnote Reference Number,Footnote Reference Superscript,Footnote sign,Footnote symboFußnotenzeichen,Footnote symbol,Footnote#,Ref,SUPER,Times 10 Point,de nota al pie,stylish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85A1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A1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A1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A1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A1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A13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A13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A13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A13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E85A1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85A1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85A1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85A13"/>
    <w:pPr>
      <w:spacing w:after="120"/>
    </w:pPr>
  </w:style>
  <w:style w:type="paragraph" w:customStyle="1" w:styleId="PageHeading">
    <w:name w:val="PageHeading"/>
    <w:basedOn w:val="Normal"/>
    <w:rsid w:val="00E85A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85A13"/>
    <w:rPr>
      <w:b/>
    </w:rPr>
  </w:style>
  <w:style w:type="paragraph" w:customStyle="1" w:styleId="NormalBold12a">
    <w:name w:val="NormalBold12a"/>
    <w:basedOn w:val="Normal"/>
    <w:rsid w:val="00E85A13"/>
    <w:pPr>
      <w:spacing w:after="240"/>
    </w:pPr>
    <w:rPr>
      <w:b/>
    </w:rPr>
  </w:style>
  <w:style w:type="paragraph" w:customStyle="1" w:styleId="AmJustText">
    <w:name w:val="AmJustText"/>
    <w:basedOn w:val="Normal"/>
    <w:rsid w:val="00E85A1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85A1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85A13"/>
    <w:pPr>
      <w:spacing w:after="480"/>
      <w:ind w:left="1417"/>
    </w:pPr>
  </w:style>
  <w:style w:type="paragraph" w:customStyle="1" w:styleId="CoverNormal">
    <w:name w:val="CoverNormal"/>
    <w:basedOn w:val="Normal"/>
    <w:rsid w:val="00E85A13"/>
    <w:pPr>
      <w:ind w:left="1418"/>
    </w:pPr>
  </w:style>
  <w:style w:type="paragraph" w:customStyle="1" w:styleId="AmCrossRef">
    <w:name w:val="AmCrossRef"/>
    <w:basedOn w:val="Normal"/>
    <w:rsid w:val="00E85A1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85A1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85A1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85A1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85A1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85A1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8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A13"/>
    <w:rPr>
      <w:sz w:val="24"/>
      <w:lang w:val="cs-CZ"/>
    </w:rPr>
  </w:style>
  <w:style w:type="paragraph" w:customStyle="1" w:styleId="AmOrLang">
    <w:name w:val="AmOrLang"/>
    <w:basedOn w:val="Normal"/>
    <w:rsid w:val="00E85A1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85A1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85A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85A13"/>
    <w:pPr>
      <w:spacing w:before="240"/>
    </w:pPr>
    <w:rPr>
      <w:b/>
    </w:rPr>
  </w:style>
  <w:style w:type="paragraph" w:customStyle="1" w:styleId="EPBody">
    <w:name w:val="EPBody"/>
    <w:basedOn w:val="Normal"/>
    <w:rsid w:val="00E85A1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85A1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85A13"/>
    <w:pPr>
      <w:spacing w:before="480" w:after="240"/>
    </w:pPr>
  </w:style>
  <w:style w:type="paragraph" w:customStyle="1" w:styleId="Lgendesigne">
    <w:name w:val="Légende signe"/>
    <w:basedOn w:val="Normal"/>
    <w:rsid w:val="00E85A1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85A1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85A13"/>
    <w:rPr>
      <w:sz w:val="18"/>
    </w:rPr>
  </w:style>
  <w:style w:type="paragraph" w:styleId="Footer">
    <w:name w:val="footer"/>
    <w:basedOn w:val="Normal"/>
    <w:link w:val="FooterChar"/>
    <w:uiPriority w:val="99"/>
    <w:rsid w:val="00E85A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A13"/>
    <w:rPr>
      <w:sz w:val="24"/>
      <w:lang w:val="cs-CZ"/>
    </w:rPr>
  </w:style>
  <w:style w:type="paragraph" w:customStyle="1" w:styleId="Normal24a">
    <w:name w:val="Normal24a"/>
    <w:basedOn w:val="Normal"/>
    <w:rsid w:val="00E85A13"/>
    <w:pPr>
      <w:spacing w:after="480"/>
    </w:pPr>
  </w:style>
  <w:style w:type="paragraph" w:customStyle="1" w:styleId="NormalBoldCenter">
    <w:name w:val="NormalBoldCenter"/>
    <w:basedOn w:val="Normal"/>
    <w:rsid w:val="00E85A13"/>
    <w:pPr>
      <w:jc w:val="center"/>
    </w:pPr>
    <w:rPr>
      <w:b/>
    </w:rPr>
  </w:style>
  <w:style w:type="paragraph" w:customStyle="1" w:styleId="Footprint12b">
    <w:name w:val="Footprint12b"/>
    <w:basedOn w:val="Normal"/>
    <w:rsid w:val="00E85A13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E85A13"/>
    <w:rPr>
      <w:szCs w:val="24"/>
    </w:rPr>
  </w:style>
  <w:style w:type="character" w:styleId="Hyperlink">
    <w:name w:val="Hyperlink"/>
    <w:basedOn w:val="DefaultParagraphFont"/>
    <w:rsid w:val="00E85A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A13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E85A13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E85A1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E85A13"/>
    <w:rPr>
      <w:b/>
      <w:sz w:val="24"/>
      <w:lang w:val="cs-CZ"/>
    </w:rPr>
  </w:style>
  <w:style w:type="paragraph" w:customStyle="1" w:styleId="ColumnHeading">
    <w:name w:val="ColumnHeading"/>
    <w:basedOn w:val="Normal"/>
    <w:rsid w:val="00E85A1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85A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E85A13"/>
    <w:pPr>
      <w:spacing w:before="240"/>
      <w:jc w:val="center"/>
    </w:pPr>
    <w:rPr>
      <w:i/>
    </w:rPr>
  </w:style>
  <w:style w:type="paragraph" w:customStyle="1" w:styleId="Olang">
    <w:name w:val="Olang"/>
    <w:rsid w:val="00E85A13"/>
    <w:pPr>
      <w:jc w:val="right"/>
    </w:pPr>
    <w:rPr>
      <w:lang w:val="cs-CZ"/>
    </w:rPr>
  </w:style>
  <w:style w:type="paragraph" w:styleId="Revision">
    <w:name w:val="Revision"/>
    <w:hidden/>
    <w:uiPriority w:val="99"/>
    <w:semiHidden/>
    <w:rsid w:val="00E85A13"/>
    <w:rPr>
      <w:sz w:val="24"/>
      <w:lang w:val="cs-CZ"/>
    </w:rPr>
  </w:style>
  <w:style w:type="character" w:styleId="CommentReference">
    <w:name w:val="annotation reference"/>
    <w:basedOn w:val="DefaultParagraphFont"/>
    <w:rsid w:val="00E85A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5A1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5A13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85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85A13"/>
    <w:rPr>
      <w:b/>
      <w:bCs/>
      <w:lang w:val="cs-CZ"/>
    </w:rPr>
  </w:style>
  <w:style w:type="paragraph" w:customStyle="1" w:styleId="EntPE">
    <w:name w:val="EntPE"/>
    <w:basedOn w:val="Normal12"/>
    <w:rsid w:val="00E85A13"/>
    <w:pPr>
      <w:jc w:val="center"/>
    </w:pPr>
    <w:rPr>
      <w:noProof w:val="0"/>
      <w:sz w:val="56"/>
    </w:rPr>
  </w:style>
  <w:style w:type="paragraph" w:customStyle="1" w:styleId="Normal12a">
    <w:name w:val="Normal12a"/>
    <w:basedOn w:val="Normal"/>
    <w:rsid w:val="00E85A13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E85A13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E85A13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E85A13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E85A13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E85A13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E85A13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Normal12">
    <w:name w:val="Normal12"/>
    <w:basedOn w:val="Normal"/>
    <w:link w:val="Normal12Char"/>
    <w:rsid w:val="00E85A1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E85A13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E85A13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E85A13"/>
    <w:pPr>
      <w:tabs>
        <w:tab w:val="right" w:pos="9356"/>
      </w:tabs>
    </w:pPr>
    <w:rPr>
      <w:b/>
      <w:noProof/>
      <w:lang w:val="en-GB"/>
    </w:rPr>
  </w:style>
  <w:style w:type="character" w:customStyle="1" w:styleId="Normal12Char">
    <w:name w:val="Normal12 Char"/>
    <w:basedOn w:val="DefaultParagraphFont"/>
    <w:link w:val="Normal12"/>
    <w:locked/>
    <w:rsid w:val="00E85A13"/>
    <w:rPr>
      <w:noProof/>
      <w:sz w:val="24"/>
    </w:rPr>
  </w:style>
  <w:style w:type="paragraph" w:customStyle="1" w:styleId="PELeft">
    <w:name w:val="PELeft"/>
    <w:basedOn w:val="Normal"/>
    <w:rsid w:val="00E85A13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E85A13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Normal12Italic">
    <w:name w:val="Normal12Italic"/>
    <w:basedOn w:val="Normal12"/>
    <w:rsid w:val="00E85A13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E85A13"/>
    <w:pPr>
      <w:keepNext/>
      <w:spacing w:before="240" w:after="240"/>
      <w:jc w:val="center"/>
    </w:pPr>
    <w:rPr>
      <w:i/>
      <w:noProof/>
      <w:lang w:val="fr-FR"/>
    </w:rPr>
  </w:style>
  <w:style w:type="character" w:customStyle="1" w:styleId="Footer2Middle">
    <w:name w:val="Footer2Middle"/>
    <w:rsid w:val="00E85A13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E85A13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E85A13"/>
    <w:pPr>
      <w:spacing w:before="480"/>
      <w:ind w:left="1134" w:hanging="1134"/>
    </w:pPr>
    <w:rPr>
      <w:lang w:val="en-GB"/>
    </w:rPr>
  </w:style>
  <w:style w:type="paragraph" w:customStyle="1" w:styleId="LetterSignature66b">
    <w:name w:val="LetterSignature66b"/>
    <w:basedOn w:val="Normal"/>
    <w:next w:val="Normal"/>
    <w:rsid w:val="00E85A13"/>
    <w:pPr>
      <w:spacing w:before="1320"/>
    </w:pPr>
    <w:rPr>
      <w:lang w:val="en-GB"/>
    </w:rPr>
  </w:style>
  <w:style w:type="paragraph" w:customStyle="1" w:styleId="AmDocTypeTab">
    <w:name w:val="AmDocTypeTab"/>
    <w:basedOn w:val="Normal"/>
    <w:rsid w:val="0034330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4330C"/>
    <w:pPr>
      <w:spacing w:after="240"/>
      <w:jc w:val="center"/>
    </w:pPr>
  </w:style>
  <w:style w:type="paragraph" w:customStyle="1" w:styleId="AmDateTab">
    <w:name w:val="AmDateTab"/>
    <w:basedOn w:val="Normal"/>
    <w:rsid w:val="0034330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4330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4330C"/>
  </w:style>
  <w:style w:type="paragraph" w:customStyle="1" w:styleId="Title1">
    <w:name w:val="Title1"/>
    <w:basedOn w:val="Normal"/>
    <w:next w:val="Normal"/>
    <w:uiPriority w:val="10"/>
    <w:qFormat/>
    <w:rsid w:val="0034330C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30C"/>
    <w:rPr>
      <w:rFonts w:ascii="Arial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34330C"/>
    <w:pPr>
      <w:widowControl/>
      <w:spacing w:after="60"/>
      <w:jc w:val="center"/>
      <w:outlineLvl w:val="1"/>
    </w:pPr>
    <w:rPr>
      <w:rFonts w:ascii="Arial" w:hAnsi="Arial" w:cs="Arial"/>
      <w:kern w:val="2"/>
      <w:szCs w:val="24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30C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34330C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34330C"/>
    <w:rPr>
      <w:rFonts w:ascii="Aptos" w:hAnsi="Aptos"/>
      <w:b/>
      <w:i/>
      <w:iCs/>
    </w:rPr>
  </w:style>
  <w:style w:type="paragraph" w:styleId="NoSpacing">
    <w:name w:val="No Spacing"/>
    <w:basedOn w:val="Normal"/>
    <w:uiPriority w:val="1"/>
    <w:qFormat/>
    <w:rsid w:val="0034330C"/>
    <w:pPr>
      <w:widowControl/>
      <w:jc w:val="both"/>
    </w:pPr>
    <w:rPr>
      <w:rFonts w:eastAsia="Aptos"/>
      <w:kern w:val="2"/>
      <w:szCs w:val="32"/>
      <w:lang w:val="en-GB"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34330C"/>
    <w:pPr>
      <w:widowControl/>
      <w:ind w:left="720"/>
      <w:contextualSpacing/>
      <w:jc w:val="both"/>
    </w:pPr>
    <w:rPr>
      <w:rFonts w:eastAsia="Aptos"/>
      <w:kern w:val="2"/>
      <w:szCs w:val="24"/>
      <w:lang w:val="en-GB"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4330C"/>
    <w:pPr>
      <w:widowControl/>
      <w:jc w:val="both"/>
    </w:pPr>
    <w:rPr>
      <w:rFonts w:eastAsia="Aptos"/>
      <w:i/>
      <w:kern w:val="2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30C"/>
    <w:rPr>
      <w:rFonts w:eastAsia="Aptos"/>
      <w:i/>
      <w:kern w:val="2"/>
      <w:sz w:val="24"/>
      <w:szCs w:val="24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30C"/>
    <w:pPr>
      <w:widowControl/>
      <w:ind w:left="720" w:right="720"/>
      <w:jc w:val="both"/>
    </w:pPr>
    <w:rPr>
      <w:rFonts w:eastAsia="Aptos"/>
      <w:b/>
      <w:i/>
      <w:kern w:val="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30C"/>
    <w:rPr>
      <w:rFonts w:eastAsia="Aptos"/>
      <w:b/>
      <w:i/>
      <w:kern w:val="2"/>
      <w:sz w:val="24"/>
      <w:szCs w:val="22"/>
      <w:lang w:eastAsia="en-US"/>
      <w14:ligatures w14:val="standardContextual"/>
    </w:rPr>
  </w:style>
  <w:style w:type="character" w:customStyle="1" w:styleId="SubtleEmphasis1">
    <w:name w:val="Subtle Emphasis1"/>
    <w:uiPriority w:val="19"/>
    <w:qFormat/>
    <w:rsid w:val="0034330C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34330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4330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4330C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34330C"/>
    <w:rPr>
      <w:rFonts w:ascii="Aptos Display" w:eastAsia="Times New Roman" w:hAnsi="Aptos Display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34330C"/>
  </w:style>
  <w:style w:type="paragraph" w:customStyle="1" w:styleId="Institutionquiagit">
    <w:name w:val="Institution qui agit"/>
    <w:basedOn w:val="Normal"/>
    <w:next w:val="Normal"/>
    <w:rsid w:val="0034330C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34330C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34330C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4330C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34330C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34330C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34330C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34330C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34330C"/>
    <w:pPr>
      <w:keepLines/>
      <w:spacing w:line="240" w:lineRule="exact"/>
      <w:ind w:left="850" w:hanging="850"/>
    </w:pPr>
    <w:rPr>
      <w:sz w:val="24"/>
      <w:lang w:eastAsia="en-US"/>
    </w:rPr>
  </w:style>
  <w:style w:type="character" w:customStyle="1" w:styleId="Footer2">
    <w:name w:val="Footer2"/>
    <w:rsid w:val="0034330C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34330C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34330C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34330C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34330C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34330C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34330C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34330C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34330C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34330C"/>
    <w:pPr>
      <w:spacing w:before="120" w:after="120" w:line="360" w:lineRule="auto"/>
    </w:pPr>
    <w:rPr>
      <w:sz w:val="24"/>
      <w:lang w:eastAsia="en-US"/>
    </w:rPr>
  </w:style>
  <w:style w:type="character" w:customStyle="1" w:styleId="CMissingStyle">
    <w:name w:val="C_MissingStyle"/>
    <w:rsid w:val="0034330C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34330C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34330C"/>
    <w:rPr>
      <w:color w:val="0000FF"/>
      <w:u w:val="single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34330C"/>
    <w:rPr>
      <w:color w:val="605E5C"/>
      <w:shd w:val="clear" w:color="auto" w:fill="E1DFDD"/>
    </w:rPr>
  </w:style>
  <w:style w:type="paragraph" w:styleId="NormalWeb">
    <w:name w:val="Normal (Web)"/>
    <w:basedOn w:val="Normal"/>
    <w:rsid w:val="0034330C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34330C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34330C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34330C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Header1">
    <w:name w:val="Header1"/>
    <w:basedOn w:val="Normal"/>
    <w:next w:val="Header"/>
    <w:uiPriority w:val="99"/>
    <w:unhideWhenUsed/>
    <w:rsid w:val="0034330C"/>
    <w:pPr>
      <w:widowControl/>
      <w:tabs>
        <w:tab w:val="center" w:pos="4513"/>
        <w:tab w:val="right" w:pos="9026"/>
      </w:tabs>
    </w:pPr>
    <w:rPr>
      <w:rFonts w:ascii="Aptos" w:eastAsia="Calibri" w:hAnsi="Aptos"/>
      <w:kern w:val="2"/>
      <w:szCs w:val="22"/>
      <w:lang w:val="en-GB" w:eastAsia="en-US"/>
      <w14:ligatures w14:val="standardContextual"/>
    </w:rPr>
  </w:style>
  <w:style w:type="character" w:customStyle="1" w:styleId="FooterChar1">
    <w:name w:val="Footer Char1"/>
    <w:basedOn w:val="DefaultParagraphFont"/>
    <w:rsid w:val="0034330C"/>
    <w:rPr>
      <w:rFonts w:ascii="Times New Roman" w:hAnsi="Times New Roman"/>
      <w:sz w:val="24"/>
      <w:szCs w:val="24"/>
    </w:rPr>
  </w:style>
  <w:style w:type="character" w:customStyle="1" w:styleId="FollowedHyperlink1">
    <w:name w:val="FollowedHyperlink1"/>
    <w:basedOn w:val="DefaultParagraphFont"/>
    <w:rsid w:val="0034330C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4330C"/>
    <w:pPr>
      <w:widowControl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34330C"/>
    <w:rPr>
      <w:rFonts w:ascii="Tahoma" w:hAnsi="Tahoma" w:cs="Tahoma"/>
      <w:sz w:val="16"/>
      <w:szCs w:val="16"/>
      <w:lang w:val="cs-CZ" w:eastAsia="en-US"/>
    </w:rPr>
  </w:style>
  <w:style w:type="character" w:customStyle="1" w:styleId="Hyperlink2">
    <w:name w:val="Hyperlink2"/>
    <w:basedOn w:val="DefaultParagraphFont"/>
    <w:uiPriority w:val="99"/>
    <w:semiHidden/>
    <w:unhideWhenUsed/>
    <w:rsid w:val="0034330C"/>
    <w:rPr>
      <w:color w:val="0563C1"/>
      <w:u w:val="single"/>
    </w:rPr>
  </w:style>
  <w:style w:type="character" w:customStyle="1" w:styleId="HeaderChar1">
    <w:name w:val="Header Char1"/>
    <w:basedOn w:val="DefaultParagraphFont"/>
    <w:uiPriority w:val="99"/>
    <w:semiHidden/>
    <w:rsid w:val="0034330C"/>
    <w:rPr>
      <w:rFonts w:ascii="Times New Roman" w:hAnsi="Times New Roman"/>
      <w:sz w:val="24"/>
      <w:szCs w:val="24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34330C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4330C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34330C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30C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34330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cs-CZ"/>
    </w:rPr>
  </w:style>
  <w:style w:type="character" w:styleId="Emphasis">
    <w:name w:val="Emphasis"/>
    <w:basedOn w:val="DefaultParagraphFont"/>
    <w:qFormat/>
    <w:rsid w:val="0034330C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34330C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34330C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rsid w:val="00343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2026-08-31T13:39:00Z</dcterms:created>
  <dcterms:modified xsi:type="dcterms:W3CDTF">2026-08-31T13:39:00Z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