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0D4AD914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06199" w:rsidP="0010095E" w14:paraId="6E2AE2BE" w14:textId="77777777">
            <w:pPr>
              <w:pStyle w:val="EPName"/>
            </w:pPr>
            <w:r w:rsidRPr="00506199">
              <w:t>Európsky parlament</w:t>
            </w:r>
          </w:p>
          <w:p w:rsidR="00751A4A" w:rsidRPr="00506199" w:rsidP="005F1B17" w14:paraId="7E49752D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06199">
              <w:t>2024</w:t>
            </w:r>
            <w:r w:rsidRPr="00506199" w:rsidR="00817416">
              <w:t>-202</w:t>
            </w:r>
            <w:r w:rsidRPr="0050619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06199" w:rsidP="0010095E" w14:paraId="63213DC0" w14:textId="77777777">
            <w:pPr>
              <w:pStyle w:val="EPLogo"/>
            </w:pPr>
            <w:r w:rsidRPr="00506199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06199" w:rsidP="004C5D52" w14:paraId="0B767E14" w14:textId="77777777">
      <w:pPr>
        <w:pStyle w:val="LineTop"/>
      </w:pPr>
    </w:p>
    <w:p w:rsidR="00680577" w:rsidRPr="00506199" w:rsidP="00680577" w14:paraId="5BCF8660" w14:textId="77777777">
      <w:pPr>
        <w:pStyle w:val="EPBodyTA1"/>
      </w:pPr>
      <w:r w:rsidRPr="00506199">
        <w:t>PRIJATÉ TEXTY</w:t>
      </w:r>
    </w:p>
    <w:p w:rsidR="00D058B8" w:rsidRPr="00506199" w:rsidP="00D058B8" w14:paraId="43630B28" w14:textId="77777777">
      <w:pPr>
        <w:pStyle w:val="LineBottom"/>
      </w:pPr>
    </w:p>
    <w:p w:rsidR="004D2DF6" w:rsidRPr="00506199" w:rsidP="004D2DF6" w14:paraId="49AFE827" w14:textId="4615F2BC">
      <w:pPr>
        <w:pStyle w:val="ATHeading1"/>
      </w:pPr>
      <w:bookmarkStart w:id="0" w:name="TANumber"/>
      <w:r w:rsidRPr="00506199">
        <w:t>P10_TA(2026)0</w:t>
      </w:r>
      <w:r w:rsidRPr="00506199" w:rsidR="00506199">
        <w:t>198</w:t>
      </w:r>
      <w:bookmarkEnd w:id="0"/>
    </w:p>
    <w:p w:rsidR="004D2DF6" w:rsidRPr="00506199" w:rsidP="004D2DF6" w14:paraId="0B6370FA" w14:textId="71CE4C3B">
      <w:pPr>
        <w:pStyle w:val="ATHeading2"/>
      </w:pPr>
      <w:bookmarkStart w:id="1" w:name="title"/>
      <w:r w:rsidRPr="00506199">
        <w:t>Zjednodušenie vykonávania harmonizovaných pravidiel v oblasti umelej inteligencie (súhrnný balík</w:t>
      </w:r>
      <w:r w:rsidRPr="00506199" w:rsidR="003D1E68">
        <w:t xml:space="preserve"> </w:t>
      </w:r>
      <w:r w:rsidRPr="00506199">
        <w:t>opatrení v digitálnej oblasti týkajúci sa umelej inteligencie)</w:t>
      </w:r>
      <w:bookmarkEnd w:id="1"/>
    </w:p>
    <w:p w:rsidR="004D2DF6" w:rsidRPr="00506199" w:rsidP="004D2DF6" w14:paraId="00F1D5F4" w14:textId="77777777">
      <w:pPr>
        <w:rPr>
          <w:i/>
          <w:vanish/>
        </w:rPr>
      </w:pPr>
      <w:r>
        <w:rPr>
          <w:i/>
        </w:rPr>
        <w:fldChar w:fldCharType="begin"/>
      </w:r>
      <w:r w:rsidRPr="00506199">
        <w:rPr>
          <w:i/>
        </w:rPr>
        <w:instrText xml:space="preserve"> TC"(</w:instrText>
      </w:r>
      <w:bookmarkStart w:id="2" w:name="DocNumber"/>
      <w:r w:rsidRPr="00506199">
        <w:rPr>
          <w:i/>
        </w:rPr>
        <w:instrText>A10-0073/2026</w:instrText>
      </w:r>
      <w:bookmarkEnd w:id="2"/>
      <w:r w:rsidRPr="00506199">
        <w:rPr>
          <w:i/>
        </w:rPr>
        <w:instrText xml:space="preserve"> - Spravodajcovia: Arba Kokalari, Michael McNamara)"\l3 \n&gt; \* MERGEFORMAT </w:instrText>
      </w:r>
      <w:r>
        <w:rPr>
          <w:i/>
        </w:rPr>
        <w:fldChar w:fldCharType="end"/>
      </w:r>
    </w:p>
    <w:p w:rsidR="004D2DF6" w:rsidRPr="00506199" w:rsidP="004D2DF6" w14:paraId="58A9AEC8" w14:textId="77777777">
      <w:pPr>
        <w:rPr>
          <w:vanish/>
        </w:rPr>
      </w:pPr>
      <w:bookmarkStart w:id="3" w:name="Commission"/>
      <w:r w:rsidRPr="00506199">
        <w:rPr>
          <w:vanish/>
        </w:rPr>
        <w:t>Výbor pre vnútorný trh a ochranu spotrebiteľa, Výbor pre občianske slobody, spravodlivosť a vnútorné veci</w:t>
      </w:r>
      <w:bookmarkEnd w:id="3"/>
    </w:p>
    <w:p w:rsidR="004D2DF6" w:rsidRPr="00506199" w:rsidP="004D2DF6" w14:paraId="00A310E5" w14:textId="77777777">
      <w:pPr>
        <w:rPr>
          <w:vanish/>
        </w:rPr>
      </w:pPr>
      <w:bookmarkStart w:id="4" w:name="PE"/>
      <w:r w:rsidRPr="00506199">
        <w:rPr>
          <w:vanish/>
        </w:rPr>
        <w:t>PE782.530</w:t>
      </w:r>
      <w:bookmarkEnd w:id="4"/>
    </w:p>
    <w:p w:rsidR="004D2DF6" w:rsidRPr="00506199" w:rsidP="004D2DF6" w14:paraId="0ACBBECB" w14:textId="162D5133">
      <w:pPr>
        <w:pStyle w:val="ATHeading3"/>
      </w:pPr>
      <w:bookmarkStart w:id="5" w:name="Sujet"/>
      <w:r w:rsidRPr="00506199">
        <w:t>Legislatívne uznesenie Európskeho parlamentu z</w:t>
      </w:r>
      <w:r w:rsidRPr="00506199" w:rsidR="00BE5EB8">
        <w:t>o</w:t>
      </w:r>
      <w:r w:rsidRPr="00506199" w:rsidR="00541401">
        <w:t> 16. júna</w:t>
      </w:r>
      <w:r w:rsidRPr="00506199">
        <w:t xml:space="preserve"> 2026 o návrhu nariadenia Európskeho parlamentu a Rady, ktorým sa menia nariadenia (EÚ) 2024/1689 a (EÚ) 2018/1139, pokiaľ ide o zjednodušenie vykonávania harmonizovaných pravidiel v oblasti umelej inteligencie (súhrnný balík opatrení v digitálnej oblasti týkajúci sa umelej inteligencie)</w:t>
      </w:r>
      <w:bookmarkEnd w:id="5"/>
      <w:r w:rsidRPr="00506199">
        <w:t xml:space="preserve"> </w:t>
      </w:r>
      <w:bookmarkStart w:id="6" w:name="References"/>
      <w:r w:rsidRPr="00506199">
        <w:t>(COM(2025)0836 – C10-0304/2025 – 2025/0359(COD))</w:t>
      </w:r>
      <w:bookmarkEnd w:id="6"/>
    </w:p>
    <w:p w:rsidR="00FD3BC0" w:rsidRPr="00506199" w:rsidP="00FD3BC0" w14:paraId="79C8ABCE" w14:textId="77777777">
      <w:pPr>
        <w:pStyle w:val="NormalBold"/>
      </w:pPr>
      <w:r w:rsidRPr="00506199">
        <w:t>(Riadny legislatívny postup: prvé čítanie)</w:t>
      </w:r>
    </w:p>
    <w:p w:rsidR="00FD3BC0" w:rsidRPr="00506199" w:rsidP="00FD3BC0" w14:paraId="2273FB58" w14:textId="77777777">
      <w:pPr>
        <w:pStyle w:val="EPComma"/>
      </w:pPr>
      <w:r w:rsidRPr="00506199">
        <w:rPr>
          <w:i/>
        </w:rPr>
        <w:t>Európsky parlament</w:t>
      </w:r>
      <w:r w:rsidRPr="00506199">
        <w:t>,</w:t>
      </w:r>
    </w:p>
    <w:p w:rsidR="00FD3BC0" w:rsidRPr="00506199" w:rsidP="00FD3BC0" w14:paraId="567E1C09" w14:textId="77777777">
      <w:pPr>
        <w:pStyle w:val="NormalHanging12a"/>
      </w:pPr>
      <w:r w:rsidRPr="00506199">
        <w:t>–</w:t>
      </w:r>
      <w:r w:rsidRPr="00506199">
        <w:tab/>
        <w:t>so zreteľom na návrh Komisie pre Európsky parlament a Radu (COM(2025)0836),</w:t>
      </w:r>
    </w:p>
    <w:p w:rsidR="00FD3BC0" w:rsidRPr="00506199" w:rsidP="00FD3BC0" w14:paraId="3F066088" w14:textId="77777777">
      <w:pPr>
        <w:pStyle w:val="NormalHanging12a"/>
      </w:pPr>
      <w:r w:rsidRPr="00506199">
        <w:t>–</w:t>
      </w:r>
      <w:r w:rsidRPr="00506199">
        <w:tab/>
        <w:t>so zreteľom na článok 294 ods. 2 a článok 114 Zmluvy o fungovaní Európskej únie, v súlade s ktorými Komisia predložila návrh Európskemu parlamentu (C10</w:t>
      </w:r>
      <w:r w:rsidRPr="00506199">
        <w:noBreakHyphen/>
        <w:t>0304/2025),</w:t>
      </w:r>
    </w:p>
    <w:p w:rsidR="00FD3BC0" w:rsidRPr="00506199" w:rsidP="00FD3BC0" w14:paraId="72B22462" w14:textId="77777777">
      <w:pPr>
        <w:pStyle w:val="NormalHanging12a"/>
      </w:pPr>
      <w:r w:rsidRPr="00506199">
        <w:t>–</w:t>
      </w:r>
      <w:r w:rsidRPr="00506199">
        <w:tab/>
        <w:t>so zreteľom na článok 294 ods. 3 Zmluvy o fungovaní Európskej únie,</w:t>
      </w:r>
    </w:p>
    <w:p w:rsidR="007E3B9F" w:rsidRPr="00506199" w:rsidP="00506199" w14:paraId="1CC5EBCE" w14:textId="6BED0F91">
      <w:pPr>
        <w:widowControl/>
        <w:spacing w:before="120" w:after="120" w:line="360" w:lineRule="auto"/>
        <w:ind w:left="567" w:hanging="567"/>
        <w:rPr>
          <w:color w:val="000000"/>
          <w:lang w:eastAsia="en-US"/>
        </w:rPr>
      </w:pPr>
      <w:r w:rsidRPr="00506199">
        <w:rPr>
          <w:color w:val="000000"/>
          <w:lang w:eastAsia="en-US"/>
        </w:rPr>
        <w:t>–</w:t>
      </w:r>
      <w:r w:rsidRPr="00506199">
        <w:rPr>
          <w:color w:val="000000"/>
          <w:lang w:eastAsia="en-US"/>
        </w:rPr>
        <w:tab/>
        <w:t>so zreteľom na stanovisko Európskej centrálnej banky</w:t>
      </w:r>
      <w:r w:rsidRPr="00506199" w:rsidR="00E426F9">
        <w:rPr>
          <w:color w:val="000000"/>
          <w:lang w:eastAsia="en-US"/>
        </w:rPr>
        <w:t xml:space="preserve"> z 15. apríla 2026</w:t>
      </w:r>
      <w:r>
        <w:rPr>
          <w:vertAlign w:val="superscript"/>
          <w:lang w:eastAsia="en-US"/>
        </w:rPr>
        <w:footnoteReference w:id="2"/>
      </w:r>
      <w:r w:rsidRPr="00506199">
        <w:rPr>
          <w:color w:val="000000"/>
          <w:lang w:eastAsia="en-US"/>
        </w:rPr>
        <w:t>,</w:t>
      </w:r>
    </w:p>
    <w:p w:rsidR="007E3B9F" w:rsidRPr="00506199" w:rsidP="00506199" w14:paraId="6FF3F68E" w14:textId="2156A572">
      <w:pPr>
        <w:widowControl/>
        <w:spacing w:before="120" w:after="120" w:line="360" w:lineRule="auto"/>
        <w:ind w:left="567" w:hanging="567"/>
        <w:rPr>
          <w:color w:val="000000"/>
          <w:lang w:eastAsia="en-US"/>
        </w:rPr>
      </w:pPr>
      <w:r w:rsidRPr="00506199">
        <w:rPr>
          <w:color w:val="000000"/>
          <w:lang w:eastAsia="en-US"/>
        </w:rPr>
        <w:t>–</w:t>
      </w:r>
      <w:r w:rsidRPr="00506199">
        <w:rPr>
          <w:color w:val="000000"/>
          <w:lang w:eastAsia="en-US"/>
        </w:rPr>
        <w:tab/>
        <w:t>so zreteľom na stanovisko Európskeho hospodárskeho a sociálneho výboru</w:t>
      </w:r>
      <w:r w:rsidRPr="00506199" w:rsidR="00E426F9">
        <w:rPr>
          <w:color w:val="000000"/>
          <w:lang w:eastAsia="en-US"/>
        </w:rPr>
        <w:t xml:space="preserve"> z 18. marca 2026</w:t>
      </w:r>
      <w:r>
        <w:rPr>
          <w:color w:val="000000"/>
          <w:vertAlign w:val="superscript"/>
          <w:lang w:eastAsia="en-US"/>
        </w:rPr>
        <w:footnoteReference w:id="3"/>
      </w:r>
      <w:r w:rsidRPr="00506199">
        <w:rPr>
          <w:color w:val="000000"/>
          <w:lang w:eastAsia="en-US"/>
        </w:rPr>
        <w:t>,</w:t>
      </w:r>
    </w:p>
    <w:p w:rsidR="007E3B9F" w:rsidRPr="00506199" w14:paraId="11945CD5" w14:textId="5EB59122">
      <w:pPr>
        <w:widowControl/>
        <w:spacing w:before="120" w:after="120" w:line="360" w:lineRule="auto"/>
        <w:ind w:left="567" w:hanging="567"/>
        <w:rPr>
          <w:color w:val="000000"/>
          <w:lang w:eastAsia="en-US"/>
        </w:rPr>
      </w:pPr>
      <w:r w:rsidRPr="00506199">
        <w:rPr>
          <w:color w:val="000000"/>
          <w:lang w:eastAsia="en-US"/>
        </w:rPr>
        <w:t>–</w:t>
      </w:r>
      <w:r w:rsidRPr="00506199">
        <w:rPr>
          <w:color w:val="000000"/>
          <w:lang w:eastAsia="en-US"/>
        </w:rPr>
        <w:tab/>
        <w:t>so zreteľom na stanovisko Výboru regiónov</w:t>
      </w:r>
      <w:r w:rsidRPr="00506199" w:rsidR="00E426F9">
        <w:rPr>
          <w:color w:val="000000"/>
          <w:lang w:eastAsia="en-US"/>
        </w:rPr>
        <w:t xml:space="preserve"> zo 7. mája 2026</w:t>
      </w:r>
      <w:r>
        <w:rPr>
          <w:color w:val="000000"/>
          <w:vertAlign w:val="superscript"/>
          <w:lang w:eastAsia="en-US"/>
        </w:rPr>
        <w:footnoteReference w:id="4"/>
      </w:r>
      <w:r w:rsidRPr="00506199">
        <w:rPr>
          <w:color w:val="000000"/>
          <w:lang w:eastAsia="en-US"/>
        </w:rPr>
        <w:t>,</w:t>
      </w:r>
    </w:p>
    <w:p w:rsidR="00E426F9" w:rsidRPr="00506199" w:rsidP="00E426F9" w14:paraId="20CDCCD3" w14:textId="16B48A9A">
      <w:pPr>
        <w:pStyle w:val="NormalHanging12a"/>
        <w:rPr>
          <w:color w:val="000000"/>
          <w:lang w:eastAsia="en-US"/>
        </w:rPr>
      </w:pPr>
      <w:r w:rsidRPr="00506199">
        <w:rPr>
          <w:color w:val="000000"/>
          <w:lang w:eastAsia="en-US"/>
        </w:rPr>
        <w:t>–</w:t>
      </w:r>
      <w:r w:rsidRPr="00506199">
        <w:rPr>
          <w:color w:val="000000"/>
          <w:lang w:eastAsia="en-US"/>
        </w:rPr>
        <w:tab/>
      </w:r>
      <w:r w:rsidRPr="00506199">
        <w:rPr>
          <w:rFonts w:eastAsia="Calibri"/>
          <w:color w:val="000000"/>
          <w:szCs w:val="22"/>
          <w:lang w:eastAsia="en-US"/>
        </w:rPr>
        <w:t xml:space="preserve">so zreteľom na predbežnú dohodu schválenú gestorským výborom podľa článku 75 ods. 4 rokovacieho poriadku, a na záväzok zástupcu Rady, vyjadrený v liste z 13. mája 2026, schváliť pozíciu Európskeho parlamentu v súlade s článkom 294 ods. 4 Zmluvy o </w:t>
      </w:r>
      <w:r w:rsidRPr="00506199">
        <w:rPr>
          <w:rFonts w:eastAsia="Calibri"/>
          <w:color w:val="000000"/>
          <w:szCs w:val="22"/>
          <w:lang w:eastAsia="en-US"/>
        </w:rPr>
        <w:t>fungovaní Európskej únie,</w:t>
      </w:r>
    </w:p>
    <w:p w:rsidR="00FD3BC0" w:rsidRPr="00506199" w:rsidP="00FD3BC0" w14:paraId="372AC1C8" w14:textId="77777777">
      <w:pPr>
        <w:pStyle w:val="NormalHanging12a"/>
      </w:pPr>
      <w:r w:rsidRPr="00506199">
        <w:t>–</w:t>
      </w:r>
      <w:r w:rsidRPr="00506199">
        <w:tab/>
        <w:t>so zreteľom na článok 60 rokovacieho poriadku,</w:t>
      </w:r>
    </w:p>
    <w:p w:rsidR="00FD3BC0" w:rsidRPr="00506199" w:rsidP="00FD3BC0" w14:paraId="7E58EAFF" w14:textId="697A6450">
      <w:pPr>
        <w:pStyle w:val="NormalHanging12a"/>
      </w:pPr>
      <w:r w:rsidRPr="00506199">
        <w:t>–</w:t>
      </w:r>
      <w:r w:rsidRPr="00506199">
        <w:tab/>
        <w:t>so zreteľom na spoločné rokovania Výboru pre vnútorný trh a ochranu spotrebiteľa a Výboru pre občianske slobody, spravodlivosť a vnútorné veci podľa článku 5</w:t>
      </w:r>
      <w:r w:rsidRPr="00506199" w:rsidR="00DC5A30">
        <w:t>9</w:t>
      </w:r>
      <w:r w:rsidRPr="00506199">
        <w:t xml:space="preserve"> rokovacieho poriadku,</w:t>
      </w:r>
    </w:p>
    <w:p w:rsidR="00E426F9" w:rsidRPr="00506199" w:rsidP="00FD3BC0" w14:paraId="4CD435C8" w14:textId="7C23CA99">
      <w:pPr>
        <w:pStyle w:val="NormalHanging12a"/>
      </w:pPr>
      <w:r w:rsidRPr="00506199">
        <w:t>–</w:t>
      </w:r>
      <w:r w:rsidRPr="00506199">
        <w:tab/>
        <w:t>so zreteľom na stanoviská Výboru pre dopravu a cestovný ruch, Výboru pre kultúru a vzdelávanie a Výboru pre právne veci,</w:t>
      </w:r>
    </w:p>
    <w:p w:rsidR="00FD3BC0" w:rsidRPr="00506199" w:rsidP="00FD3BC0" w14:paraId="343C3492" w14:textId="77777777">
      <w:pPr>
        <w:pStyle w:val="NormalHanging12a"/>
      </w:pPr>
      <w:r w:rsidRPr="00506199">
        <w:t>–</w:t>
      </w:r>
      <w:r w:rsidRPr="00506199">
        <w:tab/>
        <w:t>so zreteľom na správu Výboru pre vnútorný trh a ochranu spotrebiteľa a Výboru pre občianske slobody, spravodlivosť a vnútorné veci (A10-0073/2026),</w:t>
      </w:r>
    </w:p>
    <w:p w:rsidR="00FD3BC0" w:rsidRPr="00506199" w:rsidP="00FD3BC0" w14:paraId="04B9894D" w14:textId="757D0855">
      <w:pPr>
        <w:pStyle w:val="NormalHanging12a"/>
      </w:pPr>
      <w:r w:rsidRPr="00506199">
        <w:t>1.</w:t>
      </w:r>
      <w:r w:rsidRPr="00506199">
        <w:tab/>
        <w:t>prijíma nasledujúcu pozíciu v prvom čítaní</w:t>
      </w:r>
      <w:r>
        <w:rPr>
          <w:rStyle w:val="FootnoteReference"/>
        </w:rPr>
        <w:footnoteReference w:id="5"/>
      </w:r>
      <w:r w:rsidRPr="00506199">
        <w:t>;</w:t>
      </w:r>
    </w:p>
    <w:p w:rsidR="00FD3BC0" w:rsidRPr="00506199" w:rsidP="00FD3BC0" w14:paraId="5CD514A8" w14:textId="77777777">
      <w:pPr>
        <w:pStyle w:val="NormalHanging12a"/>
      </w:pPr>
      <w:r w:rsidRPr="00506199">
        <w:t>2.</w:t>
      </w:r>
      <w:r w:rsidRPr="00506199">
        <w:tab/>
        <w:t>žiada Komisiu, aby mu vec znovu predložila, ak nahrádza, podstatne mení alebo má v úmysle podstatne zmeniť svoj návrh;</w:t>
      </w:r>
    </w:p>
    <w:p w:rsidR="00FD3BC0" w:rsidRPr="00506199" w:rsidP="00FD3BC0" w14:paraId="75864805" w14:textId="77777777">
      <w:pPr>
        <w:pStyle w:val="NormalHanging12a"/>
      </w:pPr>
      <w:r w:rsidRPr="00506199">
        <w:t>3.</w:t>
      </w:r>
      <w:r w:rsidRPr="00506199">
        <w:tab/>
        <w:t>poveruje svoju predsedníčku, aby postúpila túto pozíciu Rade, Komisii a národným parlamentom.</w:t>
      </w:r>
    </w:p>
    <w:p w:rsidR="007E3B9F" w:rsidRPr="00506199" w14:paraId="6594A7B9" w14:textId="77777777">
      <w:pPr>
        <w:widowControl/>
        <w:sectPr w:rsidSect="005F5F2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E3B9F" w:rsidRPr="00506199" w:rsidP="00FD3BC0" w14:paraId="14A6C1DA" w14:textId="38F3E00B">
      <w:pPr>
        <w:pStyle w:val="NormalHanging12a"/>
      </w:pPr>
      <w:r w:rsidRPr="00506199">
        <w:rPr>
          <w:b/>
        </w:rPr>
        <w:t>P10_TC1-COD(2025)0359</w:t>
      </w:r>
    </w:p>
    <w:p w:rsidR="007E3B9F" w:rsidP="007E3B9F" w14:paraId="4DBE5646" w14:textId="70C2650E">
      <w:pPr>
        <w:pStyle w:val="NormalHanging12a"/>
        <w:ind w:left="0" w:firstLine="0"/>
        <w:rPr>
          <w:b/>
          <w:color w:val="000000"/>
          <w:szCs w:val="24"/>
          <w:lang w:eastAsia="en-US"/>
        </w:rPr>
      </w:pPr>
      <w:r w:rsidRPr="00506199">
        <w:rPr>
          <w:b/>
        </w:rPr>
        <w:t xml:space="preserve">Pozícia Európskeho parlamentu prijatá v prvom čítaní 16. júna 2026 na účely prijatia nariadenia Európskeho parlamentu a Rady (EÚ) 2026/..., ktorým </w:t>
      </w:r>
      <w:r w:rsidRPr="00506199">
        <w:rPr>
          <w:b/>
          <w:color w:val="000000"/>
          <w:szCs w:val="24"/>
          <w:lang w:eastAsia="en-US"/>
        </w:rPr>
        <w:t>sa menia nariadenia (EÚ) 2024/1689, (EÚ) 2018/1139 a (EÚ) 2023/1230, pokiaľ ide o zjednodušenie vykonávania harmonizovaných pravidiel v oblasti umelej inteligencie (súhrnný balík opatrení v digitálnej oblasti týkajúci sa umelej inteligencie)</w:t>
      </w:r>
    </w:p>
    <w:p w:rsidR="00E40D6F" w:rsidP="007E3B9F" w14:paraId="6D758FC6" w14:textId="77777777">
      <w:pPr>
        <w:pStyle w:val="NormalHanging12a"/>
        <w:ind w:left="0" w:firstLine="0"/>
        <w:rPr>
          <w:b/>
          <w:color w:val="000000"/>
          <w:szCs w:val="24"/>
          <w:lang w:eastAsia="en-US"/>
        </w:rPr>
      </w:pPr>
    </w:p>
    <w:p w:rsidR="00E40D6F" w:rsidRPr="00731EF8" w:rsidP="00E40D6F" w14:paraId="11698211" w14:textId="608E6ED7">
      <w:r w:rsidRPr="00731EF8">
        <w:rPr>
          <w:i/>
          <w:iCs/>
        </w:rPr>
        <w:t xml:space="preserve">(Keďže bola </w:t>
      </w:r>
      <w:r w:rsidRPr="00E40D6F">
        <w:rPr>
          <w:i/>
          <w:iCs/>
        </w:rPr>
        <w:t>dosiahnutá dohoda medzi Európskym parlamentom a Radou, pozícia Európskeho parlamentu zodpovedá záverečnému legislatívnemu aktu, nariadeniu (EÚ) 2026/</w:t>
      </w:r>
      <w:r>
        <w:rPr>
          <w:i/>
          <w:iCs/>
        </w:rPr>
        <w:t>1744</w:t>
      </w:r>
      <w:r w:rsidRPr="00E40D6F">
        <w:rPr>
          <w:i/>
          <w:iCs/>
        </w:rPr>
        <w:t>.)</w:t>
      </w:r>
    </w:p>
    <w:p w:rsidR="00E40D6F" w:rsidP="007E3B9F" w14:paraId="3CAA0523" w14:textId="77777777">
      <w:pPr>
        <w:pStyle w:val="NormalHanging12a"/>
        <w:ind w:left="0" w:firstLine="0"/>
        <w:rPr>
          <w:b/>
          <w:color w:val="000000"/>
          <w:szCs w:val="24"/>
          <w:lang w:eastAsia="en-US"/>
        </w:rPr>
      </w:pPr>
    </w:p>
    <w:sectPr w:rsidSect="005F5F2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2DF6" w:rsidRPr="005F5F29" w14:paraId="6350B856" w14:textId="77777777">
      <w:r w:rsidRPr="005F5F29">
        <w:separator/>
      </w:r>
    </w:p>
  </w:footnote>
  <w:footnote w:type="continuationSeparator" w:id="1">
    <w:p w:rsidR="004D2DF6" w:rsidRPr="005F5F29" w14:paraId="1F821A5F" w14:textId="77777777">
      <w:r w:rsidRPr="005F5F29">
        <w:continuationSeparator/>
      </w:r>
    </w:p>
  </w:footnote>
  <w:footnote w:id="2">
    <w:p w:rsidR="007E3B9F" w:rsidRPr="007E3B9F" w:rsidP="007E3B9F" w14:paraId="17760909" w14:textId="28EB2F9E">
      <w:pPr>
        <w:pStyle w:val="FootnoteTextForceStyle"/>
        <w:spacing w:line="240" w:lineRule="auto"/>
        <w:ind w:left="851" w:hanging="851"/>
        <w:rPr>
          <w:color w:val="000000"/>
          <w:szCs w:val="24"/>
        </w:rPr>
      </w:pPr>
      <w:r w:rsidRPr="007E3B9F">
        <w:rPr>
          <w:color w:val="000000"/>
          <w:szCs w:val="24"/>
          <w:vertAlign w:val="superscript"/>
        </w:rPr>
        <w:footnoteRef/>
      </w:r>
      <w:r w:rsidRPr="007E3B9F">
        <w:rPr>
          <w:color w:val="000000"/>
          <w:szCs w:val="24"/>
          <w:vertAlign w:val="superscript"/>
        </w:rPr>
        <w:t xml:space="preserve"> </w:t>
      </w:r>
      <w:r w:rsidRPr="007E3B9F">
        <w:rPr>
          <w:color w:val="000000"/>
          <w:szCs w:val="24"/>
        </w:rPr>
        <w:tab/>
        <w:t xml:space="preserve">Ú. v. EÚ C, C/2026/2285, 15.4.2026, ELI: </w:t>
      </w:r>
      <w:hyperlink r:id="rId1" w:history="1">
        <w:r w:rsidRPr="007E3B9F">
          <w:rPr>
            <w:rStyle w:val="Hyperlink1"/>
            <w:szCs w:val="24"/>
          </w:rPr>
          <w:t>http://data.europa.eu/eli/C/2026/2285/oj</w:t>
        </w:r>
      </w:hyperlink>
      <w:r w:rsidRPr="007E3B9F">
        <w:rPr>
          <w:color w:val="000000"/>
          <w:szCs w:val="24"/>
        </w:rPr>
        <w:t>.</w:t>
      </w:r>
    </w:p>
  </w:footnote>
  <w:footnote w:id="3">
    <w:p w:rsidR="007E3B9F" w:rsidRPr="007E3B9F" w:rsidP="007E3B9F" w14:paraId="2645606F" w14:textId="77777777">
      <w:pPr>
        <w:pStyle w:val="FootnoteTextForceStyle"/>
        <w:spacing w:line="240" w:lineRule="auto"/>
        <w:ind w:left="851" w:hanging="851"/>
        <w:rPr>
          <w:color w:val="000000"/>
          <w:szCs w:val="24"/>
        </w:rPr>
      </w:pPr>
      <w:r w:rsidRPr="007E3B9F">
        <w:rPr>
          <w:color w:val="000000"/>
          <w:szCs w:val="24"/>
          <w:vertAlign w:val="superscript"/>
        </w:rPr>
        <w:footnoteRef/>
      </w:r>
      <w:r w:rsidRPr="007E3B9F">
        <w:rPr>
          <w:color w:val="000000"/>
          <w:szCs w:val="24"/>
        </w:rPr>
        <w:tab/>
        <w:t>Stanovisko z 18. marca 2026 (zatiaľ neuverejnené v úradnom vestníku).</w:t>
      </w:r>
    </w:p>
  </w:footnote>
  <w:footnote w:id="4">
    <w:p w:rsidR="007E3B9F" w:rsidRPr="007E3B9F" w:rsidP="007E3B9F" w14:paraId="4E9144B6" w14:textId="77777777">
      <w:pPr>
        <w:pStyle w:val="FootnoteTextForceStyle"/>
        <w:spacing w:line="240" w:lineRule="auto"/>
        <w:ind w:left="851" w:hanging="851"/>
        <w:rPr>
          <w:color w:val="000000"/>
          <w:szCs w:val="24"/>
        </w:rPr>
      </w:pPr>
      <w:r w:rsidRPr="007E3B9F">
        <w:rPr>
          <w:color w:val="000000"/>
          <w:szCs w:val="24"/>
          <w:vertAlign w:val="superscript"/>
        </w:rPr>
        <w:footnoteRef/>
      </w:r>
      <w:r w:rsidRPr="007E3B9F">
        <w:rPr>
          <w:color w:val="000000"/>
          <w:szCs w:val="24"/>
        </w:rPr>
        <w:tab/>
        <w:t>Stanovisko zo 7. mája 2026 (zatiaľ neuverejnené v úradnom vestníku).</w:t>
      </w:r>
    </w:p>
  </w:footnote>
  <w:footnote w:id="5">
    <w:p w:rsidR="00E426F9" w:rsidRPr="009C568D" w:rsidP="00E426F9" w14:paraId="58B5A7C7" w14:textId="39220DB4">
      <w:pPr>
        <w:pStyle w:val="FootnoteText"/>
        <w:ind w:left="709" w:hanging="709"/>
        <w:rPr>
          <w:sz w:val="24"/>
          <w:szCs w:val="24"/>
          <w:lang w:val="sk-SK"/>
        </w:rPr>
      </w:pPr>
      <w:r w:rsidRPr="009C568D">
        <w:rPr>
          <w:rStyle w:val="FootnoteReference"/>
          <w:sz w:val="24"/>
          <w:szCs w:val="24"/>
        </w:rPr>
        <w:footnoteRef/>
      </w:r>
      <w:r w:rsidRPr="009C568D">
        <w:rPr>
          <w:sz w:val="24"/>
          <w:szCs w:val="24"/>
          <w:lang w:val="sk-SK"/>
        </w:rPr>
        <w:t xml:space="preserve"> </w:t>
      </w:r>
      <w:r w:rsidRPr="009C568D">
        <w:rPr>
          <w:sz w:val="24"/>
          <w:szCs w:val="24"/>
          <w:lang w:val="sk-SK"/>
        </w:rPr>
        <w:tab/>
        <w:t>Táto pozícia nahrádza pozmeňujúce ná</w:t>
      </w:r>
      <w:r>
        <w:rPr>
          <w:sz w:val="24"/>
          <w:szCs w:val="24"/>
          <w:lang w:val="sk-SK"/>
        </w:rPr>
        <w:t>vrhy prijaté 26. marca</w:t>
      </w:r>
      <w:r w:rsidRPr="009C568D">
        <w:rPr>
          <w:sz w:val="24"/>
          <w:szCs w:val="24"/>
          <w:lang w:val="sk-SK"/>
        </w:rPr>
        <w:t xml:space="preserve"> 202</w:t>
      </w:r>
      <w:r>
        <w:rPr>
          <w:sz w:val="24"/>
          <w:szCs w:val="24"/>
          <w:lang w:val="sk-SK"/>
        </w:rPr>
        <w:t>6</w:t>
      </w:r>
      <w:r w:rsidRPr="009C568D">
        <w:rPr>
          <w:sz w:val="24"/>
          <w:szCs w:val="24"/>
          <w:lang w:val="sk-SK"/>
        </w:rPr>
        <w:t xml:space="preserve"> (</w:t>
      </w:r>
      <w:r>
        <w:rPr>
          <w:sz w:val="24"/>
          <w:szCs w:val="24"/>
          <w:lang w:val="sk-SK"/>
        </w:rPr>
        <w:t>Prijaté texty</w:t>
      </w:r>
      <w:r w:rsidRPr="009C568D">
        <w:rPr>
          <w:sz w:val="24"/>
          <w:szCs w:val="24"/>
          <w:lang w:val="sk-SK"/>
        </w:rPr>
        <w:t>, P10_TA(202</w:t>
      </w:r>
      <w:r>
        <w:rPr>
          <w:sz w:val="24"/>
          <w:szCs w:val="24"/>
          <w:lang w:val="sk-SK"/>
        </w:rPr>
        <w:t>6</w:t>
      </w:r>
      <w:r w:rsidRPr="009C568D">
        <w:rPr>
          <w:sz w:val="24"/>
          <w:szCs w:val="24"/>
          <w:lang w:val="sk-SK"/>
        </w:rPr>
        <w:t>)0</w:t>
      </w:r>
      <w:r>
        <w:rPr>
          <w:sz w:val="24"/>
          <w:szCs w:val="24"/>
          <w:lang w:val="sk-SK"/>
        </w:rPr>
        <w:t>098</w:t>
      </w:r>
      <w:r w:rsidRPr="009C568D">
        <w:rPr>
          <w:sz w:val="24"/>
          <w:szCs w:val="24"/>
          <w:lang w:val="sk-SK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661389700">
    <w:abstractNumId w:val="0"/>
  </w:num>
  <w:num w:numId="2" w16cid:durableId="113575363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F6"/>
    <w:rsid w:val="00002272"/>
    <w:rsid w:val="00064002"/>
    <w:rsid w:val="000677B9"/>
    <w:rsid w:val="000831BA"/>
    <w:rsid w:val="000A42CC"/>
    <w:rsid w:val="000E7DD9"/>
    <w:rsid w:val="0010095E"/>
    <w:rsid w:val="00102FCF"/>
    <w:rsid w:val="00125B37"/>
    <w:rsid w:val="00187494"/>
    <w:rsid w:val="001F32AE"/>
    <w:rsid w:val="002767FF"/>
    <w:rsid w:val="002B18FE"/>
    <w:rsid w:val="002B5493"/>
    <w:rsid w:val="00343214"/>
    <w:rsid w:val="00361C00"/>
    <w:rsid w:val="00393130"/>
    <w:rsid w:val="00395FA1"/>
    <w:rsid w:val="003D1E68"/>
    <w:rsid w:val="003E15D4"/>
    <w:rsid w:val="003F7405"/>
    <w:rsid w:val="00407131"/>
    <w:rsid w:val="00411CCE"/>
    <w:rsid w:val="0041666E"/>
    <w:rsid w:val="00421060"/>
    <w:rsid w:val="004339B1"/>
    <w:rsid w:val="00471C19"/>
    <w:rsid w:val="004867E3"/>
    <w:rsid w:val="00494A28"/>
    <w:rsid w:val="004C0004"/>
    <w:rsid w:val="004C5D52"/>
    <w:rsid w:val="004D2DF6"/>
    <w:rsid w:val="0050519A"/>
    <w:rsid w:val="00506199"/>
    <w:rsid w:val="005072A1"/>
    <w:rsid w:val="00514517"/>
    <w:rsid w:val="00541401"/>
    <w:rsid w:val="00545827"/>
    <w:rsid w:val="00560270"/>
    <w:rsid w:val="005C2568"/>
    <w:rsid w:val="005F1B17"/>
    <w:rsid w:val="005F5F29"/>
    <w:rsid w:val="006037C0"/>
    <w:rsid w:val="006631B6"/>
    <w:rsid w:val="00680577"/>
    <w:rsid w:val="006F1CE4"/>
    <w:rsid w:val="006F74FA"/>
    <w:rsid w:val="00731ADD"/>
    <w:rsid w:val="00731EF8"/>
    <w:rsid w:val="00734777"/>
    <w:rsid w:val="00747932"/>
    <w:rsid w:val="00751A4A"/>
    <w:rsid w:val="00756632"/>
    <w:rsid w:val="00762C74"/>
    <w:rsid w:val="00786EC0"/>
    <w:rsid w:val="007D1690"/>
    <w:rsid w:val="007E22AD"/>
    <w:rsid w:val="007E3B9F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7D6E"/>
    <w:rsid w:val="009C568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5EB8"/>
    <w:rsid w:val="00BE6ADC"/>
    <w:rsid w:val="00C05BFE"/>
    <w:rsid w:val="00C23CD4"/>
    <w:rsid w:val="00C61C0C"/>
    <w:rsid w:val="00C87E0D"/>
    <w:rsid w:val="00C941CB"/>
    <w:rsid w:val="00CC2357"/>
    <w:rsid w:val="00CF071A"/>
    <w:rsid w:val="00D057E0"/>
    <w:rsid w:val="00D058B8"/>
    <w:rsid w:val="00D20FF3"/>
    <w:rsid w:val="00D56C11"/>
    <w:rsid w:val="00D626F2"/>
    <w:rsid w:val="00D834A0"/>
    <w:rsid w:val="00D872DF"/>
    <w:rsid w:val="00D91E21"/>
    <w:rsid w:val="00DA7FCD"/>
    <w:rsid w:val="00DC5A30"/>
    <w:rsid w:val="00E365E1"/>
    <w:rsid w:val="00E40D6F"/>
    <w:rsid w:val="00E426F9"/>
    <w:rsid w:val="00E820A4"/>
    <w:rsid w:val="00EB006A"/>
    <w:rsid w:val="00EB4772"/>
    <w:rsid w:val="00ED169E"/>
    <w:rsid w:val="00ED4235"/>
    <w:rsid w:val="00F04346"/>
    <w:rsid w:val="00F075DC"/>
    <w:rsid w:val="00F149E9"/>
    <w:rsid w:val="00F45DD7"/>
    <w:rsid w:val="00F506E0"/>
    <w:rsid w:val="00F5134D"/>
    <w:rsid w:val="00F74202"/>
    <w:rsid w:val="00F87713"/>
    <w:rsid w:val="00FB4360"/>
    <w:rsid w:val="00FD0C70"/>
    <w:rsid w:val="00FD3BC0"/>
  </w:rsids>
  <w:docVars>
    <w:docVar w:name="dvdocse" w:val="A10-0073/2026"/>
    <w:docVar w:name="dvlangue" w:val="SK"/>
    <w:docVar w:name="dvnumam" w:val="171"/>
    <w:docVar w:name="dvpe" w:val="782.530"/>
    <w:docVar w:name="dvrapporteur" w:val="Spravodajcovia: "/>
    <w:docVar w:name="dvstar" w:val="***I"/>
    <w:docVar w:name="dvtitre" w:val="Legislatívne uznesenie Európskeho parlamentu z/zo xx. xxx 2026 o návrhu nariadenia Európskeho parlamentu a Rady, ktorým sa menia nariadenia (EÚ) 2024/1689 a (EÚ) 2018/1139, pokiaľ ide o zjednodušenie vykonávania harmonizovaných pravidiel v oblasti umelej inteligencie (súhrnný balík opatrení v digitálnej oblasti týkajúci sa umelej inteligencie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EA0A9B4"/>
  <w15:chartTrackingRefBased/>
  <w15:docId w15:val="{29A02926-771F-4923-9C95-95BD8DBF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D3BC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BC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BC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BC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BC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BC0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BC0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BC0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BC0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FD3BC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D3BC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D3BC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D3BC0"/>
    <w:pPr>
      <w:spacing w:after="120"/>
    </w:pPr>
  </w:style>
  <w:style w:type="paragraph" w:customStyle="1" w:styleId="PageHeading">
    <w:name w:val="PageHeading"/>
    <w:basedOn w:val="Normal"/>
    <w:rsid w:val="00FD3BC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D3BC0"/>
    <w:rPr>
      <w:b/>
    </w:rPr>
  </w:style>
  <w:style w:type="paragraph" w:customStyle="1" w:styleId="NormalBold12a">
    <w:name w:val="NormalBold12a"/>
    <w:basedOn w:val="Normal"/>
    <w:rsid w:val="00FD3BC0"/>
    <w:pPr>
      <w:spacing w:after="240"/>
    </w:pPr>
    <w:rPr>
      <w:b/>
    </w:rPr>
  </w:style>
  <w:style w:type="paragraph" w:customStyle="1" w:styleId="AmJustText">
    <w:name w:val="AmJustText"/>
    <w:basedOn w:val="Normal"/>
    <w:rsid w:val="00FD3BC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D3BC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D3BC0"/>
    <w:pPr>
      <w:spacing w:after="480"/>
      <w:ind w:left="1417"/>
    </w:pPr>
  </w:style>
  <w:style w:type="paragraph" w:customStyle="1" w:styleId="CoverNormal">
    <w:name w:val="CoverNormal"/>
    <w:basedOn w:val="Normal"/>
    <w:rsid w:val="00FD3BC0"/>
    <w:pPr>
      <w:ind w:left="1418"/>
    </w:pPr>
  </w:style>
  <w:style w:type="paragraph" w:customStyle="1" w:styleId="AmCrossRef">
    <w:name w:val="AmCrossRef"/>
    <w:basedOn w:val="Normal"/>
    <w:rsid w:val="00FD3BC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D3BC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D3BC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D3BC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D3BC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D3BC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D3B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BC0"/>
    <w:rPr>
      <w:sz w:val="24"/>
      <w:lang w:val="sk-SK"/>
    </w:rPr>
  </w:style>
  <w:style w:type="paragraph" w:customStyle="1" w:styleId="AmOrLang">
    <w:name w:val="AmOrLang"/>
    <w:basedOn w:val="Normal"/>
    <w:rsid w:val="00FD3BC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D3BC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D3BC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D3BC0"/>
    <w:pPr>
      <w:spacing w:before="240"/>
    </w:pPr>
    <w:rPr>
      <w:b/>
    </w:rPr>
  </w:style>
  <w:style w:type="paragraph" w:customStyle="1" w:styleId="EPBody">
    <w:name w:val="EPBody"/>
    <w:basedOn w:val="Normal"/>
    <w:rsid w:val="00FD3BC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D3BC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D3BC0"/>
    <w:pPr>
      <w:spacing w:before="480" w:after="240"/>
    </w:pPr>
  </w:style>
  <w:style w:type="paragraph" w:customStyle="1" w:styleId="Lgendesigne">
    <w:name w:val="Légende signe"/>
    <w:basedOn w:val="Normal"/>
    <w:rsid w:val="00FD3BC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D3BC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D3BC0"/>
    <w:rPr>
      <w:sz w:val="18"/>
    </w:rPr>
  </w:style>
  <w:style w:type="paragraph" w:styleId="Footer">
    <w:name w:val="footer"/>
    <w:basedOn w:val="Normal"/>
    <w:link w:val="FooterChar"/>
    <w:uiPriority w:val="99"/>
    <w:rsid w:val="00FD3B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BC0"/>
    <w:rPr>
      <w:sz w:val="24"/>
      <w:lang w:val="sk-SK"/>
    </w:rPr>
  </w:style>
  <w:style w:type="paragraph" w:customStyle="1" w:styleId="Normal24a">
    <w:name w:val="Normal24a"/>
    <w:basedOn w:val="Normal"/>
    <w:rsid w:val="00FD3BC0"/>
    <w:pPr>
      <w:spacing w:after="480"/>
    </w:pPr>
  </w:style>
  <w:style w:type="paragraph" w:customStyle="1" w:styleId="NormalBoldCenter">
    <w:name w:val="NormalBoldCenter"/>
    <w:basedOn w:val="Normal"/>
    <w:rsid w:val="00FD3BC0"/>
    <w:pPr>
      <w:jc w:val="center"/>
    </w:pPr>
    <w:rPr>
      <w:b/>
    </w:rPr>
  </w:style>
  <w:style w:type="paragraph" w:customStyle="1" w:styleId="Footprint12b">
    <w:name w:val="Footprint12b"/>
    <w:basedOn w:val="Normal"/>
    <w:rsid w:val="00FD3BC0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FD3BC0"/>
    <w:rPr>
      <w:szCs w:val="24"/>
    </w:rPr>
  </w:style>
  <w:style w:type="character" w:styleId="Hyperlink">
    <w:name w:val="Hyperlink"/>
    <w:basedOn w:val="DefaultParagraphFont"/>
    <w:rsid w:val="00FD3B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BC0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FD3BC0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FD3BC0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FD3BC0"/>
    <w:rPr>
      <w:b/>
      <w:sz w:val="24"/>
      <w:lang w:val="sk-SK"/>
    </w:rPr>
  </w:style>
  <w:style w:type="paragraph" w:customStyle="1" w:styleId="ColumnHeading">
    <w:name w:val="ColumnHeading"/>
    <w:basedOn w:val="Normal"/>
    <w:rsid w:val="00FD3BC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D3BC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D3BC0"/>
    <w:pPr>
      <w:spacing w:before="240"/>
      <w:jc w:val="center"/>
    </w:pPr>
    <w:rPr>
      <w:i/>
    </w:rPr>
  </w:style>
  <w:style w:type="paragraph" w:customStyle="1" w:styleId="Olang">
    <w:name w:val="Olang"/>
    <w:rsid w:val="00FD3BC0"/>
    <w:pPr>
      <w:jc w:val="right"/>
    </w:pPr>
    <w:rPr>
      <w:lang w:val="sk-SK"/>
    </w:rPr>
  </w:style>
  <w:style w:type="paragraph" w:styleId="Revision">
    <w:name w:val="Revision"/>
    <w:hidden/>
    <w:uiPriority w:val="99"/>
    <w:semiHidden/>
    <w:rsid w:val="00FD3BC0"/>
    <w:rPr>
      <w:sz w:val="24"/>
      <w:lang w:val="sk-SK"/>
    </w:rPr>
  </w:style>
  <w:style w:type="character" w:styleId="CommentReference">
    <w:name w:val="annotation reference"/>
    <w:basedOn w:val="DefaultParagraphFont"/>
    <w:rsid w:val="00FD3B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3B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D3BC0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D3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D3BC0"/>
    <w:rPr>
      <w:b/>
      <w:bCs/>
      <w:lang w:val="sk-SK"/>
    </w:rPr>
  </w:style>
  <w:style w:type="paragraph" w:customStyle="1" w:styleId="EntPE">
    <w:name w:val="EntPE"/>
    <w:basedOn w:val="Normal12"/>
    <w:rsid w:val="00FD3BC0"/>
    <w:pPr>
      <w:jc w:val="center"/>
    </w:pPr>
    <w:rPr>
      <w:noProof w:val="0"/>
      <w:sz w:val="56"/>
    </w:rPr>
  </w:style>
  <w:style w:type="paragraph" w:customStyle="1" w:styleId="Normal12a">
    <w:name w:val="Normal12a"/>
    <w:basedOn w:val="Normal"/>
    <w:rsid w:val="00FD3BC0"/>
    <w:pPr>
      <w:spacing w:after="240"/>
    </w:pPr>
  </w:style>
  <w:style w:type="paragraph" w:customStyle="1" w:styleId="RollCallVotes">
    <w:name w:val="RollCallVotes"/>
    <w:basedOn w:val="Normal"/>
    <w:rsid w:val="00FD3BC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D3BC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D3BC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D3BC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FD3BC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D3BC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FD3BC0"/>
    <w:pPr>
      <w:spacing w:after="240"/>
    </w:pPr>
    <w:rPr>
      <w:noProof/>
    </w:rPr>
  </w:style>
  <w:style w:type="paragraph" w:customStyle="1" w:styleId="CommitteeAM">
    <w:name w:val="CommitteeAM"/>
    <w:basedOn w:val="Normal"/>
    <w:rsid w:val="00FD3BC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D3BC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D3BC0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FD3BC0"/>
    <w:rPr>
      <w:noProof/>
      <w:sz w:val="24"/>
      <w:lang w:val="sk-SK"/>
    </w:rPr>
  </w:style>
  <w:style w:type="paragraph" w:customStyle="1" w:styleId="PELeft">
    <w:name w:val="PELeft"/>
    <w:basedOn w:val="Normal"/>
    <w:rsid w:val="00FD3BC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D3BC0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FD3BC0"/>
    <w:rPr>
      <w:i/>
    </w:rPr>
  </w:style>
  <w:style w:type="paragraph" w:customStyle="1" w:styleId="JustificationTitle">
    <w:name w:val="JustificationTitle"/>
    <w:basedOn w:val="Normal"/>
    <w:next w:val="Normal12"/>
    <w:rsid w:val="00FD3BC0"/>
    <w:pPr>
      <w:keepNext/>
      <w:spacing w:before="240" w:after="240"/>
      <w:jc w:val="center"/>
    </w:pPr>
    <w:rPr>
      <w:i/>
      <w:noProof/>
    </w:rPr>
  </w:style>
  <w:style w:type="character" w:customStyle="1" w:styleId="Footer2Middle">
    <w:name w:val="Footer2Middle"/>
    <w:rsid w:val="00FD3BC0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FD3BC0"/>
    <w:pPr>
      <w:spacing w:before="600" w:after="360"/>
    </w:pPr>
  </w:style>
  <w:style w:type="paragraph" w:customStyle="1" w:styleId="LetterSubject">
    <w:name w:val="LetterSubject"/>
    <w:basedOn w:val="Normal"/>
    <w:rsid w:val="00FD3BC0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FD3BC0"/>
    <w:pPr>
      <w:spacing w:before="1320"/>
    </w:pPr>
  </w:style>
  <w:style w:type="paragraph" w:customStyle="1" w:styleId="AmDocTypeTab">
    <w:name w:val="AmDocTypeTab"/>
    <w:basedOn w:val="Normal"/>
    <w:rsid w:val="007E3B9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E3B9F"/>
    <w:pPr>
      <w:spacing w:after="240"/>
      <w:jc w:val="center"/>
    </w:pPr>
  </w:style>
  <w:style w:type="paragraph" w:customStyle="1" w:styleId="AmDateTab">
    <w:name w:val="AmDateTab"/>
    <w:basedOn w:val="Normal"/>
    <w:rsid w:val="007E3B9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E3B9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E3B9F"/>
  </w:style>
  <w:style w:type="paragraph" w:customStyle="1" w:styleId="Institutionquiagit">
    <w:name w:val="Institution qui agit"/>
    <w:basedOn w:val="Normal"/>
    <w:next w:val="Normal"/>
    <w:rsid w:val="007E3B9F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7E3B9F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7E3B9F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7E3B9F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7E3B9F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7E3B9F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7E3B9F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7E3B9F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7E3B9F"/>
    <w:pPr>
      <w:keepLines/>
      <w:spacing w:line="240" w:lineRule="exact"/>
      <w:ind w:left="850" w:hanging="850"/>
    </w:pPr>
    <w:rPr>
      <w:sz w:val="24"/>
      <w:lang w:val="sk-SK" w:eastAsia="en-US"/>
    </w:rPr>
  </w:style>
  <w:style w:type="character" w:customStyle="1" w:styleId="Footer2">
    <w:name w:val="Footer2"/>
    <w:rsid w:val="007E3B9F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7E3B9F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7E3B9F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7E3B9F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E3B9F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7E3B9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7E3B9F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7E3B9F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7E3B9F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7E3B9F"/>
    <w:pPr>
      <w:spacing w:before="120" w:after="120" w:line="360" w:lineRule="auto"/>
    </w:pPr>
    <w:rPr>
      <w:sz w:val="24"/>
      <w:lang w:val="sk-SK" w:eastAsia="en-US"/>
    </w:rPr>
  </w:style>
  <w:style w:type="character" w:customStyle="1" w:styleId="CMissingStyle">
    <w:name w:val="C_MissingStyle"/>
    <w:rsid w:val="007E3B9F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7E3B9F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7E3B9F"/>
    <w:rPr>
      <w:color w:val="0000FF"/>
      <w:u w:val="single"/>
    </w:rPr>
  </w:style>
  <w:style w:type="paragraph" w:styleId="NormalWeb">
    <w:name w:val="Normal (Web)"/>
    <w:basedOn w:val="Normal"/>
    <w:rsid w:val="007E3B9F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7E3B9F"/>
    <w:rPr>
      <w:rFonts w:ascii="Cambria" w:eastAsia="Malgun Gothic" w:hAnsi="Cambria" w:cs="Mangal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7E3B9F"/>
    <w:rPr>
      <w:rFonts w:ascii="Cambria" w:eastAsia="Malgun Gothic" w:hAnsi="Cambria" w:cs="Mangal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7E3B9F"/>
    <w:rPr>
      <w:rFonts w:ascii="Cambria" w:eastAsia="Malgun Gothic" w:hAnsi="Cambria" w:cs="Mangal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7E3B9F"/>
    <w:rPr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7E3B9F"/>
    <w:pPr>
      <w:widowControl/>
      <w:spacing w:after="80"/>
      <w:contextualSpacing/>
    </w:pPr>
    <w:rPr>
      <w:rFonts w:ascii="Cambria" w:eastAsia="Malgun Gothic" w:hAnsi="Cambria" w:cs="Mangal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3B9F"/>
    <w:rPr>
      <w:rFonts w:ascii="Cambria" w:eastAsia="Malgun Gothic" w:hAnsi="Cambria" w:cs="Mangal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7E3B9F"/>
    <w:pPr>
      <w:widowControl/>
      <w:numPr>
        <w:ilvl w:val="1"/>
      </w:numPr>
      <w:spacing w:after="160" w:line="360" w:lineRule="auto"/>
    </w:pPr>
    <w:rPr>
      <w:rFonts w:ascii="Calibri" w:eastAsia="Malgun Gothic" w:hAnsi="Calibri" w:cs="Mangal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E3B9F"/>
    <w:rPr>
      <w:rFonts w:ascii="Calibri" w:eastAsia="Malgun Gothic" w:hAnsi="Calibri" w:cs="Mangal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7E3B9F"/>
    <w:pPr>
      <w:widowControl/>
      <w:spacing w:before="160" w:after="160" w:line="360" w:lineRule="auto"/>
      <w:jc w:val="center"/>
    </w:pPr>
    <w:rPr>
      <w:rFonts w:eastAsia="Calibri" w:cs="Mangal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E3B9F"/>
    <w:rPr>
      <w:rFonts w:eastAsia="Calibri" w:cs="Mangal"/>
      <w:i/>
      <w:iCs/>
      <w:color w:val="404040"/>
      <w:sz w:val="24"/>
      <w:szCs w:val="2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7E3B9F"/>
    <w:pPr>
      <w:widowControl/>
      <w:spacing w:line="360" w:lineRule="auto"/>
      <w:ind w:left="720"/>
      <w:contextualSpacing/>
    </w:pPr>
    <w:rPr>
      <w:rFonts w:eastAsia="Calibri" w:cs="Mangal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7E3B9F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7E3B9F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 w:cs="Mangal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9F"/>
    <w:rPr>
      <w:rFonts w:eastAsia="Calibri" w:cs="Mangal"/>
      <w:i/>
      <w:iCs/>
      <w:color w:val="365F91"/>
      <w:sz w:val="24"/>
      <w:szCs w:val="22"/>
    </w:rPr>
  </w:style>
  <w:style w:type="character" w:customStyle="1" w:styleId="IntenseReference1">
    <w:name w:val="Intense Reference1"/>
    <w:basedOn w:val="DefaultParagraphFont"/>
    <w:uiPriority w:val="32"/>
    <w:qFormat/>
    <w:rsid w:val="007E3B9F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7E3B9F"/>
    <w:rPr>
      <w:rFonts w:eastAsia="Calibri" w:cs="Mangal"/>
      <w:sz w:val="24"/>
      <w:szCs w:val="22"/>
      <w:lang w:val="sk-SK" w:eastAsia="en-US"/>
    </w:rPr>
  </w:style>
  <w:style w:type="character" w:customStyle="1" w:styleId="FollowedHyperlink1">
    <w:name w:val="FollowedHyperlink1"/>
    <w:basedOn w:val="DefaultParagraphFont"/>
    <w:rsid w:val="007E3B9F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E3B9F"/>
    <w:pPr>
      <w:contextualSpacing/>
    </w:pPr>
    <w:rPr>
      <w:rFonts w:ascii="Cambria" w:eastAsia="Malgun Gothic" w:hAnsi="Cambria" w:cs="Mangal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7E3B9F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9F"/>
    <w:pPr>
      <w:numPr>
        <w:ilvl w:val="1"/>
      </w:numPr>
      <w:spacing w:after="160"/>
    </w:pPr>
    <w:rPr>
      <w:rFonts w:ascii="Calibri" w:eastAsia="Malgun Gothic" w:hAnsi="Calibri" w:cs="Mangal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7E3B9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paragraph" w:styleId="Quote">
    <w:name w:val="Quote"/>
    <w:basedOn w:val="Normal"/>
    <w:next w:val="Normal"/>
    <w:link w:val="QuoteChar"/>
    <w:uiPriority w:val="29"/>
    <w:qFormat/>
    <w:rsid w:val="007E3B9F"/>
    <w:pPr>
      <w:spacing w:before="200" w:after="160"/>
      <w:ind w:left="864" w:right="864"/>
      <w:jc w:val="center"/>
    </w:pPr>
    <w:rPr>
      <w:rFonts w:eastAsia="Calibri" w:cs="Mangal"/>
      <w:i/>
      <w:iCs/>
      <w:color w:val="404040"/>
      <w:szCs w:val="22"/>
      <w:lang w:val="en-GB"/>
    </w:rPr>
  </w:style>
  <w:style w:type="character" w:customStyle="1" w:styleId="QuoteChar1">
    <w:name w:val="Quote Char1"/>
    <w:basedOn w:val="DefaultParagraphFont"/>
    <w:uiPriority w:val="29"/>
    <w:rsid w:val="007E3B9F"/>
    <w:rPr>
      <w:i/>
      <w:iCs/>
      <w:color w:val="404040" w:themeColor="text1" w:themeTint="BF"/>
      <w:sz w:val="24"/>
      <w:lang w:val="sk-SK"/>
    </w:rPr>
  </w:style>
  <w:style w:type="paragraph" w:styleId="ListParagraph">
    <w:name w:val="List Paragraph"/>
    <w:basedOn w:val="Normal"/>
    <w:uiPriority w:val="34"/>
    <w:qFormat/>
    <w:rsid w:val="007E3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B9F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9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 w:cs="Mangal"/>
      <w:i/>
      <w:iCs/>
      <w:color w:val="365F91"/>
      <w:szCs w:val="22"/>
      <w:lang w:val="en-GB"/>
    </w:rPr>
  </w:style>
  <w:style w:type="character" w:customStyle="1" w:styleId="IntenseQuoteChar1">
    <w:name w:val="Intense Quote Char1"/>
    <w:basedOn w:val="DefaultParagraphFont"/>
    <w:uiPriority w:val="30"/>
    <w:rsid w:val="007E3B9F"/>
    <w:rPr>
      <w:i/>
      <w:iCs/>
      <w:color w:val="5B9BD5" w:themeColor="accent1"/>
      <w:sz w:val="24"/>
      <w:lang w:val="sk-SK"/>
    </w:rPr>
  </w:style>
  <w:style w:type="character" w:styleId="IntenseReference">
    <w:name w:val="Intense Reference"/>
    <w:basedOn w:val="DefaultParagraphFont"/>
    <w:uiPriority w:val="32"/>
    <w:qFormat/>
    <w:rsid w:val="007E3B9F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7E3B9F"/>
    <w:pPr>
      <w:widowControl w:val="0"/>
    </w:pPr>
    <w:rPr>
      <w:sz w:val="24"/>
      <w:lang w:val="sk-SK"/>
    </w:rPr>
  </w:style>
  <w:style w:type="character" w:styleId="FollowedHyperlink">
    <w:name w:val="FollowedHyperlink"/>
    <w:basedOn w:val="DefaultParagraphFont"/>
    <w:rsid w:val="007E3B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2026-08-31T13:39:00Z</dcterms:created>
  <dcterms:modified xsi:type="dcterms:W3CDTF">2026-08-31T13:39:00Z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