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819E2D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4CB1" w:rsidP="0010095E" w14:paraId="30AFDF05" w14:textId="77777777">
            <w:pPr>
              <w:pStyle w:val="EPName"/>
            </w:pPr>
            <w:r w:rsidRPr="00524CB1">
              <w:t>Parlament Ewropew</w:t>
            </w:r>
          </w:p>
          <w:p w:rsidR="00751A4A" w:rsidRPr="00524CB1" w:rsidP="005F1B17" w14:paraId="660B7E7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4CB1">
              <w:t>2024</w:t>
            </w:r>
            <w:r w:rsidRPr="00524CB1" w:rsidR="00817416">
              <w:t>-202</w:t>
            </w:r>
            <w:r w:rsidRPr="00524CB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24CB1" w:rsidP="0010095E" w14:paraId="61FF3ED2" w14:textId="77777777">
            <w:pPr>
              <w:pStyle w:val="EPLogo"/>
            </w:pPr>
            <w:r w:rsidRPr="00524CB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4CB1" w:rsidP="004C5D52" w14:paraId="3420492B" w14:textId="77777777">
      <w:pPr>
        <w:pStyle w:val="LineTop"/>
      </w:pPr>
    </w:p>
    <w:p w:rsidR="00680577" w:rsidRPr="00524CB1" w:rsidP="00680577" w14:paraId="55A3C226" w14:textId="77777777">
      <w:pPr>
        <w:pStyle w:val="EPBodyTA1"/>
      </w:pPr>
      <w:r w:rsidRPr="00524CB1">
        <w:t>TESTI ADOTTATI</w:t>
      </w:r>
    </w:p>
    <w:p w:rsidR="00D058B8" w:rsidRPr="00524CB1" w:rsidP="00D058B8" w14:paraId="065C093E" w14:textId="77777777">
      <w:pPr>
        <w:pStyle w:val="LineBottom"/>
      </w:pPr>
    </w:p>
    <w:p w:rsidR="000324EE" w:rsidRPr="00524CB1" w:rsidP="000324EE" w14:paraId="13DB5669" w14:textId="1907FDC0">
      <w:pPr>
        <w:pStyle w:val="ATHeading1"/>
      </w:pPr>
      <w:bookmarkStart w:id="0" w:name="TANumber"/>
      <w:r w:rsidRPr="00524CB1">
        <w:t>P10_TA(2026)0</w:t>
      </w:r>
      <w:r w:rsidR="00BF2A74">
        <w:t>199</w:t>
      </w:r>
      <w:bookmarkEnd w:id="0"/>
    </w:p>
    <w:p w:rsidR="000324EE" w:rsidRPr="00524CB1" w:rsidP="000324EE" w14:paraId="608EA72D" w14:textId="77777777">
      <w:pPr>
        <w:pStyle w:val="ATHeading2"/>
      </w:pPr>
      <w:bookmarkStart w:id="1" w:name="title"/>
      <w:r w:rsidRPr="00524CB1">
        <w:t>It-tisħiħ tal-pożizzjoni tal-bdiewa fil-katina tal-provvista tal-ikel</w:t>
      </w:r>
      <w:bookmarkEnd w:id="1"/>
    </w:p>
    <w:p w:rsidR="000324EE" w:rsidRPr="00524CB1" w:rsidP="000324EE" w14:paraId="5BB0498E" w14:textId="77777777">
      <w:pPr>
        <w:rPr>
          <w:i/>
          <w:vanish/>
        </w:rPr>
      </w:pPr>
      <w:r>
        <w:rPr>
          <w:i/>
        </w:rPr>
        <w:fldChar w:fldCharType="begin"/>
      </w:r>
      <w:r w:rsidRPr="00524CB1">
        <w:rPr>
          <w:i/>
        </w:rPr>
        <w:instrText xml:space="preserve"> TC"(</w:instrText>
      </w:r>
      <w:bookmarkStart w:id="2" w:name="DocNumber"/>
      <w:r w:rsidRPr="00524CB1">
        <w:rPr>
          <w:i/>
        </w:rPr>
        <w:instrText>A10-0161/2025</w:instrText>
      </w:r>
      <w:bookmarkEnd w:id="2"/>
      <w:r w:rsidRPr="00524CB1">
        <w:rPr>
          <w:i/>
        </w:rPr>
        <w:instrText xml:space="preserve"> - Rapporteur:  Céline Imart )"\l3 \n&gt; \* MERGEFORMAT </w:instrText>
      </w:r>
      <w:r>
        <w:rPr>
          <w:i/>
        </w:rPr>
        <w:fldChar w:fldCharType="end"/>
      </w:r>
    </w:p>
    <w:p w:rsidR="000324EE" w:rsidRPr="00524CB1" w:rsidP="000324EE" w14:paraId="1502AF1F" w14:textId="77777777">
      <w:pPr>
        <w:rPr>
          <w:vanish/>
        </w:rPr>
      </w:pPr>
      <w:bookmarkStart w:id="3" w:name="Commission"/>
      <w:r w:rsidRPr="00524CB1">
        <w:rPr>
          <w:vanish/>
        </w:rPr>
        <w:t>Kumitat għall-Agrikoltura u l-Iżvilupp Rurali</w:t>
      </w:r>
      <w:bookmarkEnd w:id="3"/>
    </w:p>
    <w:p w:rsidR="000324EE" w:rsidRPr="00524CB1" w:rsidP="000324EE" w14:paraId="2304E645" w14:textId="77777777">
      <w:pPr>
        <w:rPr>
          <w:vanish/>
        </w:rPr>
      </w:pPr>
      <w:bookmarkStart w:id="4" w:name="PE"/>
      <w:r w:rsidRPr="00524CB1">
        <w:rPr>
          <w:vanish/>
        </w:rPr>
        <w:t>PE772.032</w:t>
      </w:r>
      <w:bookmarkEnd w:id="4"/>
    </w:p>
    <w:p w:rsidR="000324EE" w:rsidRPr="00524CB1" w:rsidP="000324EE" w14:paraId="0E02ACC7" w14:textId="5006B11F">
      <w:pPr>
        <w:pStyle w:val="ATHeading3"/>
      </w:pPr>
      <w:bookmarkStart w:id="5" w:name="Sujet"/>
      <w:r w:rsidRPr="00524CB1">
        <w:t xml:space="preserve">Riżoluzzjoni leġiżlattiva tal-Parlament Ewropew </w:t>
      </w:r>
      <w:r w:rsidR="003477E4">
        <w:t>tas-16 ta’ Ġunju</w:t>
      </w:r>
      <w:r w:rsidRPr="00524CB1">
        <w:t xml:space="preserve"> 2026 dwar il-proposta għal regolament tal-Parlament Ewropew u tal-Kunsill li jemenda r-Regolamenti (UE) Nru 1308/2013, (UE) 2021/2115 u (UE) 2021/2116 fir-rigward tat-tisħiħ tal-pożizzjoni tal-bdiewa fil-katina tal-provvista tal-ikel </w:t>
      </w:r>
      <w:bookmarkEnd w:id="5"/>
      <w:r w:rsidRPr="00524CB1">
        <w:t xml:space="preserve"> </w:t>
      </w:r>
      <w:bookmarkStart w:id="6" w:name="References"/>
      <w:r w:rsidRPr="00524CB1">
        <w:t>(COM(2024)0577 – C10-0209/2024 – 2024/0319(COD))</w:t>
      </w:r>
      <w:bookmarkEnd w:id="6"/>
    </w:p>
    <w:p w:rsidR="002F18A1" w:rsidRPr="00524CB1" w:rsidP="002F18A1" w14:paraId="4FFA6B6D" w14:textId="77777777">
      <w:pPr>
        <w:pStyle w:val="NormalBold"/>
      </w:pPr>
      <w:r w:rsidRPr="00524CB1">
        <w:t>(Proċedura leġiżlattiva ordinarja: l-ewwel qari)</w:t>
      </w:r>
    </w:p>
    <w:p w:rsidR="002F18A1" w:rsidRPr="00524CB1" w:rsidP="002F18A1" w14:paraId="54F80332" w14:textId="77777777">
      <w:pPr>
        <w:pStyle w:val="EPComma"/>
      </w:pPr>
      <w:r w:rsidRPr="00524CB1">
        <w:rPr>
          <w:i/>
        </w:rPr>
        <w:t>Il-Parlament Ewropew</w:t>
      </w:r>
      <w:r w:rsidRPr="00524CB1">
        <w:t>,</w:t>
      </w:r>
    </w:p>
    <w:p w:rsidR="002F18A1" w:rsidRPr="00524CB1" w:rsidP="002F18A1" w14:paraId="499F83C2" w14:textId="77777777">
      <w:pPr>
        <w:pStyle w:val="NormalHanging12a"/>
      </w:pPr>
      <w:r w:rsidRPr="00524CB1">
        <w:t>–</w:t>
      </w:r>
      <w:r w:rsidRPr="00524CB1">
        <w:tab/>
        <w:t>wara li kkunsidra l-proposta tal-Kummissjoni lill-Parlament Ewropew u lill-Kunsill (COM(2024)0577),</w:t>
      </w:r>
    </w:p>
    <w:p w:rsidR="002F18A1" w:rsidRPr="00524CB1" w:rsidP="002F18A1" w14:paraId="078E8737" w14:textId="323E093F">
      <w:pPr>
        <w:pStyle w:val="NormalHanging12a"/>
      </w:pPr>
      <w:r w:rsidRPr="00524CB1">
        <w:t>–</w:t>
      </w:r>
      <w:r w:rsidRPr="00524CB1">
        <w:tab/>
        <w:t>wara li kkunsidra l-Artikolu 294(2), l-Artikolu 42, l-ewwel paragrafu, u l-Artikolu 43(2) tat-Trattat dwar il-Funzjonament tal-Unjoni Ewropea, skont liema artikoli l-Kummissjoni ppreżentat il-proposta lill-Parlament (C10</w:t>
      </w:r>
      <w:r w:rsidRPr="00524CB1">
        <w:noBreakHyphen/>
        <w:t>0209/2024),</w:t>
      </w:r>
    </w:p>
    <w:p w:rsidR="002F18A1" w:rsidRPr="00524CB1" w:rsidP="002F18A1" w14:paraId="01E60560" w14:textId="77777777">
      <w:pPr>
        <w:pStyle w:val="NormalHanging12a"/>
      </w:pPr>
      <w:r w:rsidRPr="00524CB1">
        <w:t>–</w:t>
      </w:r>
      <w:r w:rsidRPr="00524CB1">
        <w:tab/>
        <w:t>wara li kkunsidra l-Artikolu 294(3) tat-Trattat dwar il-Funzjonament tal-Unjoni Ewropea,</w:t>
      </w:r>
    </w:p>
    <w:p w:rsidR="002F18A1" w:rsidP="002F18A1" w14:paraId="7068F6C9" w14:textId="10F57893">
      <w:pPr>
        <w:pStyle w:val="NormalHanging12a"/>
      </w:pPr>
      <w:r w:rsidRPr="00524CB1">
        <w:t>–</w:t>
      </w:r>
      <w:r w:rsidRPr="00524CB1">
        <w:tab/>
        <w:t>wara li kkunsidra l-opinjoni tal-Kumitat Ekonomiku u Soċjali Ewropew ta</w:t>
      </w:r>
      <w:r w:rsidR="00904EC3">
        <w:t>s-27 ta’ Marzu 2025</w:t>
      </w:r>
      <w:r>
        <w:rPr>
          <w:rStyle w:val="FootnoteReference"/>
        </w:rPr>
        <w:footnoteReference w:id="2"/>
      </w:r>
      <w:r w:rsidRPr="00524CB1">
        <w:t>,</w:t>
      </w:r>
    </w:p>
    <w:p w:rsidR="00904EC3" w:rsidP="002F18A1" w14:paraId="20541B52" w14:textId="2E79EEA2">
      <w:pPr>
        <w:pStyle w:val="NormalHanging12a"/>
      </w:pPr>
      <w:r w:rsidRPr="00904EC3">
        <w:t>–</w:t>
      </w:r>
      <w:r w:rsidRPr="00904EC3">
        <w:tab/>
        <w:t xml:space="preserve">wara li kkunsidra </w:t>
      </w:r>
      <w:r>
        <w:t xml:space="preserve">l-opinjoni tal-Kumitat </w:t>
      </w:r>
      <w:r w:rsidR="00504702">
        <w:t xml:space="preserve">tar-Reġjuni </w:t>
      </w:r>
      <w:r>
        <w:t>tal-14 ta’ Mejju 202</w:t>
      </w:r>
      <w:r w:rsidRPr="00504702">
        <w:t>5</w:t>
      </w:r>
      <w:r>
        <w:rPr>
          <w:rStyle w:val="FootnoteReference"/>
        </w:rPr>
        <w:footnoteReference w:id="3"/>
      </w:r>
      <w:r>
        <w:t>,</w:t>
      </w:r>
    </w:p>
    <w:p w:rsidR="00904EC3" w:rsidRPr="00524CB1" w:rsidP="002F18A1" w14:paraId="450CD2E9" w14:textId="32852329">
      <w:pPr>
        <w:pStyle w:val="NormalHanging12a"/>
      </w:pPr>
      <w:r w:rsidRPr="00904EC3">
        <w:t>–</w:t>
      </w:r>
      <w:r w:rsidRPr="00904EC3">
        <w:tab/>
        <w:t>wara li kkunsidra l-ftehim proviżorju approvat mill-kumita</w:t>
      </w:r>
      <w:r>
        <w:t>t</w:t>
      </w:r>
      <w:r w:rsidRPr="00904EC3">
        <w:t xml:space="preserve"> responsabbli fis-sens tal-Artikolu 75(4) tar-Regoli ta' Proċedura tiegħu</w:t>
      </w:r>
      <w:r>
        <w:t xml:space="preserve"> </w:t>
      </w:r>
      <w:r w:rsidRPr="00904EC3">
        <w:t>u l-impenn meħud mir-rappreżentant tal-Kunsill, permezz tal-ittra ta</w:t>
      </w:r>
      <w:r>
        <w:t>t</w:t>
      </w:r>
      <w:r w:rsidRPr="00904EC3">
        <w:t>-</w:t>
      </w:r>
      <w:r>
        <w:t>23</w:t>
      </w:r>
      <w:r w:rsidRPr="00904EC3">
        <w:t xml:space="preserve"> ta' </w:t>
      </w:r>
      <w:r>
        <w:t>Marzu</w:t>
      </w:r>
      <w:r w:rsidRPr="00904EC3">
        <w:t xml:space="preserve"> </w:t>
      </w:r>
      <w:r>
        <w:t>2026</w:t>
      </w:r>
      <w:r w:rsidRPr="00904EC3">
        <w:t>, li japprova l-pożizzjoni msemmija, skont l-Artikolu 294(4) tat-Trattat dwar il-Funzjonament tal-Unjoni Ewropea,</w:t>
      </w:r>
    </w:p>
    <w:p w:rsidR="002F18A1" w:rsidRPr="00524CB1" w:rsidP="002F18A1" w14:paraId="05D05EBB" w14:textId="77777777">
      <w:pPr>
        <w:pStyle w:val="NormalHanging12a"/>
      </w:pPr>
      <w:r w:rsidRPr="00524CB1">
        <w:t>–</w:t>
      </w:r>
      <w:r w:rsidRPr="00524CB1">
        <w:tab/>
        <w:t>wara li kkunsidra l-Artikolu 60 tar-Regoli ta’ Proċedura tiegħu,</w:t>
      </w:r>
    </w:p>
    <w:p w:rsidR="002F18A1" w:rsidRPr="00524CB1" w:rsidP="002F18A1" w14:paraId="25CEF118" w14:textId="77777777">
      <w:pPr>
        <w:pStyle w:val="NormalHanging12a"/>
      </w:pPr>
      <w:r w:rsidRPr="00524CB1">
        <w:t>–</w:t>
      </w:r>
      <w:r w:rsidRPr="00524CB1">
        <w:tab/>
        <w:t>wara li kkunsidra r-rapport tal-Kumitat għall-Agrikoltura u l-Iżvilupp Rurali (A10-0161/2025),</w:t>
      </w:r>
    </w:p>
    <w:p w:rsidR="002F18A1" w:rsidRPr="00524CB1" w:rsidP="002F18A1" w14:paraId="0F03F24C" w14:textId="23DD05BD">
      <w:pPr>
        <w:pStyle w:val="NormalHanging12a"/>
      </w:pPr>
      <w:r w:rsidRPr="00524CB1">
        <w:t>1.</w:t>
      </w:r>
      <w:r w:rsidRPr="00524CB1">
        <w:tab/>
        <w:t>Jadotta l-pożizzjoni fl-ewwel qari li tidher hawn taħt</w:t>
      </w:r>
      <w:r>
        <w:rPr>
          <w:rStyle w:val="FootnoteReference"/>
        </w:rPr>
        <w:footnoteReference w:id="4"/>
      </w:r>
      <w:r w:rsidRPr="00524CB1">
        <w:t>;</w:t>
      </w:r>
    </w:p>
    <w:p w:rsidR="002F18A1" w:rsidRPr="00524CB1" w:rsidP="002F18A1" w14:paraId="25731984" w14:textId="77777777">
      <w:pPr>
        <w:pStyle w:val="NormalHanging12a"/>
      </w:pPr>
      <w:r w:rsidRPr="00524CB1">
        <w:t>2.</w:t>
      </w:r>
      <w:r w:rsidRPr="00524CB1">
        <w:tab/>
        <w:t>Jitlob lill-Kummissjoni terġa’ tirreferi l-kwistjoni lill-Parlament jekk tibdel il-proposta tagħha, temendaha b’mod sustanzjali jew ikollha l-ħsieb li temendaha b’mod sustanzjali;</w:t>
      </w:r>
    </w:p>
    <w:p w:rsidR="002F18A1" w:rsidRPr="00524CB1" w:rsidP="00DA5470" w14:paraId="273A4DF4" w14:textId="2386BBCE">
      <w:pPr>
        <w:pStyle w:val="NormalHanging12a"/>
      </w:pPr>
      <w:r w:rsidRPr="00524CB1">
        <w:t>3.</w:t>
      </w:r>
      <w:r w:rsidRPr="00524CB1">
        <w:tab/>
        <w:t>Jagħti istruzzjonijiet lill-President tiegħu biex tgħaddi l-pożizzjoni tiegħu lill-Kunsill u lill-Kummissjoni kif ukoll lill-parlamenti nazzjonali.</w:t>
      </w:r>
    </w:p>
    <w:p w:rsidR="00904EC3" w:rsidP="002F18A1" w14:paraId="34EAA509" w14:textId="77777777">
      <w:pPr>
        <w:pStyle w:val="AmNumberTabs"/>
      </w:pPr>
    </w:p>
    <w:p w:rsidR="00423985" w:rsidP="002F18A1" w14:paraId="0F0BDB17" w14:textId="77777777">
      <w:pPr>
        <w:pStyle w:val="AmNumberTabs"/>
        <w:sectPr w:rsidSect="00524CB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23985" w:rsidRPr="00D651F2" w:rsidP="00423985" w14:paraId="48F91710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651F2">
        <w:rPr>
          <w:rFonts w:eastAsia="Calibri"/>
          <w:b/>
          <w:bCs/>
          <w:color w:val="000000"/>
          <w:szCs w:val="24"/>
        </w:rPr>
        <w:t>P10_TC1-COD(2024)0319</w:t>
      </w:r>
    </w:p>
    <w:p w:rsidR="004A6BE9" w:rsidP="004A6BE9" w14:paraId="5C969383" w14:textId="00A93AFC">
      <w:pPr>
        <w:rPr>
          <w:rFonts w:eastAsia="Calibri"/>
          <w:b/>
          <w:szCs w:val="22"/>
          <w:lang w:eastAsia="en-US"/>
        </w:rPr>
      </w:pPr>
      <w:r w:rsidRPr="00CE3598">
        <w:rPr>
          <w:rFonts w:eastAsia="Calibri"/>
          <w:b/>
          <w:bCs/>
        </w:rPr>
        <w:t>Pożizzjoni tal-Parlament Ewropew adottata fl-</w:t>
      </w:r>
      <w:r w:rsidRPr="004A6BE9">
        <w:rPr>
          <w:rFonts w:eastAsia="Calibri"/>
          <w:b/>
          <w:bCs/>
        </w:rPr>
        <w:t>ewwel qari ta</w:t>
      </w:r>
      <w:r w:rsidRPr="004A6BE9">
        <w:rPr>
          <w:rFonts w:eastAsia="Calibri"/>
          <w:b/>
          <w:bCs/>
        </w:rPr>
        <w:t>s</w:t>
      </w:r>
      <w:r w:rsidRPr="004A6BE9">
        <w:rPr>
          <w:rFonts w:eastAsia="Calibri"/>
          <w:b/>
          <w:bCs/>
        </w:rPr>
        <w:t>-1</w:t>
      </w:r>
      <w:r w:rsidRPr="004A6BE9">
        <w:rPr>
          <w:rFonts w:eastAsia="Calibri"/>
          <w:b/>
          <w:bCs/>
        </w:rPr>
        <w:t>6</w:t>
      </w:r>
      <w:r w:rsidRPr="004A6BE9">
        <w:rPr>
          <w:b/>
        </w:rPr>
        <w:t xml:space="preserve"> </w:t>
      </w:r>
      <w:r w:rsidRPr="004A6BE9">
        <w:rPr>
          <w:rFonts w:eastAsia="Calibri"/>
          <w:b/>
          <w:bCs/>
        </w:rPr>
        <w:t xml:space="preserve">ta' </w:t>
      </w:r>
      <w:r w:rsidRPr="004A6BE9">
        <w:rPr>
          <w:rFonts w:eastAsia="Calibri"/>
          <w:b/>
          <w:bCs/>
        </w:rPr>
        <w:t>Ġunju</w:t>
      </w:r>
      <w:r w:rsidRPr="004A6BE9">
        <w:rPr>
          <w:rFonts w:eastAsia="Calibri"/>
          <w:b/>
          <w:bCs/>
        </w:rPr>
        <w:t xml:space="preserve"> 2026</w:t>
      </w:r>
      <w:r w:rsidRPr="00CE3598">
        <w:rPr>
          <w:rFonts w:eastAsia="Calibri"/>
          <w:b/>
          <w:bCs/>
        </w:rPr>
        <w:t xml:space="preserve"> bil-ħsieb tal-</w:t>
      </w:r>
      <w:r w:rsidRPr="004A6BE9">
        <w:rPr>
          <w:rFonts w:eastAsia="Calibri"/>
          <w:b/>
          <w:bCs/>
        </w:rPr>
        <w:t xml:space="preserve">adozzjoni tar-Regolament(UE) 2026/... </w:t>
      </w:r>
      <w:r w:rsidRPr="004A6BE9">
        <w:rPr>
          <w:b/>
          <w:color w:val="000000"/>
          <w:szCs w:val="22"/>
        </w:rPr>
        <w:t>tal-Parlament</w:t>
      </w:r>
      <w:r w:rsidRPr="00CE3598">
        <w:rPr>
          <w:b/>
          <w:color w:val="000000"/>
          <w:szCs w:val="22"/>
        </w:rPr>
        <w:t xml:space="preserve"> Ewropew u tal-Kunsill</w:t>
      </w:r>
      <w:r w:rsidRPr="00CE3598">
        <w:rPr>
          <w:rFonts w:eastAsia="Calibri"/>
          <w:b/>
          <w:szCs w:val="22"/>
        </w:rPr>
        <w:t xml:space="preserve"> </w:t>
      </w:r>
      <w:r w:rsidRPr="004A6BE9">
        <w:rPr>
          <w:rFonts w:eastAsia="Calibri"/>
          <w:b/>
          <w:szCs w:val="22"/>
          <w:lang w:eastAsia="en-US"/>
        </w:rPr>
        <w:t>li jemenda r-Regolamenti (UE) Nru 1308/2013, (UE) 2021/2115 u (UE) 2021/2116 fir-rigward tat-tisħiħ tal-pożizzjoni tal-bdiewa fil-katina tal-provvista tal-ikel</w:t>
      </w:r>
    </w:p>
    <w:p w:rsidR="000C6D83" w:rsidRPr="0029750F" w:rsidP="000C6D83" w14:paraId="415E58BE" w14:textId="2172F5AD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0C6D83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26</w:t>
      </w:r>
      <w:r>
        <w:rPr>
          <w:i/>
        </w:rPr>
        <w:t>/</w:t>
      </w:r>
      <w:r>
        <w:rPr>
          <w:i/>
        </w:rPr>
        <w:t>1739</w:t>
      </w:r>
      <w:r w:rsidRPr="0050178C">
        <w:rPr>
          <w:i/>
        </w:rPr>
        <w:t>.)</w:t>
      </w:r>
    </w:p>
    <w:p w:rsidR="000C6D83" w:rsidRPr="004A6BE9" w:rsidP="004A6BE9" w14:paraId="28A447AC" w14:textId="77777777">
      <w:pPr>
        <w:rPr>
          <w:rFonts w:eastAsia="Calibri"/>
          <w:b/>
          <w:szCs w:val="22"/>
          <w:lang w:eastAsia="en-US"/>
        </w:rPr>
      </w:pPr>
    </w:p>
    <w:sectPr w:rsidSect="00524CB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CB1" w14:paraId="59AB0AF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CB1" w14:paraId="1605E59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CB1" w14:paraId="7062FD7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324EE" w:rsidRPr="00524CB1" w14:paraId="5811DEA6" w14:textId="77777777">
      <w:r w:rsidRPr="00524CB1">
        <w:separator/>
      </w:r>
    </w:p>
  </w:footnote>
  <w:footnote w:type="continuationSeparator" w:id="1">
    <w:p w:rsidR="000324EE" w:rsidRPr="00524CB1" w14:paraId="0D9D5718" w14:textId="77777777">
      <w:r w:rsidRPr="00524CB1">
        <w:continuationSeparator/>
      </w:r>
    </w:p>
  </w:footnote>
  <w:footnote w:id="2">
    <w:p w:rsidR="002F18A1" w:rsidRPr="004A6BE9" w:rsidP="00DA5470" w14:paraId="1D59203D" w14:textId="164F1C7F">
      <w:pPr>
        <w:pStyle w:val="FootnoteText"/>
        <w:ind w:left="709" w:hanging="709"/>
        <w:rPr>
          <w:sz w:val="24"/>
          <w:szCs w:val="24"/>
          <w:lang w:val="mt-MT"/>
        </w:rPr>
      </w:pPr>
      <w:r w:rsidRPr="004A6BE9">
        <w:rPr>
          <w:rStyle w:val="FootnoteReference"/>
          <w:sz w:val="24"/>
          <w:szCs w:val="24"/>
          <w:lang w:val="mt-MT"/>
        </w:rPr>
        <w:footnoteRef/>
      </w:r>
      <w:r w:rsidRPr="004A6BE9" w:rsidR="00524CB1">
        <w:rPr>
          <w:sz w:val="24"/>
          <w:szCs w:val="24"/>
          <w:lang w:val="mt-MT"/>
        </w:rPr>
        <w:t xml:space="preserve"> </w:t>
      </w:r>
      <w:r w:rsidRPr="004A6BE9" w:rsidR="00524CB1">
        <w:rPr>
          <w:sz w:val="24"/>
          <w:szCs w:val="24"/>
          <w:lang w:val="mt-MT"/>
        </w:rPr>
        <w:tab/>
      </w:r>
      <w:r w:rsidRPr="004A6BE9" w:rsidR="00904EC3">
        <w:rPr>
          <w:sz w:val="24"/>
          <w:szCs w:val="24"/>
          <w:lang w:val="mt-MT"/>
        </w:rPr>
        <w:t xml:space="preserve">ĠU C, C/2025/2969, 16.6.2025, ELI: </w:t>
      </w:r>
      <w:hyperlink r:id="rId1" w:history="1">
        <w:r w:rsidRPr="004A6BE9" w:rsidR="00904EC3">
          <w:rPr>
            <w:rStyle w:val="Hyperlink"/>
            <w:sz w:val="24"/>
            <w:szCs w:val="24"/>
            <w:lang w:val="mt-MT"/>
          </w:rPr>
          <w:t>http://data.europa.eu/eli/C/2025/2969/oj</w:t>
        </w:r>
      </w:hyperlink>
      <w:r w:rsidRPr="004A6BE9">
        <w:rPr>
          <w:sz w:val="24"/>
          <w:szCs w:val="24"/>
          <w:lang w:val="mt-MT"/>
        </w:rPr>
        <w:t>.</w:t>
      </w:r>
    </w:p>
  </w:footnote>
  <w:footnote w:id="3">
    <w:p w:rsidR="00904EC3" w:rsidRPr="00DA5470" w:rsidP="00DA5470" w14:paraId="56120021" w14:textId="5BD3ADB6">
      <w:pPr>
        <w:pStyle w:val="FootnoteText"/>
        <w:ind w:left="709" w:hanging="709"/>
        <w:rPr>
          <w:sz w:val="24"/>
          <w:szCs w:val="24"/>
          <w:lang w:val="mt-MT"/>
        </w:rPr>
      </w:pPr>
      <w:r w:rsidRPr="00DA5470">
        <w:rPr>
          <w:rStyle w:val="FootnoteReference"/>
          <w:sz w:val="24"/>
          <w:szCs w:val="24"/>
        </w:rPr>
        <w:footnoteRef/>
      </w:r>
      <w:r w:rsidRPr="00DA5470">
        <w:rPr>
          <w:sz w:val="24"/>
          <w:szCs w:val="24"/>
          <w:lang w:val="fi-FI"/>
        </w:rPr>
        <w:t xml:space="preserve"> </w:t>
      </w:r>
      <w:r w:rsidRPr="00DA5470">
        <w:rPr>
          <w:sz w:val="24"/>
          <w:szCs w:val="24"/>
          <w:lang w:val="fi-FI"/>
        </w:rPr>
        <w:tab/>
      </w:r>
      <w:r w:rsidRPr="00DA5470" w:rsidR="00423985">
        <w:rPr>
          <w:sz w:val="24"/>
          <w:szCs w:val="24"/>
          <w:lang w:val="fi-FI"/>
        </w:rPr>
        <w:t xml:space="preserve">ĠU C, C/2025/3479, 16.7.2025, ELI: </w:t>
      </w:r>
      <w:hyperlink r:id="rId2" w:history="1">
        <w:r w:rsidRPr="00DA5470" w:rsidR="00423985">
          <w:rPr>
            <w:rStyle w:val="Hyperlink"/>
            <w:sz w:val="24"/>
            <w:szCs w:val="24"/>
            <w:lang w:val="fi-FI"/>
          </w:rPr>
          <w:t>http://data.europa.eu/eli/C/2025/3479/oj</w:t>
        </w:r>
      </w:hyperlink>
      <w:r w:rsidRPr="00DA5470" w:rsidR="00423985">
        <w:rPr>
          <w:sz w:val="24"/>
          <w:szCs w:val="24"/>
          <w:lang w:val="fi-FI"/>
        </w:rPr>
        <w:t>.</w:t>
      </w:r>
    </w:p>
  </w:footnote>
  <w:footnote w:id="4">
    <w:p w:rsidR="00904EC3" w:rsidRPr="00DA5470" w14:paraId="7131F421" w14:textId="7CD15136">
      <w:pPr>
        <w:pStyle w:val="FootnoteText"/>
        <w:rPr>
          <w:sz w:val="24"/>
          <w:szCs w:val="24"/>
          <w:lang w:val="mt-MT"/>
        </w:rPr>
      </w:pPr>
      <w:r w:rsidRPr="00DA5470">
        <w:rPr>
          <w:rStyle w:val="FootnoteReference"/>
          <w:sz w:val="24"/>
          <w:szCs w:val="24"/>
        </w:rPr>
        <w:footnoteRef/>
      </w:r>
      <w:r w:rsidRPr="00DA5470">
        <w:rPr>
          <w:sz w:val="24"/>
          <w:szCs w:val="24"/>
          <w:lang w:val="it-IT"/>
        </w:rPr>
        <w:t xml:space="preserve"> </w:t>
      </w:r>
      <w:r w:rsidRPr="00DA5470">
        <w:rPr>
          <w:sz w:val="24"/>
          <w:szCs w:val="24"/>
          <w:lang w:val="mt-MT"/>
        </w:rPr>
        <w:tab/>
      </w:r>
      <w:r w:rsidRPr="004A6BE9">
        <w:rPr>
          <w:sz w:val="24"/>
          <w:szCs w:val="24"/>
          <w:lang w:val="mt-MT"/>
        </w:rPr>
        <w:t>Din il-pożizzjoni tissostitwixxi l-emendi adottati fit-8 ta' Ottubru 2025 (Testi adottati, P</w:t>
      </w:r>
      <w:r w:rsidR="00DA5470">
        <w:rPr>
          <w:sz w:val="24"/>
          <w:szCs w:val="24"/>
          <w:lang w:val="mt-MT"/>
        </w:rPr>
        <w:t>10</w:t>
      </w:r>
      <w:r w:rsidRPr="004A6BE9">
        <w:rPr>
          <w:sz w:val="24"/>
          <w:szCs w:val="24"/>
          <w:lang w:val="mt-MT"/>
        </w:rPr>
        <w:t>_TA(2025)0214).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CB1" w14:paraId="108712D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CB1" w14:paraId="41E2128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24CB1" w14:paraId="1C427D9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2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3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091736892">
    <w:abstractNumId w:val="2"/>
  </w:num>
  <w:num w:numId="2" w16cid:durableId="585845691">
    <w:abstractNumId w:val="13"/>
  </w:num>
  <w:num w:numId="3" w16cid:durableId="1371224461">
    <w:abstractNumId w:val="7"/>
  </w:num>
  <w:num w:numId="4" w16cid:durableId="1583297739">
    <w:abstractNumId w:val="18"/>
  </w:num>
  <w:num w:numId="5" w16cid:durableId="493028266">
    <w:abstractNumId w:val="21"/>
  </w:num>
  <w:num w:numId="6" w16cid:durableId="19748251">
    <w:abstractNumId w:val="20"/>
  </w:num>
  <w:num w:numId="7" w16cid:durableId="194975596">
    <w:abstractNumId w:val="37"/>
  </w:num>
  <w:num w:numId="8" w16cid:durableId="2051998500">
    <w:abstractNumId w:val="14"/>
  </w:num>
  <w:num w:numId="9" w16cid:durableId="920985168">
    <w:abstractNumId w:val="15"/>
  </w:num>
  <w:num w:numId="10" w16cid:durableId="859395038">
    <w:abstractNumId w:val="16"/>
  </w:num>
  <w:num w:numId="11" w16cid:durableId="1884709445">
    <w:abstractNumId w:val="19"/>
  </w:num>
  <w:num w:numId="12" w16cid:durableId="907809623">
    <w:abstractNumId w:val="9"/>
  </w:num>
  <w:num w:numId="13" w16cid:durableId="1276255905">
    <w:abstractNumId w:val="38"/>
  </w:num>
  <w:num w:numId="14" w16cid:durableId="641539383">
    <w:abstractNumId w:val="12"/>
  </w:num>
  <w:num w:numId="15" w16cid:durableId="1463424940">
    <w:abstractNumId w:val="5"/>
  </w:num>
  <w:num w:numId="16" w16cid:durableId="1445808034">
    <w:abstractNumId w:val="4"/>
  </w:num>
  <w:num w:numId="17" w16cid:durableId="1852645536">
    <w:abstractNumId w:val="31"/>
  </w:num>
  <w:num w:numId="18" w16cid:durableId="850142578">
    <w:abstractNumId w:val="29"/>
  </w:num>
  <w:num w:numId="19" w16cid:durableId="9839530">
    <w:abstractNumId w:val="24"/>
  </w:num>
  <w:num w:numId="20" w16cid:durableId="1073358758">
    <w:abstractNumId w:val="34"/>
  </w:num>
  <w:num w:numId="21" w16cid:durableId="1326860946">
    <w:abstractNumId w:val="33"/>
  </w:num>
  <w:num w:numId="22" w16cid:durableId="1663196454">
    <w:abstractNumId w:val="35"/>
  </w:num>
  <w:num w:numId="23" w16cid:durableId="808937615">
    <w:abstractNumId w:val="6"/>
  </w:num>
  <w:num w:numId="24" w16cid:durableId="1466007105">
    <w:abstractNumId w:val="27"/>
  </w:num>
  <w:num w:numId="25" w16cid:durableId="1475875094">
    <w:abstractNumId w:val="1"/>
  </w:num>
  <w:num w:numId="26" w16cid:durableId="1816027014">
    <w:abstractNumId w:val="28"/>
  </w:num>
  <w:num w:numId="27" w16cid:durableId="1689023111">
    <w:abstractNumId w:val="25"/>
  </w:num>
  <w:num w:numId="28" w16cid:durableId="1106273980">
    <w:abstractNumId w:val="3"/>
  </w:num>
  <w:num w:numId="29" w16cid:durableId="154153400">
    <w:abstractNumId w:val="32"/>
  </w:num>
  <w:num w:numId="30" w16cid:durableId="366873316">
    <w:abstractNumId w:val="36"/>
  </w:num>
  <w:num w:numId="31" w16cid:durableId="1037966521">
    <w:abstractNumId w:val="22"/>
  </w:num>
  <w:num w:numId="32" w16cid:durableId="1971782157">
    <w:abstractNumId w:val="30"/>
  </w:num>
  <w:num w:numId="33" w16cid:durableId="2094692991">
    <w:abstractNumId w:val="26"/>
  </w:num>
  <w:num w:numId="34" w16cid:durableId="1095132390">
    <w:abstractNumId w:val="17"/>
  </w:num>
  <w:num w:numId="35" w16cid:durableId="1755589573">
    <w:abstractNumId w:val="0"/>
  </w:num>
  <w:num w:numId="36" w16cid:durableId="1059204818">
    <w:abstractNumId w:val="10"/>
  </w:num>
  <w:num w:numId="37" w16cid:durableId="1023554113">
    <w:abstractNumId w:val="8"/>
  </w:num>
  <w:num w:numId="38" w16cid:durableId="1342467967">
    <w:abstractNumId w:val="11"/>
  </w:num>
  <w:num w:numId="39" w16cid:durableId="1277717369">
    <w:abstractNumId w:val="2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EE"/>
    <w:rsid w:val="00002272"/>
    <w:rsid w:val="000324EE"/>
    <w:rsid w:val="00064002"/>
    <w:rsid w:val="000677B9"/>
    <w:rsid w:val="000831BA"/>
    <w:rsid w:val="00091777"/>
    <w:rsid w:val="000A42CC"/>
    <w:rsid w:val="000C6D83"/>
    <w:rsid w:val="000E7DD9"/>
    <w:rsid w:val="0010095E"/>
    <w:rsid w:val="00125B37"/>
    <w:rsid w:val="00131825"/>
    <w:rsid w:val="00187494"/>
    <w:rsid w:val="001F32AE"/>
    <w:rsid w:val="002767FF"/>
    <w:rsid w:val="002800C0"/>
    <w:rsid w:val="0029750F"/>
    <w:rsid w:val="002B18FE"/>
    <w:rsid w:val="002B5493"/>
    <w:rsid w:val="002F18A1"/>
    <w:rsid w:val="00343214"/>
    <w:rsid w:val="003443E2"/>
    <w:rsid w:val="003477E4"/>
    <w:rsid w:val="00361C00"/>
    <w:rsid w:val="00395FA1"/>
    <w:rsid w:val="003E15D4"/>
    <w:rsid w:val="00411CCE"/>
    <w:rsid w:val="0041666E"/>
    <w:rsid w:val="00421060"/>
    <w:rsid w:val="00423985"/>
    <w:rsid w:val="00441974"/>
    <w:rsid w:val="00442CDC"/>
    <w:rsid w:val="00471C19"/>
    <w:rsid w:val="004867E3"/>
    <w:rsid w:val="00494A28"/>
    <w:rsid w:val="004A6BE9"/>
    <w:rsid w:val="004C0004"/>
    <w:rsid w:val="004C5D52"/>
    <w:rsid w:val="0050178C"/>
    <w:rsid w:val="00504702"/>
    <w:rsid w:val="0050519A"/>
    <w:rsid w:val="005072A1"/>
    <w:rsid w:val="00514517"/>
    <w:rsid w:val="00524CB1"/>
    <w:rsid w:val="00545827"/>
    <w:rsid w:val="00560270"/>
    <w:rsid w:val="005C2568"/>
    <w:rsid w:val="005C3C2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2C5"/>
    <w:rsid w:val="00904EC3"/>
    <w:rsid w:val="0090703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D48FE"/>
    <w:rsid w:val="00BD7BD8"/>
    <w:rsid w:val="00BE6ADC"/>
    <w:rsid w:val="00BF2A74"/>
    <w:rsid w:val="00C05BFE"/>
    <w:rsid w:val="00C23CD4"/>
    <w:rsid w:val="00C61C0C"/>
    <w:rsid w:val="00C7537A"/>
    <w:rsid w:val="00C941CB"/>
    <w:rsid w:val="00CC2357"/>
    <w:rsid w:val="00CE3598"/>
    <w:rsid w:val="00CF071A"/>
    <w:rsid w:val="00D058B8"/>
    <w:rsid w:val="00D40718"/>
    <w:rsid w:val="00D56C11"/>
    <w:rsid w:val="00D651F2"/>
    <w:rsid w:val="00D834A0"/>
    <w:rsid w:val="00D872DF"/>
    <w:rsid w:val="00D91E21"/>
    <w:rsid w:val="00DA5470"/>
    <w:rsid w:val="00DA7FCD"/>
    <w:rsid w:val="00E365E1"/>
    <w:rsid w:val="00E3748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5"/>
    <w:docVar w:name="dvlangue" w:val="MT"/>
    <w:docVar w:name="dvnumam" w:val="120"/>
    <w:docVar w:name="dvpe" w:val="772.032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i (UE) Nru 1308/2013, (UE) 2021/2115 u (UE) 2021/2116 fir-rigward tat-tisħiħ tal-pożizzjoni tal-bdiewa fil-katina tal-provvista tal-ikel 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948E99"/>
  <w15:chartTrackingRefBased/>
  <w15:docId w15:val="{207FD4F6-0A2B-4C4D-838F-E74717F0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F18A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8A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8A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8A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8A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8A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8A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2F18A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2F18A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2F18A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F18A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F18A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F18A1"/>
    <w:pPr>
      <w:spacing w:after="120"/>
    </w:pPr>
  </w:style>
  <w:style w:type="paragraph" w:customStyle="1" w:styleId="PageHeading">
    <w:name w:val="PageHeading"/>
    <w:basedOn w:val="Normal"/>
    <w:rsid w:val="002F18A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F18A1"/>
    <w:rPr>
      <w:b/>
    </w:rPr>
  </w:style>
  <w:style w:type="paragraph" w:customStyle="1" w:styleId="NormalBold12a">
    <w:name w:val="NormalBold12a"/>
    <w:basedOn w:val="Normal"/>
    <w:rsid w:val="002F18A1"/>
    <w:pPr>
      <w:spacing w:after="240"/>
    </w:pPr>
    <w:rPr>
      <w:b/>
    </w:rPr>
  </w:style>
  <w:style w:type="paragraph" w:customStyle="1" w:styleId="AmJustText">
    <w:name w:val="AmJustText"/>
    <w:basedOn w:val="Normal"/>
    <w:rsid w:val="002F18A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F18A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F18A1"/>
    <w:pPr>
      <w:spacing w:after="480"/>
      <w:ind w:left="1417"/>
    </w:pPr>
  </w:style>
  <w:style w:type="paragraph" w:customStyle="1" w:styleId="CoverNormal">
    <w:name w:val="CoverNormal"/>
    <w:basedOn w:val="Normal"/>
    <w:rsid w:val="002F18A1"/>
    <w:pPr>
      <w:ind w:left="1418"/>
    </w:pPr>
  </w:style>
  <w:style w:type="paragraph" w:customStyle="1" w:styleId="AmCrossRef">
    <w:name w:val="AmCrossRef"/>
    <w:basedOn w:val="Normal"/>
    <w:rsid w:val="002F18A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F18A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F18A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F18A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F18A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F18A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F18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18A1"/>
    <w:rPr>
      <w:sz w:val="24"/>
      <w:lang w:val="mt-MT"/>
    </w:rPr>
  </w:style>
  <w:style w:type="paragraph" w:customStyle="1" w:styleId="AmOrLang">
    <w:name w:val="AmOrLang"/>
    <w:basedOn w:val="Normal"/>
    <w:rsid w:val="002F18A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F18A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F18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F18A1"/>
    <w:pPr>
      <w:spacing w:before="240"/>
    </w:pPr>
    <w:rPr>
      <w:b/>
    </w:rPr>
  </w:style>
  <w:style w:type="paragraph" w:customStyle="1" w:styleId="EPBody">
    <w:name w:val="EPBody"/>
    <w:basedOn w:val="Normal"/>
    <w:rsid w:val="002F18A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F18A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F18A1"/>
    <w:pPr>
      <w:spacing w:before="480" w:after="240"/>
    </w:pPr>
  </w:style>
  <w:style w:type="paragraph" w:customStyle="1" w:styleId="Lgendesigne">
    <w:name w:val="Légende signe"/>
    <w:basedOn w:val="Normal"/>
    <w:rsid w:val="002F18A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F18A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2F18A1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2F18A1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2F18A1"/>
    <w:rPr>
      <w:sz w:val="24"/>
    </w:rPr>
  </w:style>
  <w:style w:type="paragraph" w:customStyle="1" w:styleId="Normal6">
    <w:name w:val="Normal6"/>
    <w:basedOn w:val="Normal"/>
    <w:link w:val="Normal6Char"/>
    <w:rsid w:val="002F18A1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2F18A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F18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F18A1"/>
    <w:pPr>
      <w:jc w:val="right"/>
    </w:pPr>
    <w:rPr>
      <w:lang w:val="mt-MT"/>
    </w:rPr>
  </w:style>
  <w:style w:type="character" w:styleId="Hyperlink">
    <w:name w:val="Hyperlink"/>
    <w:basedOn w:val="DefaultParagraphFont"/>
    <w:uiPriority w:val="99"/>
    <w:unhideWhenUsed/>
    <w:rsid w:val="002F18A1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rsid w:val="002F18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18A1"/>
    <w:rPr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2F18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18A1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2F18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F18A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8A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18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F18A1"/>
    <w:rPr>
      <w:b/>
      <w:bCs/>
      <w:lang w:val="mt-MT"/>
    </w:rPr>
  </w:style>
  <w:style w:type="paragraph" w:styleId="Revision">
    <w:name w:val="Revision"/>
    <w:hidden/>
    <w:uiPriority w:val="99"/>
    <w:semiHidden/>
    <w:rsid w:val="002F18A1"/>
    <w:rPr>
      <w:sz w:val="24"/>
      <w:lang w:val="mt-MT"/>
    </w:rPr>
  </w:style>
  <w:style w:type="paragraph" w:customStyle="1" w:styleId="CrossRef">
    <w:name w:val="CrossRef"/>
    <w:basedOn w:val="Normal"/>
    <w:rsid w:val="002F18A1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2F18A1"/>
    <w:pPr>
      <w:spacing w:after="240"/>
    </w:pPr>
  </w:style>
  <w:style w:type="paragraph" w:customStyle="1" w:styleId="RollCallVotes">
    <w:name w:val="RollCallVotes"/>
    <w:basedOn w:val="Normal"/>
    <w:rsid w:val="002F18A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F18A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F18A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F18A1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2F18A1"/>
    <w:rPr>
      <w:b/>
      <w:bCs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904EC3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4A6BE9"/>
  </w:style>
  <w:style w:type="paragraph" w:styleId="TOC4">
    <w:name w:val="toc 4"/>
    <w:basedOn w:val="Normal"/>
    <w:next w:val="Normal"/>
    <w:uiPriority w:val="39"/>
    <w:unhideWhenUsed/>
    <w:rsid w:val="004A6BE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A6BE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A6BE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A6BE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A6BE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A6BE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A6BE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A6BE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A6BE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A6BE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A6BE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4A6BE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A6BE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A6BE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A6BE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A6BE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A6BE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A6BE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A6BE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A6BE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A6BE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A6BE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A6BE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A6BE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A6BE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A6BE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A6BE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A6B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A6BE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A6BE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A6BE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A6BE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A6BE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A6BE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A6BE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A6BE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A6BE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A6BE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A6BE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A6BE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A6BE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A6BE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A6BE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A6BE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A6BE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A6BE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A6BE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A6BE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A6BE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A6BE9"/>
    <w:pPr>
      <w:widowControl/>
      <w:numPr>
        <w:numId w:val="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A6BE9"/>
    <w:pPr>
      <w:widowControl/>
      <w:numPr>
        <w:numId w:val="4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A6BE9"/>
    <w:pPr>
      <w:widowControl/>
      <w:numPr>
        <w:numId w:val="5"/>
      </w:numPr>
      <w:tabs>
        <w:tab w:val="num" w:pos="643"/>
        <w:tab w:val="clear" w:pos="1984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A6BE9"/>
    <w:pPr>
      <w:widowControl/>
      <w:numPr>
        <w:numId w:val="6"/>
      </w:numPr>
      <w:tabs>
        <w:tab w:val="num" w:pos="643"/>
        <w:tab w:val="clear" w:pos="2551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A6BE9"/>
    <w:pPr>
      <w:widowControl/>
      <w:numPr>
        <w:numId w:val="7"/>
      </w:numPr>
      <w:tabs>
        <w:tab w:val="num" w:pos="926"/>
        <w:tab w:val="clear" w:pos="3118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A6BE9"/>
    <w:pPr>
      <w:widowControl/>
      <w:numPr>
        <w:numId w:val="8"/>
      </w:numPr>
      <w:tabs>
        <w:tab w:val="num" w:pos="926"/>
        <w:tab w:val="clear" w:pos="3685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A6BE9"/>
    <w:pPr>
      <w:widowControl/>
      <w:numPr>
        <w:numId w:val="9"/>
      </w:numPr>
      <w:tabs>
        <w:tab w:val="num" w:pos="1209"/>
        <w:tab w:val="clear" w:pos="4252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A6BE9"/>
    <w:pPr>
      <w:widowControl/>
      <w:numPr>
        <w:numId w:val="10"/>
      </w:numPr>
      <w:tabs>
        <w:tab w:val="num" w:pos="1209"/>
        <w:tab w:val="clear" w:pos="481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A6BE9"/>
    <w:pPr>
      <w:widowControl/>
      <w:numPr>
        <w:numId w:val="11"/>
      </w:numPr>
      <w:tabs>
        <w:tab w:val="num" w:pos="1492"/>
        <w:tab w:val="clear" w:pos="5386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A6BE9"/>
    <w:pPr>
      <w:widowControl/>
      <w:numPr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A6BE9"/>
    <w:pPr>
      <w:widowControl/>
      <w:numPr>
        <w:ilvl w:val="1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A6BE9"/>
    <w:pPr>
      <w:widowControl/>
      <w:numPr>
        <w:ilvl w:val="2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A6BE9"/>
    <w:pPr>
      <w:widowControl/>
      <w:numPr>
        <w:ilvl w:val="3"/>
        <w:numId w:val="12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A6BE9"/>
    <w:pPr>
      <w:widowControl/>
      <w:numPr>
        <w:ilvl w:val="4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A6BE9"/>
    <w:pPr>
      <w:widowControl/>
      <w:numPr>
        <w:ilvl w:val="5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A6BE9"/>
    <w:pPr>
      <w:widowControl/>
      <w:numPr>
        <w:ilvl w:val="6"/>
        <w:numId w:val="12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A6B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A6B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A6B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A6B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A6BE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A6BE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A6BE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A6BE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A6BE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A6B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A6B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A6B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A6B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A6B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A6BE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A6BE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A6BE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A6BE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A6BE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A6BE9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A6BE9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A6BE9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A6BE9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A6BE9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A6BE9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A6BE9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A6BE9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A6BE9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A6BE9"/>
    <w:pPr>
      <w:widowControl/>
      <w:numPr>
        <w:numId w:val="14"/>
      </w:numPr>
      <w:tabs>
        <w:tab w:val="num" w:pos="643"/>
        <w:tab w:val="clear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A6BE9"/>
    <w:pPr>
      <w:widowControl/>
      <w:numPr>
        <w:numId w:val="15"/>
      </w:numPr>
      <w:tabs>
        <w:tab w:val="num" w:pos="643"/>
        <w:tab w:val="clear" w:pos="1417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A6BE9"/>
    <w:pPr>
      <w:widowControl/>
      <w:numPr>
        <w:numId w:val="16"/>
      </w:numPr>
      <w:tabs>
        <w:tab w:val="num" w:pos="926"/>
        <w:tab w:val="clear" w:pos="1984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A6BE9"/>
    <w:pPr>
      <w:widowControl/>
      <w:numPr>
        <w:numId w:val="17"/>
      </w:numPr>
      <w:tabs>
        <w:tab w:val="num" w:pos="926"/>
        <w:tab w:val="clear" w:pos="2551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A6BE9"/>
    <w:pPr>
      <w:widowControl/>
      <w:numPr>
        <w:numId w:val="18"/>
      </w:numPr>
      <w:tabs>
        <w:tab w:val="num" w:pos="1209"/>
        <w:tab w:val="clear" w:pos="3118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A6BE9"/>
    <w:pPr>
      <w:widowControl/>
      <w:numPr>
        <w:numId w:val="19"/>
      </w:numPr>
      <w:tabs>
        <w:tab w:val="num" w:pos="1209"/>
        <w:tab w:val="clear" w:pos="3685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A6BE9"/>
    <w:pPr>
      <w:widowControl/>
      <w:numPr>
        <w:numId w:val="20"/>
      </w:numPr>
      <w:tabs>
        <w:tab w:val="num" w:pos="1492"/>
        <w:tab w:val="clear" w:pos="425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A6BE9"/>
    <w:pPr>
      <w:widowControl/>
      <w:numPr>
        <w:numId w:val="21"/>
      </w:numPr>
      <w:tabs>
        <w:tab w:val="num" w:pos="1492"/>
        <w:tab w:val="clear" w:pos="4819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A6BE9"/>
    <w:pPr>
      <w:widowControl/>
      <w:numPr>
        <w:numId w:val="22"/>
      </w:numPr>
      <w:tabs>
        <w:tab w:val="num" w:pos="360"/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A6BE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A6BE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A6BE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A6BE9"/>
    <w:pPr>
      <w:widowControl/>
      <w:numPr>
        <w:numId w:val="23"/>
      </w:numPr>
      <w:tabs>
        <w:tab w:val="num" w:pos="643"/>
        <w:tab w:val="clear" w:pos="850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A6BE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A6BE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A6BE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A6BE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A6BE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A6B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A6BE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A6BE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A6BE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A6BE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A6BE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A6BE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A6BE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A6BE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A6BE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A6BE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A6BE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A6BE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A6BE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A6BE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A6BE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A6BE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A6BE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A6BE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A6BE9"/>
    <w:pPr>
      <w:spacing w:before="240"/>
    </w:pPr>
  </w:style>
  <w:style w:type="paragraph" w:customStyle="1" w:styleId="Accordtitre">
    <w:name w:val="Accord titre"/>
    <w:basedOn w:val="Normal"/>
    <w:rsid w:val="004A6BE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A6BE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A6BE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A6BE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A6BE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A6BE9"/>
    <w:pPr>
      <w:spacing w:after="240"/>
    </w:pPr>
  </w:style>
  <w:style w:type="paragraph" w:customStyle="1" w:styleId="Annexetitre">
    <w:name w:val="Annexe titre"/>
    <w:basedOn w:val="Normal"/>
    <w:next w:val="Normal"/>
    <w:rsid w:val="004A6BE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A6BE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A6BE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A6BE9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4A6BE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A6B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A6B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A6B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A6BE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A6BE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A6BE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A6BE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A6BE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A6BE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A6BE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A6BE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A6BE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A6BE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A6BE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A6BE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A6BE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A6BE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A6BE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A6BE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A6BE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A6BE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A6BE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A6BE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A6BE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A6BE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A6BE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BEntRefer">
    <w:name w:val="TBEntRefer"/>
    <w:basedOn w:val="TechnicalBlockBase"/>
    <w:rsid w:val="004A6BE9"/>
    <w:pPr>
      <w:widowControl/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EntLogo">
    <w:name w:val="TBEntLogo"/>
    <w:basedOn w:val="TechnicalBlockBase"/>
    <w:rsid w:val="004A6BE9"/>
    <w:pPr>
      <w:widowControl/>
      <w:tabs>
        <w:tab w:val="right" w:pos="9639"/>
      </w:tabs>
      <w:spacing w:before="0" w:after="0" w:line="360" w:lineRule="auto"/>
      <w:ind w:left="0" w:right="0"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Genredudocument">
    <w:name w:val="TBGenredudocument"/>
    <w:basedOn w:val="TechnicalBlockBase"/>
    <w:rsid w:val="004A6BE9"/>
    <w:pPr>
      <w:widowControl/>
      <w:spacing w:before="0" w:after="40" w:line="240" w:lineRule="auto"/>
      <w:ind w:left="0" w:right="0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EntEU">
    <w:name w:val="TBEntEU"/>
    <w:basedOn w:val="TechnicalBlockBase"/>
    <w:link w:val="EntEUChar"/>
    <w:rsid w:val="004A6BE9"/>
    <w:pPr>
      <w:widowControl/>
      <w:spacing w:before="240" w:after="24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36"/>
      <w:u w:val="none"/>
    </w:rPr>
  </w:style>
  <w:style w:type="paragraph" w:customStyle="1" w:styleId="TBSousEmbargo">
    <w:name w:val="TBSousEmbargo"/>
    <w:basedOn w:val="TechnicalBlockBase"/>
    <w:qFormat/>
    <w:rsid w:val="004A6BE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  <w:lang w:eastAsia="fr-BE"/>
    </w:rPr>
  </w:style>
  <w:style w:type="character" w:customStyle="1" w:styleId="EntEUChar">
    <w:name w:val="EntEU Char"/>
    <w:basedOn w:val="DefaultParagraphFont"/>
    <w:link w:val="TBEntEU"/>
    <w:rsid w:val="004A6BE9"/>
    <w:rPr>
      <w:rFonts w:ascii="Arial" w:hAnsi="Arial" w:cs="Arial"/>
      <w:b/>
      <w:sz w:val="36"/>
      <w:szCs w:val="36"/>
      <w:u w:color="606060"/>
      <w:lang w:val="mt-MT" w:eastAsia="en-US"/>
    </w:rPr>
  </w:style>
  <w:style w:type="paragraph" w:customStyle="1" w:styleId="TBSubjectTable">
    <w:name w:val="TBSubjectTable"/>
    <w:basedOn w:val="TechnicalBlockBase"/>
    <w:rsid w:val="004A6BE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4A6BE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4A6BE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A6BE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character" w:customStyle="1" w:styleId="TechnicalBlockBaseChar">
    <w:name w:val="TechnicalBlockBase Char"/>
    <w:basedOn w:val="EntEUChar"/>
    <w:link w:val="TechnicalBlockBase"/>
    <w:rsid w:val="004A6BE9"/>
    <w:rPr>
      <w:rFonts w:ascii="Arial New Roman" w:hAnsi="Arial New Roman" w:cs="Arial"/>
      <w:b/>
      <w:i/>
      <w:dstrike/>
      <w:color w:val="606060"/>
      <w:w w:val="98"/>
      <w:sz w:val="10"/>
      <w:szCs w:val="36"/>
      <w:u w:val="words" w:color="606060"/>
      <w:lang w:val="mt-MT" w:eastAsia="en-US"/>
    </w:rPr>
  </w:style>
  <w:style w:type="paragraph" w:customStyle="1" w:styleId="HeaderCouncilLarge">
    <w:name w:val="Header Council Large"/>
    <w:basedOn w:val="Normal"/>
    <w:link w:val="HeaderCouncilLargeChar"/>
    <w:rsid w:val="004A6BE9"/>
    <w:pPr>
      <w:widowControl/>
      <w:spacing w:after="440" w:line="360" w:lineRule="auto"/>
    </w:pPr>
    <w:rPr>
      <w:rFonts w:ascii="Arial" w:hAnsi="Arial" w:cs="Arial"/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EntEUChar"/>
    <w:link w:val="HeaderCouncilLarge"/>
    <w:rsid w:val="004A6BE9"/>
    <w:rPr>
      <w:rFonts w:ascii="Arial" w:hAnsi="Arial" w:cs="Arial"/>
      <w:b/>
      <w:sz w:val="2"/>
      <w:szCs w:val="24"/>
      <w:u w:color="606060"/>
      <w:lang w:val="mt-MT" w:eastAsia="en-US"/>
    </w:rPr>
  </w:style>
  <w:style w:type="paragraph" w:customStyle="1" w:styleId="FooterText">
    <w:name w:val="Footer Text"/>
    <w:basedOn w:val="Normal"/>
    <w:rsid w:val="004A6BE9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A6BE9"/>
    <w:rPr>
      <w:color w:val="808080"/>
    </w:rPr>
  </w:style>
  <w:style w:type="paragraph" w:customStyle="1" w:styleId="NormalJustified">
    <w:name w:val="Normal Justified"/>
    <w:basedOn w:val="Normal"/>
    <w:rsid w:val="004A6BE9"/>
    <w:pPr>
      <w:widowControl/>
      <w:spacing w:before="200" w:after="120" w:line="360" w:lineRule="auto"/>
      <w:jc w:val="both"/>
    </w:pPr>
    <w:rPr>
      <w:rFonts w:eastAsia="Calibri"/>
      <w:szCs w:val="22"/>
      <w:lang w:eastAsia="mt-MT" w:bidi="mt-MT"/>
    </w:rPr>
  </w:style>
  <w:style w:type="paragraph" w:customStyle="1" w:styleId="FinalLine">
    <w:name w:val="Final Line"/>
    <w:basedOn w:val="Normal"/>
    <w:next w:val="Normal"/>
    <w:rsid w:val="004A6BE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mt-MT" w:bidi="mt-MT"/>
    </w:rPr>
  </w:style>
  <w:style w:type="paragraph" w:customStyle="1" w:styleId="FinalLineLandscape">
    <w:name w:val="Final Line (Landscape)"/>
    <w:basedOn w:val="Normal"/>
    <w:next w:val="Normal"/>
    <w:rsid w:val="004A6BE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mt-MT" w:bidi="mt-MT"/>
    </w:rPr>
  </w:style>
  <w:style w:type="paragraph" w:customStyle="1" w:styleId="PointManual">
    <w:name w:val="Point Manual"/>
    <w:basedOn w:val="Normal"/>
    <w:rsid w:val="004A6BE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mt-MT" w:bidi="mt-MT"/>
    </w:rPr>
  </w:style>
  <w:style w:type="paragraph" w:customStyle="1" w:styleId="PointManual1">
    <w:name w:val="Point Manual (1)"/>
    <w:basedOn w:val="Normal"/>
    <w:rsid w:val="004A6BE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mt-MT" w:bidi="mt-MT"/>
    </w:rPr>
  </w:style>
  <w:style w:type="paragraph" w:customStyle="1" w:styleId="PointManual2">
    <w:name w:val="Point Manual (2)"/>
    <w:basedOn w:val="Normal"/>
    <w:rsid w:val="004A6BE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mt-MT" w:bidi="mt-MT"/>
    </w:rPr>
  </w:style>
  <w:style w:type="paragraph" w:customStyle="1" w:styleId="PointManual3">
    <w:name w:val="Point Manual (3)"/>
    <w:basedOn w:val="Normal"/>
    <w:rsid w:val="004A6BE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mt-MT" w:bidi="mt-MT"/>
    </w:rPr>
  </w:style>
  <w:style w:type="paragraph" w:customStyle="1" w:styleId="PointManual4">
    <w:name w:val="Point Manual (4)"/>
    <w:basedOn w:val="Normal"/>
    <w:rsid w:val="004A6BE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mt-MT" w:bidi="mt-MT"/>
    </w:rPr>
  </w:style>
  <w:style w:type="paragraph" w:customStyle="1" w:styleId="PointDoubleManual">
    <w:name w:val="Point Double Manual"/>
    <w:basedOn w:val="Normal"/>
    <w:rsid w:val="004A6BE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mt-MT" w:bidi="mt-MT"/>
    </w:rPr>
  </w:style>
  <w:style w:type="paragraph" w:customStyle="1" w:styleId="PointDoubleManual1">
    <w:name w:val="Point Double Manual (1)"/>
    <w:basedOn w:val="Normal"/>
    <w:rsid w:val="004A6BE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mt-MT" w:bidi="mt-MT"/>
    </w:rPr>
  </w:style>
  <w:style w:type="paragraph" w:customStyle="1" w:styleId="PointDoubleManual2">
    <w:name w:val="Point Double Manual (2)"/>
    <w:basedOn w:val="Normal"/>
    <w:rsid w:val="004A6BE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mt-MT" w:bidi="mt-MT"/>
    </w:rPr>
  </w:style>
  <w:style w:type="paragraph" w:customStyle="1" w:styleId="PointDoubleManual3">
    <w:name w:val="Point Double Manual (3)"/>
    <w:basedOn w:val="Normal"/>
    <w:rsid w:val="004A6BE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mt-MT" w:bidi="mt-MT"/>
    </w:rPr>
  </w:style>
  <w:style w:type="paragraph" w:customStyle="1" w:styleId="PointDoubleManual4">
    <w:name w:val="Point Double Manual (4)"/>
    <w:basedOn w:val="Normal"/>
    <w:rsid w:val="004A6BE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mt-MT" w:bidi="mt-MT"/>
    </w:rPr>
  </w:style>
  <w:style w:type="paragraph" w:customStyle="1" w:styleId="Pointabc">
    <w:name w:val="Point abc"/>
    <w:basedOn w:val="Normal"/>
    <w:rsid w:val="004A6BE9"/>
    <w:pPr>
      <w:widowControl/>
      <w:numPr>
        <w:ilvl w:val="1"/>
        <w:numId w:val="35"/>
      </w:numPr>
      <w:tabs>
        <w:tab w:val="clear" w:pos="567"/>
        <w:tab w:val="num" w:pos="1209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abc1">
    <w:name w:val="Point abc (1)"/>
    <w:basedOn w:val="Normal"/>
    <w:rsid w:val="004A6BE9"/>
    <w:pPr>
      <w:widowControl/>
      <w:numPr>
        <w:ilvl w:val="3"/>
        <w:numId w:val="35"/>
      </w:numPr>
      <w:tabs>
        <w:tab w:val="clear" w:pos="1134"/>
        <w:tab w:val="num" w:pos="1209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abc2">
    <w:name w:val="Point abc (2)"/>
    <w:basedOn w:val="Normal"/>
    <w:rsid w:val="004A6BE9"/>
    <w:pPr>
      <w:widowControl/>
      <w:numPr>
        <w:ilvl w:val="5"/>
        <w:numId w:val="35"/>
      </w:numPr>
      <w:tabs>
        <w:tab w:val="num" w:pos="1209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abc3">
    <w:name w:val="Point abc (3)"/>
    <w:basedOn w:val="Normal"/>
    <w:rsid w:val="004A6BE9"/>
    <w:pPr>
      <w:widowControl/>
      <w:numPr>
        <w:ilvl w:val="7"/>
        <w:numId w:val="35"/>
      </w:numPr>
      <w:tabs>
        <w:tab w:val="num" w:pos="1209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abc4">
    <w:name w:val="Point abc (4)"/>
    <w:basedOn w:val="Normal"/>
    <w:rsid w:val="004A6BE9"/>
    <w:pPr>
      <w:widowControl/>
      <w:numPr>
        <w:ilvl w:val="8"/>
        <w:numId w:val="35"/>
      </w:numPr>
      <w:tabs>
        <w:tab w:val="num" w:pos="1209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123">
    <w:name w:val="Point 123"/>
    <w:basedOn w:val="Normal"/>
    <w:rsid w:val="004A6BE9"/>
    <w:pPr>
      <w:widowControl/>
      <w:numPr>
        <w:numId w:val="35"/>
      </w:numPr>
      <w:tabs>
        <w:tab w:val="clear" w:pos="567"/>
        <w:tab w:val="num" w:pos="1209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1231">
    <w:name w:val="Point 123 (1)"/>
    <w:basedOn w:val="Normal"/>
    <w:rsid w:val="004A6BE9"/>
    <w:pPr>
      <w:widowControl/>
      <w:numPr>
        <w:ilvl w:val="2"/>
        <w:numId w:val="35"/>
      </w:numPr>
      <w:tabs>
        <w:tab w:val="clear" w:pos="1134"/>
        <w:tab w:val="num" w:pos="1209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1232">
    <w:name w:val="Point 123 (2)"/>
    <w:basedOn w:val="Normal"/>
    <w:rsid w:val="004A6BE9"/>
    <w:pPr>
      <w:widowControl/>
      <w:numPr>
        <w:ilvl w:val="4"/>
        <w:numId w:val="35"/>
      </w:numPr>
      <w:tabs>
        <w:tab w:val="num" w:pos="1209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1233">
    <w:name w:val="Point 123 (3)"/>
    <w:basedOn w:val="Normal"/>
    <w:rsid w:val="004A6BE9"/>
    <w:pPr>
      <w:widowControl/>
      <w:numPr>
        <w:ilvl w:val="6"/>
        <w:numId w:val="35"/>
      </w:numPr>
      <w:tabs>
        <w:tab w:val="num" w:pos="1209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">
    <w:name w:val="Point ivx"/>
    <w:basedOn w:val="Normal"/>
    <w:rsid w:val="004A6BE9"/>
    <w:pPr>
      <w:widowControl/>
      <w:numPr>
        <w:numId w:val="36"/>
      </w:numPr>
      <w:tabs>
        <w:tab w:val="clear" w:pos="567"/>
        <w:tab w:val="num" w:pos="1492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1">
    <w:name w:val="Point ivx (1)"/>
    <w:basedOn w:val="Normal"/>
    <w:rsid w:val="004A6BE9"/>
    <w:pPr>
      <w:widowControl/>
      <w:numPr>
        <w:ilvl w:val="1"/>
        <w:numId w:val="36"/>
      </w:numPr>
      <w:tabs>
        <w:tab w:val="clear" w:pos="1134"/>
        <w:tab w:val="num" w:pos="1492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2">
    <w:name w:val="Point ivx (2)"/>
    <w:basedOn w:val="Normal"/>
    <w:rsid w:val="004A6BE9"/>
    <w:pPr>
      <w:widowControl/>
      <w:numPr>
        <w:ilvl w:val="2"/>
        <w:numId w:val="36"/>
      </w:numPr>
      <w:tabs>
        <w:tab w:val="num" w:pos="1492"/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3">
    <w:name w:val="Point ivx (3)"/>
    <w:basedOn w:val="Normal"/>
    <w:rsid w:val="004A6BE9"/>
    <w:pPr>
      <w:widowControl/>
      <w:numPr>
        <w:ilvl w:val="3"/>
        <w:numId w:val="36"/>
      </w:numPr>
      <w:tabs>
        <w:tab w:val="num" w:pos="1492"/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Pointivx4">
    <w:name w:val="Point ivx (4)"/>
    <w:basedOn w:val="Normal"/>
    <w:rsid w:val="004A6BE9"/>
    <w:pPr>
      <w:widowControl/>
      <w:numPr>
        <w:ilvl w:val="4"/>
        <w:numId w:val="36"/>
      </w:numPr>
      <w:tabs>
        <w:tab w:val="num" w:pos="1492"/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Bullet">
    <w:name w:val="Bullet"/>
    <w:basedOn w:val="Normal"/>
    <w:rsid w:val="004A6BE9"/>
    <w:pPr>
      <w:widowControl/>
      <w:numPr>
        <w:numId w:val="34"/>
      </w:numPr>
      <w:tabs>
        <w:tab w:val="clear" w:pos="567"/>
        <w:tab w:val="num" w:pos="926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">
    <w:name w:val="Dash"/>
    <w:basedOn w:val="Normal"/>
    <w:rsid w:val="004A6BE9"/>
    <w:pPr>
      <w:widowControl/>
      <w:numPr>
        <w:numId w:val="24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1">
    <w:name w:val="Dash 1"/>
    <w:basedOn w:val="Normal"/>
    <w:rsid w:val="004A6BE9"/>
    <w:pPr>
      <w:widowControl/>
      <w:numPr>
        <w:numId w:val="25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2">
    <w:name w:val="Dash 2"/>
    <w:basedOn w:val="Normal"/>
    <w:rsid w:val="004A6BE9"/>
    <w:pPr>
      <w:widowControl/>
      <w:numPr>
        <w:numId w:val="26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3">
    <w:name w:val="Dash 3"/>
    <w:basedOn w:val="Normal"/>
    <w:rsid w:val="004A6BE9"/>
    <w:pPr>
      <w:widowControl/>
      <w:numPr>
        <w:numId w:val="27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4">
    <w:name w:val="Dash 4"/>
    <w:basedOn w:val="Normal"/>
    <w:rsid w:val="004A6BE9"/>
    <w:pPr>
      <w:widowControl/>
      <w:numPr>
        <w:numId w:val="2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mt-MT" w:bidi="mt-MT"/>
    </w:rPr>
  </w:style>
  <w:style w:type="paragraph" w:customStyle="1" w:styleId="DashEqual">
    <w:name w:val="Dash Equal"/>
    <w:basedOn w:val="Dash"/>
    <w:rsid w:val="004A6BE9"/>
    <w:pPr>
      <w:numPr>
        <w:numId w:val="29"/>
      </w:numPr>
      <w:tabs>
        <w:tab w:val="clear" w:pos="567"/>
        <w:tab w:val="num" w:pos="926"/>
      </w:tabs>
      <w:ind w:left="0" w:firstLine="0"/>
    </w:pPr>
  </w:style>
  <w:style w:type="paragraph" w:customStyle="1" w:styleId="DashEqual1">
    <w:name w:val="Dash Equal 1"/>
    <w:basedOn w:val="Dash1"/>
    <w:rsid w:val="004A6BE9"/>
    <w:pPr>
      <w:numPr>
        <w:numId w:val="30"/>
      </w:numPr>
      <w:tabs>
        <w:tab w:val="clear" w:pos="1134"/>
        <w:tab w:val="num" w:pos="1209"/>
      </w:tabs>
      <w:ind w:left="0" w:firstLine="0"/>
    </w:pPr>
  </w:style>
  <w:style w:type="paragraph" w:customStyle="1" w:styleId="DashEqual2">
    <w:name w:val="Dash Equal 2"/>
    <w:basedOn w:val="Dash2"/>
    <w:rsid w:val="004A6BE9"/>
    <w:pPr>
      <w:numPr>
        <w:numId w:val="31"/>
      </w:numPr>
      <w:tabs>
        <w:tab w:val="num" w:pos="1492"/>
        <w:tab w:val="clear" w:pos="1701"/>
      </w:tabs>
      <w:ind w:left="0" w:firstLine="0"/>
    </w:pPr>
  </w:style>
  <w:style w:type="paragraph" w:customStyle="1" w:styleId="DashEqual3">
    <w:name w:val="Dash Equal 3"/>
    <w:basedOn w:val="Dash3"/>
    <w:rsid w:val="004A6BE9"/>
    <w:pPr>
      <w:numPr>
        <w:numId w:val="32"/>
      </w:numPr>
      <w:tabs>
        <w:tab w:val="num" w:pos="360"/>
        <w:tab w:val="clear" w:pos="2268"/>
      </w:tabs>
      <w:ind w:left="0" w:firstLine="0"/>
    </w:pPr>
  </w:style>
  <w:style w:type="paragraph" w:customStyle="1" w:styleId="DashEqual4">
    <w:name w:val="Dash Equal 4"/>
    <w:basedOn w:val="Dash4"/>
    <w:rsid w:val="004A6BE9"/>
    <w:pPr>
      <w:numPr>
        <w:numId w:val="33"/>
      </w:numPr>
      <w:tabs>
        <w:tab w:val="num" w:pos="643"/>
        <w:tab w:val="clear" w:pos="2835"/>
      </w:tabs>
      <w:ind w:left="0" w:firstLine="0"/>
    </w:pPr>
  </w:style>
  <w:style w:type="paragraph" w:customStyle="1" w:styleId="HeadingLeft">
    <w:name w:val="Heading Left"/>
    <w:basedOn w:val="Normal"/>
    <w:next w:val="Normal"/>
    <w:rsid w:val="004A6BE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mt-MT" w:bidi="mt-MT"/>
    </w:rPr>
  </w:style>
  <w:style w:type="paragraph" w:customStyle="1" w:styleId="HeadingIVX">
    <w:name w:val="Heading IVX"/>
    <w:basedOn w:val="HeadingLeft"/>
    <w:next w:val="Normal"/>
    <w:rsid w:val="004A6BE9"/>
    <w:pPr>
      <w:numPr>
        <w:numId w:val="39"/>
      </w:numPr>
      <w:tabs>
        <w:tab w:val="clear" w:pos="567"/>
        <w:tab w:val="num" w:pos="926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4A6BE9"/>
    <w:pPr>
      <w:numPr>
        <w:numId w:val="38"/>
      </w:numPr>
      <w:tabs>
        <w:tab w:val="clear" w:pos="567"/>
        <w:tab w:val="num" w:pos="643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4A6BE9"/>
    <w:pPr>
      <w:numPr>
        <w:numId w:val="37"/>
      </w:numPr>
      <w:tabs>
        <w:tab w:val="num" w:pos="360"/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4A6BE9"/>
    <w:pPr>
      <w:jc w:val="center"/>
    </w:pPr>
  </w:style>
  <w:style w:type="paragraph" w:customStyle="1" w:styleId="Jardin">
    <w:name w:val="Jardin"/>
    <w:basedOn w:val="Normal"/>
    <w:rsid w:val="004A6BE9"/>
    <w:pPr>
      <w:widowControl/>
      <w:spacing w:before="200"/>
      <w:jc w:val="center"/>
    </w:pPr>
    <w:rPr>
      <w:rFonts w:eastAsia="Calibri"/>
      <w:szCs w:val="22"/>
      <w:lang w:eastAsia="mt-MT" w:bidi="mt-MT"/>
    </w:rPr>
  </w:style>
  <w:style w:type="paragraph" w:customStyle="1" w:styleId="Amendment">
    <w:name w:val="Amendment"/>
    <w:basedOn w:val="Normal"/>
    <w:next w:val="Normal"/>
    <w:rsid w:val="004A6BE9"/>
    <w:pPr>
      <w:widowControl/>
      <w:spacing w:before="120" w:after="120" w:line="360" w:lineRule="auto"/>
    </w:pPr>
    <w:rPr>
      <w:rFonts w:eastAsia="Calibri"/>
      <w:i/>
      <w:szCs w:val="22"/>
      <w:u w:val="single"/>
      <w:lang w:eastAsia="mt-MT" w:bidi="mt-MT"/>
    </w:rPr>
  </w:style>
  <w:style w:type="paragraph" w:customStyle="1" w:styleId="AmendmentList">
    <w:name w:val="Amendment List"/>
    <w:basedOn w:val="Normal"/>
    <w:rsid w:val="004A6BE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mt-MT" w:bidi="mt-MT"/>
    </w:rPr>
  </w:style>
  <w:style w:type="paragraph" w:customStyle="1" w:styleId="ReplyRE">
    <w:name w:val="Reply RE"/>
    <w:basedOn w:val="Normal"/>
    <w:next w:val="Normal"/>
    <w:rsid w:val="004A6BE9"/>
    <w:pPr>
      <w:widowControl/>
      <w:spacing w:before="120" w:after="480"/>
      <w:contextualSpacing/>
    </w:pPr>
    <w:rPr>
      <w:rFonts w:eastAsia="Calibri"/>
      <w:szCs w:val="22"/>
      <w:lang w:eastAsia="mt-MT" w:bidi="mt-MT"/>
    </w:rPr>
  </w:style>
  <w:style w:type="paragraph" w:customStyle="1" w:styleId="ReplyBold">
    <w:name w:val="Reply Bold"/>
    <w:basedOn w:val="ReplyRE"/>
    <w:next w:val="Normal"/>
    <w:rsid w:val="004A6BE9"/>
    <w:rPr>
      <w:b/>
    </w:rPr>
  </w:style>
  <w:style w:type="paragraph" w:customStyle="1" w:styleId="Annex">
    <w:name w:val="Annex"/>
    <w:basedOn w:val="Normal"/>
    <w:next w:val="Normal"/>
    <w:rsid w:val="004A6BE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mt-MT" w:bidi="mt-MT"/>
    </w:rPr>
  </w:style>
  <w:style w:type="paragraph" w:customStyle="1" w:styleId="Sign">
    <w:name w:val="Sign"/>
    <w:basedOn w:val="Normal"/>
    <w:rsid w:val="004A6BE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mt-MT" w:bidi="mt-MT"/>
    </w:rPr>
  </w:style>
  <w:style w:type="paragraph" w:customStyle="1" w:styleId="NotDeclassified">
    <w:name w:val="Not Declassified"/>
    <w:basedOn w:val="Normal"/>
    <w:next w:val="Normal"/>
    <w:rsid w:val="004A6BE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mt-MT" w:bidi="mt-MT"/>
    </w:rPr>
  </w:style>
  <w:style w:type="character" w:customStyle="1" w:styleId="NotDeclassifiedCharacter">
    <w:name w:val="Not Declassified Character"/>
    <w:basedOn w:val="DefaultParagraphFont"/>
    <w:rsid w:val="004A6BE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A6BE9"/>
    <w:pPr>
      <w:widowControl/>
      <w:spacing w:before="120" w:after="120"/>
    </w:pPr>
    <w:rPr>
      <w:rFonts w:eastAsia="Calibri"/>
      <w:szCs w:val="22"/>
      <w:lang w:eastAsia="mt-MT" w:bidi="mt-MT"/>
    </w:rPr>
  </w:style>
  <w:style w:type="paragraph" w:customStyle="1" w:styleId="TBEntInstit">
    <w:name w:val="TBEntInstit"/>
    <w:basedOn w:val="TechnicalBlockBase"/>
    <w:link w:val="EntInstitChar"/>
    <w:rsid w:val="004A6BE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szCs w:val="20"/>
      <w:u w:val="none"/>
      <w:lang w:eastAsia="fr-BE"/>
    </w:rPr>
  </w:style>
  <w:style w:type="paragraph" w:customStyle="1" w:styleId="TBEntReferNew">
    <w:name w:val="TBEntReferNew"/>
    <w:basedOn w:val="TechnicalBlockBase"/>
    <w:rsid w:val="004A6BE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</w:rPr>
  </w:style>
  <w:style w:type="paragraph" w:customStyle="1" w:styleId="TBInstitution">
    <w:name w:val="TBInstitution"/>
    <w:basedOn w:val="TechnicalBlockBase"/>
    <w:rsid w:val="004A6BE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  <w:lang w:eastAsia="fr-BE"/>
    </w:rPr>
  </w:style>
  <w:style w:type="paragraph" w:customStyle="1" w:styleId="TBNormalTechnicalBlock">
    <w:name w:val="TBNormalTechnicalBlock"/>
    <w:basedOn w:val="TechnicalBlockBase"/>
    <w:link w:val="TBNormalTechnicalBlockChar"/>
    <w:rsid w:val="004A6BE9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  <w:lang w:eastAsia="fr-BE"/>
    </w:rPr>
  </w:style>
  <w:style w:type="paragraph" w:customStyle="1" w:styleId="TBInstitutionSubwordmark">
    <w:name w:val="TBInstitutionSubwordmark"/>
    <w:basedOn w:val="TechnicalBlockBase"/>
    <w:rsid w:val="004A6BE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szCs w:val="20"/>
      <w:u w:val="none"/>
      <w:lang w:eastAsia="fr-BE"/>
    </w:rPr>
  </w:style>
  <w:style w:type="paragraph" w:styleId="ListBullet2">
    <w:name w:val="List Bullet 2"/>
    <w:basedOn w:val="Normal"/>
    <w:uiPriority w:val="99"/>
    <w:unhideWhenUsed/>
    <w:rsid w:val="004A6BE9"/>
    <w:pPr>
      <w:spacing w:line="216" w:lineRule="auto"/>
      <w:contextualSpacing/>
    </w:pPr>
    <w:rPr>
      <w:rFonts w:ascii="Arial" w:hAnsi="Arial" w:cs="Arial"/>
      <w:sz w:val="23"/>
      <w:lang w:eastAsia="mt-MT" w:bidi="mt-MT"/>
    </w:rPr>
  </w:style>
  <w:style w:type="character" w:customStyle="1" w:styleId="EntInstitChar">
    <w:name w:val="EntInstit Char"/>
    <w:basedOn w:val="DefaultParagraphFont"/>
    <w:link w:val="TBEntInstit"/>
    <w:rsid w:val="004A6BE9"/>
    <w:rPr>
      <w:rFonts w:ascii="Arial" w:hAnsi="Arial" w:cs="Arial"/>
      <w:b/>
      <w:sz w:val="23"/>
      <w:u w:color="606060"/>
      <w:lang w:val="mt-MT"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A6BE9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mt-MT" w:eastAsia="fr-BE"/>
    </w:rPr>
  </w:style>
  <w:style w:type="paragraph" w:customStyle="1" w:styleId="Heading11">
    <w:name w:val="Heading 11"/>
    <w:basedOn w:val="Normal"/>
    <w:next w:val="Text1"/>
    <w:uiPriority w:val="9"/>
    <w:qFormat/>
    <w:rsid w:val="004A6BE9"/>
    <w:pPr>
      <w:keepNext/>
      <w:widowControl/>
      <w:tabs>
        <w:tab w:val="left" w:pos="850"/>
      </w:tabs>
      <w:spacing w:before="360" w:after="120" w:line="360" w:lineRule="auto"/>
      <w:outlineLvl w:val="0"/>
    </w:pPr>
    <w:rPr>
      <w:b/>
      <w:smallCaps/>
      <w:szCs w:val="32"/>
      <w:lang w:eastAsia="mt-MT" w:bidi="mt-MT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4A6BE9"/>
    <w:pPr>
      <w:keepNext/>
      <w:widowControl/>
      <w:tabs>
        <w:tab w:val="num" w:pos="567"/>
        <w:tab w:val="left" w:pos="850"/>
      </w:tabs>
      <w:spacing w:before="120" w:after="120" w:line="360" w:lineRule="auto"/>
      <w:outlineLvl w:val="1"/>
    </w:pPr>
    <w:rPr>
      <w:b/>
      <w:szCs w:val="26"/>
      <w:lang w:eastAsia="mt-MT" w:bidi="mt-MT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4A6BE9"/>
    <w:pPr>
      <w:keepNext/>
      <w:widowControl/>
      <w:tabs>
        <w:tab w:val="num" w:pos="567"/>
        <w:tab w:val="left" w:pos="850"/>
      </w:tabs>
      <w:spacing w:before="120" w:after="120" w:line="360" w:lineRule="auto"/>
      <w:outlineLvl w:val="2"/>
    </w:pPr>
    <w:rPr>
      <w:i/>
      <w:szCs w:val="24"/>
      <w:lang w:eastAsia="mt-MT" w:bidi="mt-MT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4A6BE9"/>
    <w:pPr>
      <w:keepNext/>
      <w:widowControl/>
      <w:tabs>
        <w:tab w:val="num" w:pos="567"/>
        <w:tab w:val="left" w:pos="850"/>
      </w:tabs>
      <w:spacing w:before="120" w:after="120" w:line="360" w:lineRule="auto"/>
      <w:outlineLvl w:val="3"/>
    </w:pPr>
    <w:rPr>
      <w:iCs/>
      <w:szCs w:val="22"/>
      <w:lang w:eastAsia="mt-MT" w:bidi="mt-MT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4A6BE9"/>
    <w:pPr>
      <w:keepNext/>
      <w:widowControl/>
      <w:tabs>
        <w:tab w:val="num" w:pos="567"/>
        <w:tab w:val="left" w:pos="850"/>
      </w:tabs>
      <w:spacing w:before="120" w:after="120" w:line="360" w:lineRule="auto"/>
      <w:outlineLvl w:val="4"/>
    </w:pPr>
    <w:rPr>
      <w:szCs w:val="22"/>
      <w:lang w:eastAsia="mt-MT" w:bidi="mt-MT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4A6BE9"/>
    <w:pPr>
      <w:keepNext/>
      <w:widowControl/>
      <w:tabs>
        <w:tab w:val="num" w:pos="567"/>
        <w:tab w:val="left" w:pos="850"/>
      </w:tabs>
      <w:spacing w:before="120" w:after="120" w:line="360" w:lineRule="auto"/>
      <w:outlineLvl w:val="5"/>
    </w:pPr>
    <w:rPr>
      <w:szCs w:val="22"/>
      <w:lang w:eastAsia="mt-MT" w:bidi="mt-MT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4A6BE9"/>
    <w:pPr>
      <w:keepNext/>
      <w:widowControl/>
      <w:tabs>
        <w:tab w:val="num" w:pos="567"/>
        <w:tab w:val="left" w:pos="850"/>
      </w:tabs>
      <w:spacing w:before="120" w:after="120" w:line="360" w:lineRule="auto"/>
      <w:outlineLvl w:val="6"/>
    </w:pPr>
    <w:rPr>
      <w:iCs/>
      <w:szCs w:val="22"/>
      <w:lang w:eastAsia="mt-MT" w:bidi="mt-MT"/>
    </w:rPr>
  </w:style>
  <w:style w:type="character" w:customStyle="1" w:styleId="Heading1Char1">
    <w:name w:val="Heading 1 Char1"/>
    <w:basedOn w:val="DefaultParagraphFont"/>
    <w:uiPriority w:val="9"/>
    <w:rsid w:val="004A6BE9"/>
    <w:rPr>
      <w:rFonts w:ascii="Calibri Light" w:eastAsia="Times New Roman" w:hAnsi="Calibri Light" w:cs="Times New Roman"/>
      <w:color w:val="2F5496"/>
      <w:sz w:val="32"/>
      <w:szCs w:val="32"/>
      <w:lang w:val="mt-MT" w:eastAsia="mt-MT" w:bidi="mt-MT"/>
    </w:rPr>
  </w:style>
  <w:style w:type="paragraph" w:customStyle="1" w:styleId="CommentQuotedText">
    <w:name w:val="CommentQuotedText"/>
    <w:rsid w:val="004A6BE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mt-MT" w:bidi="mt-MT"/>
    </w:rPr>
  </w:style>
  <w:style w:type="paragraph" w:customStyle="1" w:styleId="CommentFwdQuotedText">
    <w:name w:val="CommentFwdQuotedText"/>
    <w:basedOn w:val="Normal"/>
    <w:rsid w:val="004A6BE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mt-MT" w:bidi="mt-MT"/>
    </w:rPr>
  </w:style>
  <w:style w:type="paragraph" w:customStyle="1" w:styleId="CommentReplyFwdQuotedText">
    <w:name w:val="CommentReplyFwdQuotedText"/>
    <w:basedOn w:val="CommentFwdQuotedText"/>
    <w:rsid w:val="004A6BE9"/>
    <w:pPr>
      <w:pBdr>
        <w:top w:val="none" w:sz="0" w:space="0" w:color="auto"/>
        <w:left w:val="single" w:sz="4" w:space="20" w:color="auto"/>
      </w:pBdr>
    </w:pPr>
  </w:style>
  <w:style w:type="paragraph" w:styleId="ListParagraph">
    <w:name w:val="List Paragraph"/>
    <w:basedOn w:val="Normal"/>
    <w:uiPriority w:val="34"/>
    <w:qFormat/>
    <w:rsid w:val="004A6BE9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mt-MT" w:bidi="mt-MT"/>
    </w:rPr>
  </w:style>
  <w:style w:type="character" w:customStyle="1" w:styleId="Heading2Char1">
    <w:name w:val="Heading 2 Char1"/>
    <w:basedOn w:val="DefaultParagraphFont"/>
    <w:uiPriority w:val="9"/>
    <w:semiHidden/>
    <w:rsid w:val="004A6BE9"/>
    <w:rPr>
      <w:rFonts w:ascii="Calibri Light" w:eastAsia="Times New Roman" w:hAnsi="Calibri Light" w:cs="Times New Roman"/>
      <w:color w:val="2F5496"/>
      <w:sz w:val="26"/>
      <w:szCs w:val="26"/>
      <w:lang w:val="mt-MT" w:eastAsia="mt-MT" w:bidi="mt-MT"/>
    </w:rPr>
  </w:style>
  <w:style w:type="character" w:customStyle="1" w:styleId="Heading3Char1">
    <w:name w:val="Heading 3 Char1"/>
    <w:basedOn w:val="DefaultParagraphFont"/>
    <w:uiPriority w:val="9"/>
    <w:semiHidden/>
    <w:rsid w:val="004A6BE9"/>
    <w:rPr>
      <w:rFonts w:ascii="Calibri Light" w:eastAsia="Times New Roman" w:hAnsi="Calibri Light" w:cs="Times New Roman"/>
      <w:color w:val="1F3763"/>
      <w:sz w:val="24"/>
      <w:szCs w:val="24"/>
      <w:lang w:val="mt-MT" w:eastAsia="mt-MT" w:bidi="mt-MT"/>
    </w:rPr>
  </w:style>
  <w:style w:type="character" w:customStyle="1" w:styleId="Heading4Char1">
    <w:name w:val="Heading 4 Char1"/>
    <w:basedOn w:val="DefaultParagraphFont"/>
    <w:uiPriority w:val="9"/>
    <w:semiHidden/>
    <w:rsid w:val="004A6BE9"/>
    <w:rPr>
      <w:rFonts w:ascii="Calibri Light" w:eastAsia="Times New Roman" w:hAnsi="Calibri Light" w:cs="Times New Roman"/>
      <w:i/>
      <w:iCs/>
      <w:color w:val="2F5496"/>
      <w:sz w:val="24"/>
      <w:lang w:val="mt-MT" w:eastAsia="mt-MT" w:bidi="mt-MT"/>
    </w:rPr>
  </w:style>
  <w:style w:type="character" w:customStyle="1" w:styleId="Heading5Char1">
    <w:name w:val="Heading 5 Char1"/>
    <w:basedOn w:val="DefaultParagraphFont"/>
    <w:uiPriority w:val="9"/>
    <w:semiHidden/>
    <w:rsid w:val="004A6BE9"/>
    <w:rPr>
      <w:rFonts w:ascii="Calibri Light" w:eastAsia="Times New Roman" w:hAnsi="Calibri Light" w:cs="Times New Roman"/>
      <w:color w:val="2F5496"/>
      <w:sz w:val="24"/>
      <w:lang w:val="mt-MT" w:eastAsia="mt-MT" w:bidi="mt-MT"/>
    </w:rPr>
  </w:style>
  <w:style w:type="character" w:customStyle="1" w:styleId="Heading6Char1">
    <w:name w:val="Heading 6 Char1"/>
    <w:basedOn w:val="DefaultParagraphFont"/>
    <w:uiPriority w:val="9"/>
    <w:semiHidden/>
    <w:rsid w:val="004A6BE9"/>
    <w:rPr>
      <w:rFonts w:ascii="Calibri Light" w:eastAsia="Times New Roman" w:hAnsi="Calibri Light" w:cs="Times New Roman"/>
      <w:color w:val="1F3763"/>
      <w:sz w:val="24"/>
      <w:lang w:val="mt-MT" w:eastAsia="mt-MT" w:bidi="mt-MT"/>
    </w:rPr>
  </w:style>
  <w:style w:type="character" w:customStyle="1" w:styleId="Heading7Char1">
    <w:name w:val="Heading 7 Char1"/>
    <w:basedOn w:val="DefaultParagraphFont"/>
    <w:uiPriority w:val="9"/>
    <w:semiHidden/>
    <w:rsid w:val="004A6BE9"/>
    <w:rPr>
      <w:rFonts w:ascii="Calibri Light" w:eastAsia="Times New Roman" w:hAnsi="Calibri Light" w:cs="Times New Roman"/>
      <w:i/>
      <w:iCs/>
      <w:color w:val="1F3763"/>
      <w:sz w:val="24"/>
      <w:lang w:val="mt-MT" w:eastAsia="mt-MT" w:bidi="mt-MT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A6BE9"/>
    <w:rPr>
      <w:color w:val="954F72"/>
      <w:u w:val="single"/>
    </w:rPr>
  </w:style>
  <w:style w:type="character" w:styleId="FollowedHyperlink">
    <w:name w:val="FollowedHyperlink"/>
    <w:basedOn w:val="DefaultParagraphFont"/>
    <w:rsid w:val="004A6B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Relationship Id="rId2" Type="http://schemas.openxmlformats.org/officeDocument/2006/relationships/hyperlink" Target="http://data.europa.eu/eli/C/2025/34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2026-09-01T09:41:00Z</dcterms:created>
  <dcterms:modified xsi:type="dcterms:W3CDTF">2026-09-01T09:41:00Z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