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B388BD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21DF" w:rsidP="0010095E" w14:paraId="5A98EEB6" w14:textId="598AEA16">
            <w:pPr>
              <w:pStyle w:val="EPName"/>
            </w:pPr>
            <w:r w:rsidRPr="006E21DF">
              <w:t>Европейски</w:t>
            </w:r>
            <w:r w:rsidRPr="006E21DF" w:rsidR="00370AEB">
              <w:t xml:space="preserve"> парламент</w:t>
            </w:r>
          </w:p>
          <w:p w:rsidR="00751A4A" w:rsidRPr="006E21DF" w:rsidP="005F1B17" w14:paraId="380A96EE" w14:textId="018D8C2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21DF">
              <w:t>2024</w:t>
            </w:r>
            <w:r w:rsidR="002B0AA1">
              <w:t> – </w:t>
            </w:r>
            <w:r w:rsidRPr="006E21DF" w:rsidR="00817416">
              <w:t>202</w:t>
            </w:r>
            <w:r w:rsidRPr="006E21D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E21DF" w:rsidP="0010095E" w14:paraId="094D0800" w14:textId="77777777">
            <w:pPr>
              <w:pStyle w:val="EPLogo"/>
            </w:pPr>
            <w:r w:rsidRPr="006E21D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21DF" w:rsidP="004C5D52" w14:paraId="7358A405" w14:textId="77777777">
      <w:pPr>
        <w:pStyle w:val="LineTop"/>
      </w:pPr>
    </w:p>
    <w:p w:rsidR="00680577" w:rsidRPr="006E21DF" w:rsidP="00680577" w14:paraId="2A993E97" w14:textId="054F5B13">
      <w:pPr>
        <w:pStyle w:val="EPBodyTA1"/>
      </w:pPr>
      <w:r w:rsidRPr="006E21DF">
        <w:t>ПРИЕТИ ТЕКСТОВЕ</w:t>
      </w:r>
    </w:p>
    <w:p w:rsidR="00D058B8" w:rsidRPr="006E21DF" w:rsidP="00D058B8" w14:paraId="5402FA8D" w14:textId="77777777">
      <w:pPr>
        <w:pStyle w:val="LineBottom"/>
      </w:pPr>
    </w:p>
    <w:p w:rsidR="00370AEB" w:rsidRPr="006E21DF" w:rsidP="00370AEB" w14:paraId="6D5C8E4B" w14:textId="25AEB117">
      <w:pPr>
        <w:pStyle w:val="ATHeading1"/>
      </w:pPr>
      <w:bookmarkStart w:id="0" w:name="TANumber"/>
      <w:r w:rsidRPr="006E21DF">
        <w:t>P10_TA(2026)0</w:t>
      </w:r>
      <w:r w:rsidR="00D44A98">
        <w:rPr>
          <w:lang w:val="en-GB"/>
        </w:rPr>
        <w:t>2</w:t>
      </w:r>
      <w:r w:rsidRPr="006E21DF">
        <w:t>00</w:t>
      </w:r>
      <w:bookmarkEnd w:id="0"/>
    </w:p>
    <w:p w:rsidR="00370AEB" w:rsidRPr="006E21DF" w:rsidP="002B0AA1" w14:paraId="0553FE51" w14:textId="2D93D41A">
      <w:pPr>
        <w:pStyle w:val="ATHeading2"/>
      </w:pPr>
      <w:r>
        <w:t xml:space="preserve">Мерки, необходими за изпълнението на протокола, приложен към </w:t>
      </w:r>
      <w:r w:rsidR="009242BA">
        <w:t>ДЕС и ДФЕС</w:t>
      </w:r>
      <w:r>
        <w:t>, относно финансовите последици от изтичането на срока на договора за ЕОВС и Изследователския фонд за въглища и стомана</w:t>
      </w:r>
    </w:p>
    <w:p w:rsidR="00370AEB" w:rsidRPr="006E21DF" w:rsidP="00370AEB" w14:paraId="2AC99D33" w14:textId="77777777">
      <w:pPr>
        <w:rPr>
          <w:i/>
          <w:vanish/>
        </w:rPr>
      </w:pPr>
      <w:r>
        <w:rPr>
          <w:i/>
        </w:rPr>
        <w:fldChar w:fldCharType="begin"/>
      </w:r>
      <w:r w:rsidRPr="006E21DF">
        <w:rPr>
          <w:i/>
        </w:rPr>
        <w:instrText xml:space="preserve"> TC"(</w:instrText>
      </w:r>
      <w:bookmarkStart w:id="1" w:name="DocNumber"/>
      <w:r w:rsidRPr="006E21DF">
        <w:rPr>
          <w:i/>
        </w:rPr>
        <w:instrText>A10-0158/2026</w:instrText>
      </w:r>
      <w:bookmarkEnd w:id="1"/>
      <w:r w:rsidRPr="006E21DF">
        <w:rPr>
          <w:i/>
        </w:rPr>
        <w:instrText xml:space="preserve"> - Докладчик: Йохан Ван Овертвелд)"\l3 \n&gt; \* MERGEFORMAT </w:instrText>
      </w:r>
      <w:r>
        <w:rPr>
          <w:i/>
        </w:rPr>
        <w:fldChar w:fldCharType="end"/>
      </w:r>
    </w:p>
    <w:p w:rsidR="00370AEB" w:rsidRPr="006E21DF" w:rsidP="00370AEB" w14:paraId="220F4189" w14:textId="77777777">
      <w:pPr>
        <w:rPr>
          <w:vanish/>
        </w:rPr>
      </w:pPr>
      <w:bookmarkStart w:id="2" w:name="Commission"/>
      <w:r w:rsidRPr="006E21DF">
        <w:rPr>
          <w:vanish/>
        </w:rPr>
        <w:t>Комисия по бюджети</w:t>
      </w:r>
      <w:bookmarkEnd w:id="2"/>
    </w:p>
    <w:p w:rsidR="00370AEB" w:rsidRPr="006E21DF" w:rsidP="00370AEB" w14:paraId="4A5A6998" w14:textId="77777777">
      <w:pPr>
        <w:rPr>
          <w:vanish/>
        </w:rPr>
      </w:pPr>
      <w:bookmarkStart w:id="3" w:name="PE"/>
      <w:r w:rsidRPr="006E21DF">
        <w:rPr>
          <w:vanish/>
        </w:rPr>
        <w:t>PE786.896</w:t>
      </w:r>
      <w:bookmarkEnd w:id="3"/>
    </w:p>
    <w:p w:rsidR="00370AEB" w:rsidRPr="006E21DF" w:rsidP="00370AEB" w14:paraId="31212EEF" w14:textId="1B3CA936">
      <w:pPr>
        <w:pStyle w:val="ATHeading3"/>
      </w:pPr>
      <w:bookmarkStart w:id="4" w:name="Sujet"/>
      <w:r w:rsidRPr="006E21DF">
        <w:t xml:space="preserve">Законодателна резолюция на Европейския парламент от </w:t>
      </w:r>
      <w:r w:rsidR="002B0AA1">
        <w:t>16 юни</w:t>
      </w:r>
      <w:r w:rsidRPr="006E21DF">
        <w:t xml:space="preserve"> 2026 г. относно решението на Съвета за определяне на мерките, необходими за изпълнението на Протокол № 37 относно финансовите последици от изтичането на срока на Договора за ЕОВС и Изследователския фонд за въглища и стомана, приложен към Договора за Европейския съюз и към Договора за функционирането на Европейския съюз, и за отмяна на Решение № 2003/76/ЕО</w:t>
      </w:r>
      <w:bookmarkEnd w:id="4"/>
      <w:r w:rsidRPr="006E21DF">
        <w:t xml:space="preserve"> </w:t>
      </w:r>
      <w:bookmarkStart w:id="5" w:name="References"/>
      <w:r w:rsidRPr="006E21DF">
        <w:t>(06884/2026 – C10-0091/2026 – 2025/0390(APP))</w:t>
      </w:r>
      <w:bookmarkEnd w:id="5"/>
    </w:p>
    <w:p w:rsidR="00370AEB" w:rsidRPr="006E21DF" w:rsidP="00370AEB" w14:paraId="17C2DA90" w14:textId="77777777"/>
    <w:p w:rsidR="008E37BB" w:rsidRPr="006E21DF" w:rsidP="008E37BB" w14:paraId="59FDC406" w14:textId="77777777">
      <w:pPr>
        <w:pStyle w:val="NormalBold"/>
      </w:pPr>
      <w:bookmarkStart w:id="6" w:name="TextBodyBegin"/>
      <w:bookmarkEnd w:id="6"/>
      <w:r w:rsidRPr="006E21DF">
        <w:t>(Специална законодателна процедура – одобрение)</w:t>
      </w:r>
    </w:p>
    <w:p w:rsidR="008E37BB" w:rsidRPr="006E21DF" w:rsidP="008E37BB" w14:paraId="7755F870" w14:textId="77777777">
      <w:pPr>
        <w:pStyle w:val="EPComma"/>
      </w:pPr>
      <w:r w:rsidRPr="006E21DF">
        <w:rPr>
          <w:i/>
        </w:rPr>
        <w:t>Европейският парламент</w:t>
      </w:r>
      <w:r w:rsidRPr="006E21DF">
        <w:t>,</w:t>
      </w:r>
    </w:p>
    <w:p w:rsidR="008E37BB" w:rsidRPr="006E21DF" w:rsidP="008E37BB" w14:paraId="3828CDDC" w14:textId="77777777">
      <w:pPr>
        <w:pStyle w:val="NormalHanging12a"/>
      </w:pPr>
      <w:r w:rsidRPr="006E21DF">
        <w:t>–</w:t>
      </w:r>
      <w:r w:rsidRPr="006E21DF">
        <w:tab/>
        <w:t>като взе предвид проекта на решение на Съвета (06884/2026),</w:t>
      </w:r>
    </w:p>
    <w:p w:rsidR="008E37BB" w:rsidRPr="006E21DF" w:rsidP="008E37BB" w14:paraId="106E3D6D" w14:textId="77777777">
      <w:pPr>
        <w:pStyle w:val="NormalHanging12a"/>
      </w:pPr>
      <w:r w:rsidRPr="006E21DF">
        <w:t>–</w:t>
      </w:r>
      <w:r w:rsidRPr="006E21DF">
        <w:tab/>
        <w:t>като взе предвид искането за одобрение, представено от Съвета в съответствие с Протокол № 37 относно финансовите последици от изтичането на срока на Договора за ЕОВС и Изследователския фонд за въглища и стомана, приложен към Договора за Европейския съюз и към Договора за функционирането на Европейския съюз, и по-специално член 2, първа алинея от него (C10</w:t>
      </w:r>
      <w:r w:rsidRPr="006E21DF">
        <w:noBreakHyphen/>
        <w:t>0091/2026),</w:t>
      </w:r>
    </w:p>
    <w:p w:rsidR="008E37BB" w:rsidRPr="006E21DF" w:rsidP="008E37BB" w14:paraId="70374387" w14:textId="77777777">
      <w:pPr>
        <w:pStyle w:val="NormalHanging12a"/>
      </w:pPr>
      <w:r w:rsidRPr="006E21DF">
        <w:t>–</w:t>
      </w:r>
      <w:r w:rsidRPr="006E21DF">
        <w:tab/>
        <w:t>като взе предвид член 107, параграфи 1 и 4 от своя Правилник за дейността,</w:t>
      </w:r>
    </w:p>
    <w:p w:rsidR="008E37BB" w:rsidRPr="006E21DF" w:rsidP="008E37BB" w14:paraId="13269672" w14:textId="77777777">
      <w:pPr>
        <w:pStyle w:val="NormalHanging12a"/>
      </w:pPr>
      <w:r w:rsidRPr="006E21DF">
        <w:t>–</w:t>
      </w:r>
      <w:r w:rsidRPr="006E21DF">
        <w:tab/>
        <w:t>като взе предвид препоръката на комисията по бюджети (A10-0158/2026),</w:t>
      </w:r>
    </w:p>
    <w:p w:rsidR="008E37BB" w:rsidRPr="006E21DF" w:rsidP="008E37BB" w14:paraId="4A664564" w14:textId="77777777">
      <w:pPr>
        <w:pStyle w:val="NormalHanging12a"/>
      </w:pPr>
      <w:r w:rsidRPr="006E21DF">
        <w:t>1.</w:t>
      </w:r>
      <w:r w:rsidRPr="006E21DF">
        <w:tab/>
        <w:t>дава своето одобрение за проекта на решение на Съвета;</w:t>
      </w:r>
    </w:p>
    <w:p w:rsidR="00E365E1" w:rsidRPr="00D44A98" w:rsidP="00D44A98" w14:paraId="394B4733" w14:textId="01344633">
      <w:pPr>
        <w:pStyle w:val="NormalHanging12a"/>
        <w:rPr>
          <w:lang w:val="en-GB"/>
        </w:rPr>
      </w:pPr>
      <w:r w:rsidRPr="006E21DF">
        <w:t>2.</w:t>
      </w:r>
      <w:r w:rsidRPr="006E21DF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sectPr w:rsidSect="006E21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21DF" w14:paraId="436F5F3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21DF" w14:paraId="18E98BA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21DF" w14:paraId="281C830E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21DF" w14:paraId="5199A26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21DF" w14:paraId="1AA5E13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E21DF" w14:paraId="1FCD54C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1822095">
    <w:abstractNumId w:val="9"/>
  </w:num>
  <w:num w:numId="2" w16cid:durableId="1153832855">
    <w:abstractNumId w:val="9"/>
  </w:num>
  <w:num w:numId="3" w16cid:durableId="1614365664">
    <w:abstractNumId w:val="7"/>
  </w:num>
  <w:num w:numId="4" w16cid:durableId="1000085131">
    <w:abstractNumId w:val="7"/>
  </w:num>
  <w:num w:numId="5" w16cid:durableId="865951174">
    <w:abstractNumId w:val="6"/>
  </w:num>
  <w:num w:numId="6" w16cid:durableId="1349796928">
    <w:abstractNumId w:val="6"/>
  </w:num>
  <w:num w:numId="7" w16cid:durableId="1422724246">
    <w:abstractNumId w:val="5"/>
  </w:num>
  <w:num w:numId="8" w16cid:durableId="1343241576">
    <w:abstractNumId w:val="5"/>
  </w:num>
  <w:num w:numId="9" w16cid:durableId="108668333">
    <w:abstractNumId w:val="4"/>
  </w:num>
  <w:num w:numId="10" w16cid:durableId="1909336610">
    <w:abstractNumId w:val="4"/>
  </w:num>
  <w:num w:numId="11" w16cid:durableId="397166192">
    <w:abstractNumId w:val="8"/>
  </w:num>
  <w:num w:numId="12" w16cid:durableId="193084658">
    <w:abstractNumId w:val="8"/>
  </w:num>
  <w:num w:numId="13" w16cid:durableId="1921450133">
    <w:abstractNumId w:val="3"/>
  </w:num>
  <w:num w:numId="14" w16cid:durableId="556085636">
    <w:abstractNumId w:val="3"/>
  </w:num>
  <w:num w:numId="15" w16cid:durableId="1732845602">
    <w:abstractNumId w:val="2"/>
  </w:num>
  <w:num w:numId="16" w16cid:durableId="2066761113">
    <w:abstractNumId w:val="2"/>
  </w:num>
  <w:num w:numId="17" w16cid:durableId="2016414457">
    <w:abstractNumId w:val="1"/>
  </w:num>
  <w:num w:numId="18" w16cid:durableId="624897288">
    <w:abstractNumId w:val="1"/>
  </w:num>
  <w:num w:numId="19" w16cid:durableId="1914779804">
    <w:abstractNumId w:val="0"/>
  </w:num>
  <w:num w:numId="20" w16cid:durableId="692192780">
    <w:abstractNumId w:val="0"/>
  </w:num>
  <w:num w:numId="21" w16cid:durableId="426268011">
    <w:abstractNumId w:val="9"/>
  </w:num>
  <w:num w:numId="22" w16cid:durableId="1400790464">
    <w:abstractNumId w:val="7"/>
  </w:num>
  <w:num w:numId="23" w16cid:durableId="736972488">
    <w:abstractNumId w:val="6"/>
  </w:num>
  <w:num w:numId="24" w16cid:durableId="1994792104">
    <w:abstractNumId w:val="5"/>
  </w:num>
  <w:num w:numId="25" w16cid:durableId="1719083350">
    <w:abstractNumId w:val="4"/>
  </w:num>
  <w:num w:numId="26" w16cid:durableId="816797539">
    <w:abstractNumId w:val="8"/>
  </w:num>
  <w:num w:numId="27" w16cid:durableId="574246676">
    <w:abstractNumId w:val="3"/>
  </w:num>
  <w:num w:numId="28" w16cid:durableId="569392677">
    <w:abstractNumId w:val="2"/>
  </w:num>
  <w:num w:numId="29" w16cid:durableId="1834027468">
    <w:abstractNumId w:val="1"/>
  </w:num>
  <w:num w:numId="30" w16cid:durableId="611910097">
    <w:abstractNumId w:val="0"/>
  </w:num>
  <w:num w:numId="31" w16cid:durableId="465315214">
    <w:abstractNumId w:val="9"/>
  </w:num>
  <w:num w:numId="32" w16cid:durableId="1535921122">
    <w:abstractNumId w:val="7"/>
  </w:num>
  <w:num w:numId="33" w16cid:durableId="1595895666">
    <w:abstractNumId w:val="6"/>
  </w:num>
  <w:num w:numId="34" w16cid:durableId="800416816">
    <w:abstractNumId w:val="5"/>
  </w:num>
  <w:num w:numId="35" w16cid:durableId="769273211">
    <w:abstractNumId w:val="4"/>
  </w:num>
  <w:num w:numId="36" w16cid:durableId="2144153020">
    <w:abstractNumId w:val="8"/>
  </w:num>
  <w:num w:numId="37" w16cid:durableId="305013810">
    <w:abstractNumId w:val="3"/>
  </w:num>
  <w:num w:numId="38" w16cid:durableId="1209149854">
    <w:abstractNumId w:val="2"/>
  </w:num>
  <w:num w:numId="39" w16cid:durableId="465203799">
    <w:abstractNumId w:val="1"/>
  </w:num>
  <w:num w:numId="40" w16cid:durableId="35783041">
    <w:abstractNumId w:val="0"/>
  </w:num>
  <w:num w:numId="41" w16cid:durableId="1632711860">
    <w:abstractNumId w:val="10"/>
  </w:num>
  <w:num w:numId="42" w16cid:durableId="146243164">
    <w:abstractNumId w:val="10"/>
  </w:num>
  <w:num w:numId="43" w16cid:durableId="1668170152">
    <w:abstractNumId w:val="10"/>
  </w:num>
  <w:num w:numId="44" w16cid:durableId="20902309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AA1"/>
    <w:rsid w:val="002B18FE"/>
    <w:rsid w:val="002B5493"/>
    <w:rsid w:val="00317230"/>
    <w:rsid w:val="00343214"/>
    <w:rsid w:val="00361C00"/>
    <w:rsid w:val="00370AE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21D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77A"/>
    <w:rsid w:val="00817416"/>
    <w:rsid w:val="00842779"/>
    <w:rsid w:val="00865F67"/>
    <w:rsid w:val="00867EC6"/>
    <w:rsid w:val="00881A7B"/>
    <w:rsid w:val="008840E5"/>
    <w:rsid w:val="00887B3E"/>
    <w:rsid w:val="008C2AC6"/>
    <w:rsid w:val="008E37BB"/>
    <w:rsid w:val="009242B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A9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8/2026"/>
    <w:docVar w:name="dvlangue" w:val="BG"/>
    <w:docVar w:name="dvnumam" w:val="0"/>
    <w:docVar w:name="dvpe" w:val="786.896"/>
    <w:docVar w:name="dvrapporteur" w:val="Докладчик: "/>
    <w:docVar w:name="dvstar" w:val="***"/>
    <w:docVar w:name="dvtitre" w:val="Законодателна резолюция на Европейския парламент от ... 2026 г. относно решението на Съвета за определяне на мерките, необходими за изпълнението на Протокол № 37 относно финансовите последици от изтичането на срока на Договора за ЕОВС и Изследователския фонд за въглища и стомана, приложен към Договора за Европейския съюз и към Договора за функционирането на Европейския съюз, и за отмяна на Решение № 2003/76/ЕО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83DF531"/>
  <w15:chartTrackingRefBased/>
  <w15:docId w15:val="{0435A494-9A30-4F1D-8C2B-69EAE51C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E37BB"/>
    <w:rPr>
      <w:b/>
    </w:rPr>
  </w:style>
  <w:style w:type="paragraph" w:customStyle="1" w:styleId="NormalHanging12a">
    <w:name w:val="NormalHanging12a"/>
    <w:basedOn w:val="Normal"/>
    <w:rsid w:val="008E37BB"/>
    <w:pPr>
      <w:spacing w:after="240"/>
      <w:ind w:left="567" w:hanging="567"/>
    </w:pPr>
  </w:style>
  <w:style w:type="paragraph" w:customStyle="1" w:styleId="EPComma">
    <w:name w:val="EPComma"/>
    <w:basedOn w:val="Normal"/>
    <w:rsid w:val="008E37BB"/>
    <w:pPr>
      <w:spacing w:before="480" w:after="240"/>
    </w:pPr>
  </w:style>
  <w:style w:type="paragraph" w:styleId="Revision">
    <w:name w:val="Revision"/>
    <w:hidden/>
    <w:uiPriority w:val="99"/>
    <w:semiHidden/>
    <w:rsid w:val="002B0AA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2026-06-16T14:29:00Z</dcterms:created>
  <dcterms:modified xsi:type="dcterms:W3CDTF">2026-06-16T14:29:00Z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