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757992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2161" w:rsidP="0010095E" w14:paraId="5CA6AA6F" w14:textId="26E3018F">
            <w:pPr>
              <w:pStyle w:val="EPName"/>
            </w:pPr>
            <w:r w:rsidRPr="00D42161">
              <w:t>Evropský parlament</w:t>
            </w:r>
          </w:p>
          <w:p w:rsidR="00751A4A" w:rsidRPr="00D42161" w:rsidP="005F1B17" w14:paraId="00E5533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2161">
              <w:t>2024</w:t>
            </w:r>
            <w:r w:rsidRPr="00D42161" w:rsidR="00817416">
              <w:t>-202</w:t>
            </w:r>
            <w:r w:rsidRPr="00D4216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42161" w:rsidP="0010095E" w14:paraId="78B65E96" w14:textId="77777777">
            <w:pPr>
              <w:pStyle w:val="EPLogo"/>
            </w:pPr>
            <w:r w:rsidRPr="00D4216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2161" w:rsidP="004C5D52" w14:paraId="469A56F0" w14:textId="77777777">
      <w:pPr>
        <w:pStyle w:val="LineTop"/>
      </w:pPr>
    </w:p>
    <w:p w:rsidR="00680577" w:rsidRPr="00D42161" w:rsidP="00680577" w14:paraId="2A0607C3" w14:textId="686D15BB">
      <w:pPr>
        <w:pStyle w:val="EPBodyTA1"/>
      </w:pPr>
      <w:r w:rsidRPr="00D42161">
        <w:t>PŘIJATÉ TEXTY</w:t>
      </w:r>
    </w:p>
    <w:p w:rsidR="00D058B8" w:rsidRPr="00D42161" w:rsidP="00D058B8" w14:paraId="44647DC2" w14:textId="77777777">
      <w:pPr>
        <w:pStyle w:val="LineBottom"/>
      </w:pPr>
    </w:p>
    <w:p w:rsidR="00EA4BBD" w:rsidRPr="00D42161" w:rsidP="00EA4BBD" w14:paraId="0F24C97E" w14:textId="07ABDAB0">
      <w:pPr>
        <w:pStyle w:val="ATHeading1"/>
      </w:pPr>
      <w:bookmarkStart w:id="0" w:name="TANumber"/>
      <w:r w:rsidRPr="00D42161">
        <w:t>P10_</w:t>
      </w:r>
      <w:r w:rsidRPr="00D42161">
        <w:t>TA(</w:t>
      </w:r>
      <w:r w:rsidRPr="00D42161">
        <w:t>2026)0</w:t>
      </w:r>
      <w:bookmarkEnd w:id="0"/>
      <w:r w:rsidR="00225CC4">
        <w:t>200</w:t>
      </w:r>
    </w:p>
    <w:p w:rsidR="00EA4BBD" w:rsidRPr="00D42161" w:rsidP="00566406" w14:paraId="68EF34CA" w14:textId="36A9AC8D">
      <w:pPr>
        <w:pStyle w:val="ATHeading2"/>
      </w:pPr>
      <w:r>
        <w:t>Opatření nutná k provedení Protokolu o finančních důsledcích uplynutí doby platnosti Smlouvy o ESUO a o Výzkumném fondu pro uhlí a ocel, připojeného ke Smlouvě o Evropské unii a ke Smlouvě o fungování Evropské unie</w:t>
      </w:r>
    </w:p>
    <w:p w:rsidR="00EA4BBD" w:rsidRPr="00D42161" w:rsidP="00EA4BBD" w14:paraId="000791F3" w14:textId="77777777">
      <w:pPr>
        <w:rPr>
          <w:i/>
          <w:vanish/>
        </w:rPr>
      </w:pPr>
      <w:r>
        <w:rPr>
          <w:i/>
        </w:rPr>
        <w:fldChar w:fldCharType="begin"/>
      </w:r>
      <w:r w:rsidRPr="00D42161">
        <w:rPr>
          <w:i/>
        </w:rPr>
        <w:instrText xml:space="preserve"> TC"(</w:instrText>
      </w:r>
      <w:bookmarkStart w:id="1" w:name="DocNumber"/>
      <w:r w:rsidRPr="00D42161">
        <w:rPr>
          <w:i/>
        </w:rPr>
        <w:instrText>A10-0158/2026</w:instrText>
      </w:r>
      <w:bookmarkEnd w:id="1"/>
      <w:r w:rsidRPr="00D42161">
        <w:rPr>
          <w:i/>
        </w:rPr>
        <w:instrText xml:space="preserve"> - Zpravodaj: Johan Van Overtveldt)"\l3 \n&gt; \* MERGEFORMAT </w:instrText>
      </w:r>
      <w:r>
        <w:rPr>
          <w:i/>
        </w:rPr>
        <w:fldChar w:fldCharType="end"/>
      </w:r>
    </w:p>
    <w:p w:rsidR="00EA4BBD" w:rsidRPr="00D42161" w:rsidP="00EA4BBD" w14:paraId="3D16CB5C" w14:textId="77777777">
      <w:pPr>
        <w:rPr>
          <w:vanish/>
        </w:rPr>
      </w:pPr>
      <w:bookmarkStart w:id="2" w:name="Commission"/>
      <w:r w:rsidRPr="00D42161">
        <w:rPr>
          <w:vanish/>
        </w:rPr>
        <w:t>Rozpočtový výbor</w:t>
      </w:r>
      <w:bookmarkEnd w:id="2"/>
    </w:p>
    <w:p w:rsidR="00EA4BBD" w:rsidRPr="00D42161" w:rsidP="00EA4BBD" w14:paraId="5E7001B8" w14:textId="77777777">
      <w:pPr>
        <w:rPr>
          <w:vanish/>
        </w:rPr>
      </w:pPr>
      <w:bookmarkStart w:id="3" w:name="PE"/>
      <w:r w:rsidRPr="00D42161">
        <w:rPr>
          <w:vanish/>
        </w:rPr>
        <w:t>PE786.896</w:t>
      </w:r>
      <w:bookmarkEnd w:id="3"/>
    </w:p>
    <w:p w:rsidR="00EA4BBD" w:rsidRPr="00D42161" w:rsidP="00EA4BBD" w14:paraId="017D4746" w14:textId="4A396B45">
      <w:pPr>
        <w:pStyle w:val="ATHeading3"/>
      </w:pPr>
      <w:bookmarkStart w:id="4" w:name="Sujet"/>
      <w:r w:rsidRPr="00D42161">
        <w:t>Legislativní usnesení Evropského parlamentu ze dne</w:t>
      </w:r>
      <w:r w:rsidR="00CE7765">
        <w:t xml:space="preserve"> </w:t>
      </w:r>
      <w:r w:rsidR="00F6225E">
        <w:t>16</w:t>
      </w:r>
      <w:r w:rsidR="00CE7765">
        <w:t>. června</w:t>
      </w:r>
      <w:r w:rsidRPr="00D42161">
        <w:t xml:space="preserve"> 2026 k návrhu rozhodnutí Rady, kterým se stanoví opatření nutná k provedení Protokolu č. 37 o finančních důsledcích uplynutí doby platnosti Smlouvy o ESUO a o Výzkumném fondu pro uhlí a ocel, připojeného ke Smlouvě o Evropské unii a ke Smlouvě o fungování Evropské unie, a kterým se zrušuje rozhodnutí č. 2003/76/ES</w:t>
      </w:r>
      <w:bookmarkEnd w:id="4"/>
      <w:r w:rsidRPr="00D42161">
        <w:t xml:space="preserve"> </w:t>
      </w:r>
      <w:bookmarkStart w:id="5" w:name="References"/>
      <w:r w:rsidRPr="00D42161">
        <w:t>(06884/2026 – C10-0091/</w:t>
      </w:r>
      <w:r w:rsidRPr="00D42161">
        <w:t>2026 – 2025</w:t>
      </w:r>
      <w:r w:rsidRPr="00D42161">
        <w:t>/0390(APP))</w:t>
      </w:r>
      <w:bookmarkEnd w:id="5"/>
    </w:p>
    <w:p w:rsidR="00EA4BBD" w:rsidRPr="00D42161" w:rsidP="00EA4BBD" w14:paraId="0316E0E5" w14:textId="77777777"/>
    <w:p w:rsidR="00C50157" w:rsidRPr="00D42161" w:rsidP="00C50157" w14:paraId="62A8D20F" w14:textId="77777777">
      <w:pPr>
        <w:pStyle w:val="NormalBold"/>
      </w:pPr>
      <w:bookmarkStart w:id="6" w:name="TextBodyBegin"/>
      <w:bookmarkEnd w:id="6"/>
      <w:r w:rsidRPr="00D42161">
        <w:t>(Zvláštní legislativní postup – souhlas)</w:t>
      </w:r>
    </w:p>
    <w:p w:rsidR="00C50157" w:rsidRPr="00D42161" w:rsidP="00C50157" w14:paraId="018F70DB" w14:textId="77777777">
      <w:pPr>
        <w:pStyle w:val="EPComma"/>
      </w:pPr>
      <w:r w:rsidRPr="00D42161">
        <w:rPr>
          <w:i/>
        </w:rPr>
        <w:t>Evropský parlament</w:t>
      </w:r>
      <w:r w:rsidRPr="00D42161">
        <w:t>,</w:t>
      </w:r>
    </w:p>
    <w:p w:rsidR="00C50157" w:rsidRPr="00D42161" w:rsidP="00C50157" w14:paraId="76E92825" w14:textId="77777777">
      <w:pPr>
        <w:pStyle w:val="NormalHanging12a"/>
      </w:pPr>
      <w:r w:rsidRPr="00D42161">
        <w:t>–</w:t>
      </w:r>
      <w:r w:rsidRPr="00D42161">
        <w:tab/>
        <w:t>s ohledem na návrh rozhodnutí Rady (06884/2026),</w:t>
      </w:r>
    </w:p>
    <w:p w:rsidR="00C50157" w:rsidRPr="00D42161" w:rsidP="00C50157" w14:paraId="69B6022F" w14:textId="77777777">
      <w:pPr>
        <w:pStyle w:val="NormalHanging12a"/>
      </w:pPr>
      <w:r w:rsidRPr="00D42161">
        <w:t>–</w:t>
      </w:r>
      <w:r w:rsidRPr="00D42161">
        <w:tab/>
        <w:t>s ohledem na žádost o udělení souhlasu, kterou předložila Rada v souladu s Protokolem č. 37 o finančních důsledcích uplynutí doby platnosti Smlouvy o ESUO a o Výzkumném fondu pro uhlí a ocel, připojeným ke Smlouvě o Evropské unii a Smlouvě o fungování Evropské unie, a zejména na čl. 2 první pododstavec tohoto protokolu (C10</w:t>
      </w:r>
      <w:r w:rsidRPr="00D42161">
        <w:noBreakHyphen/>
        <w:t>0091/2026),</w:t>
      </w:r>
    </w:p>
    <w:p w:rsidR="00C50157" w:rsidRPr="00D42161" w:rsidP="00C50157" w14:paraId="067EBC4A" w14:textId="77777777">
      <w:pPr>
        <w:pStyle w:val="NormalHanging12a"/>
      </w:pPr>
      <w:r w:rsidRPr="00D42161">
        <w:t>–</w:t>
      </w:r>
      <w:r w:rsidRPr="00D42161">
        <w:tab/>
        <w:t>s ohledem na čl. 107 odst. 1 a 4 jednacího řádu,</w:t>
      </w:r>
    </w:p>
    <w:p w:rsidR="00C50157" w:rsidRPr="00D42161" w:rsidP="00C50157" w14:paraId="470A15FC" w14:textId="77777777">
      <w:pPr>
        <w:pStyle w:val="NormalHanging12a"/>
      </w:pPr>
      <w:r w:rsidRPr="00D42161">
        <w:t>–</w:t>
      </w:r>
      <w:r w:rsidRPr="00D42161">
        <w:tab/>
        <w:t>s ohledem na doporučení Rozpočtového výboru (A10</w:t>
      </w:r>
      <w:r w:rsidRPr="00D42161">
        <w:noBreakHyphen/>
        <w:t>0158/2026),</w:t>
      </w:r>
    </w:p>
    <w:p w:rsidR="00C50157" w:rsidRPr="00D42161" w:rsidP="00C50157" w14:paraId="68FA39BD" w14:textId="77777777">
      <w:pPr>
        <w:pStyle w:val="NormalHanging12a"/>
      </w:pPr>
      <w:r w:rsidRPr="00D42161">
        <w:t>1.</w:t>
      </w:r>
      <w:r w:rsidRPr="00D42161">
        <w:tab/>
        <w:t>uděluje souhlas s návrhem rozhodnutí Rady;</w:t>
      </w:r>
    </w:p>
    <w:p w:rsidR="00D42161" w:rsidRPr="00D42161" w:rsidP="00D42161" w14:paraId="6285F5A7" w14:textId="3C532D07">
      <w:pPr>
        <w:pStyle w:val="NormalHanging12a"/>
      </w:pPr>
      <w:r w:rsidRPr="00D42161">
        <w:t>2.</w:t>
      </w:r>
      <w:r w:rsidRPr="00D42161">
        <w:tab/>
        <w:t>pověřuje svou předsedkyni, aby předala postoj Parlamentu Radě a Komisi a vnitrostátním parlamentům.</w:t>
      </w:r>
    </w:p>
    <w:p w:rsidR="00E365E1" w:rsidRPr="00D42161" w:rsidP="00EA4BBD" w14:paraId="633A878C" w14:textId="60BAD5E2"/>
    <w:sectPr w:rsidSect="00D421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42161" w14:paraId="5C8D579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42161" w14:paraId="0DC4519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42161" w14:paraId="03DDE05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42161" w14:paraId="6914B14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42161" w14:paraId="72D517E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42161" w14:paraId="59EED7E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7757287">
    <w:abstractNumId w:val="9"/>
  </w:num>
  <w:num w:numId="2" w16cid:durableId="1653362232">
    <w:abstractNumId w:val="9"/>
  </w:num>
  <w:num w:numId="3" w16cid:durableId="2005164504">
    <w:abstractNumId w:val="7"/>
  </w:num>
  <w:num w:numId="4" w16cid:durableId="805515038">
    <w:abstractNumId w:val="7"/>
  </w:num>
  <w:num w:numId="5" w16cid:durableId="87509212">
    <w:abstractNumId w:val="6"/>
  </w:num>
  <w:num w:numId="6" w16cid:durableId="919680254">
    <w:abstractNumId w:val="6"/>
  </w:num>
  <w:num w:numId="7" w16cid:durableId="1051271030">
    <w:abstractNumId w:val="5"/>
  </w:num>
  <w:num w:numId="8" w16cid:durableId="660546557">
    <w:abstractNumId w:val="5"/>
  </w:num>
  <w:num w:numId="9" w16cid:durableId="1153377259">
    <w:abstractNumId w:val="4"/>
  </w:num>
  <w:num w:numId="10" w16cid:durableId="1086538955">
    <w:abstractNumId w:val="4"/>
  </w:num>
  <w:num w:numId="11" w16cid:durableId="796607581">
    <w:abstractNumId w:val="8"/>
  </w:num>
  <w:num w:numId="12" w16cid:durableId="471217164">
    <w:abstractNumId w:val="8"/>
  </w:num>
  <w:num w:numId="13" w16cid:durableId="1980917729">
    <w:abstractNumId w:val="3"/>
  </w:num>
  <w:num w:numId="14" w16cid:durableId="1299262693">
    <w:abstractNumId w:val="3"/>
  </w:num>
  <w:num w:numId="15" w16cid:durableId="450562596">
    <w:abstractNumId w:val="2"/>
  </w:num>
  <w:num w:numId="16" w16cid:durableId="583607020">
    <w:abstractNumId w:val="2"/>
  </w:num>
  <w:num w:numId="17" w16cid:durableId="1794206310">
    <w:abstractNumId w:val="1"/>
  </w:num>
  <w:num w:numId="18" w16cid:durableId="1130781635">
    <w:abstractNumId w:val="1"/>
  </w:num>
  <w:num w:numId="19" w16cid:durableId="2125613031">
    <w:abstractNumId w:val="0"/>
  </w:num>
  <w:num w:numId="20" w16cid:durableId="685860746">
    <w:abstractNumId w:val="0"/>
  </w:num>
  <w:num w:numId="21" w16cid:durableId="2127115396">
    <w:abstractNumId w:val="9"/>
  </w:num>
  <w:num w:numId="22" w16cid:durableId="1278441143">
    <w:abstractNumId w:val="7"/>
  </w:num>
  <w:num w:numId="23" w16cid:durableId="868378926">
    <w:abstractNumId w:val="6"/>
  </w:num>
  <w:num w:numId="24" w16cid:durableId="484786922">
    <w:abstractNumId w:val="5"/>
  </w:num>
  <w:num w:numId="25" w16cid:durableId="2067992915">
    <w:abstractNumId w:val="4"/>
  </w:num>
  <w:num w:numId="26" w16cid:durableId="570577367">
    <w:abstractNumId w:val="8"/>
  </w:num>
  <w:num w:numId="27" w16cid:durableId="290599027">
    <w:abstractNumId w:val="3"/>
  </w:num>
  <w:num w:numId="28" w16cid:durableId="1950307072">
    <w:abstractNumId w:val="2"/>
  </w:num>
  <w:num w:numId="29" w16cid:durableId="609505457">
    <w:abstractNumId w:val="1"/>
  </w:num>
  <w:num w:numId="30" w16cid:durableId="2046901622">
    <w:abstractNumId w:val="0"/>
  </w:num>
  <w:num w:numId="31" w16cid:durableId="1466853627">
    <w:abstractNumId w:val="9"/>
  </w:num>
  <w:num w:numId="32" w16cid:durableId="709035882">
    <w:abstractNumId w:val="7"/>
  </w:num>
  <w:num w:numId="33" w16cid:durableId="959992084">
    <w:abstractNumId w:val="6"/>
  </w:num>
  <w:num w:numId="34" w16cid:durableId="1390768553">
    <w:abstractNumId w:val="5"/>
  </w:num>
  <w:num w:numId="35" w16cid:durableId="292030504">
    <w:abstractNumId w:val="4"/>
  </w:num>
  <w:num w:numId="36" w16cid:durableId="147984778">
    <w:abstractNumId w:val="8"/>
  </w:num>
  <w:num w:numId="37" w16cid:durableId="2089039763">
    <w:abstractNumId w:val="3"/>
  </w:num>
  <w:num w:numId="38" w16cid:durableId="113913296">
    <w:abstractNumId w:val="2"/>
  </w:num>
  <w:num w:numId="39" w16cid:durableId="1639383411">
    <w:abstractNumId w:val="1"/>
  </w:num>
  <w:num w:numId="40" w16cid:durableId="1877310910">
    <w:abstractNumId w:val="0"/>
  </w:num>
  <w:num w:numId="41" w16cid:durableId="114910538">
    <w:abstractNumId w:val="10"/>
  </w:num>
  <w:num w:numId="42" w16cid:durableId="2141141730">
    <w:abstractNumId w:val="10"/>
  </w:num>
  <w:num w:numId="43" w16cid:durableId="899285688">
    <w:abstractNumId w:val="10"/>
  </w:num>
  <w:num w:numId="44" w16cid:durableId="1120223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BD"/>
    <w:rsid w:val="00002272"/>
    <w:rsid w:val="00006B57"/>
    <w:rsid w:val="00030C14"/>
    <w:rsid w:val="00064002"/>
    <w:rsid w:val="000677B9"/>
    <w:rsid w:val="000831BA"/>
    <w:rsid w:val="00096EAE"/>
    <w:rsid w:val="000A42CC"/>
    <w:rsid w:val="000E7DD9"/>
    <w:rsid w:val="0010095E"/>
    <w:rsid w:val="00125B37"/>
    <w:rsid w:val="00187494"/>
    <w:rsid w:val="001F32AE"/>
    <w:rsid w:val="00225CC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40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7E2"/>
    <w:rsid w:val="00930C23"/>
    <w:rsid w:val="0093193B"/>
    <w:rsid w:val="009509D8"/>
    <w:rsid w:val="00950B64"/>
    <w:rsid w:val="00981893"/>
    <w:rsid w:val="00A1579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157"/>
    <w:rsid w:val="00C61C0C"/>
    <w:rsid w:val="00C941CB"/>
    <w:rsid w:val="00CC2357"/>
    <w:rsid w:val="00CE7765"/>
    <w:rsid w:val="00CF071A"/>
    <w:rsid w:val="00D058B8"/>
    <w:rsid w:val="00D42161"/>
    <w:rsid w:val="00D56C11"/>
    <w:rsid w:val="00D834A0"/>
    <w:rsid w:val="00D872DF"/>
    <w:rsid w:val="00D91E21"/>
    <w:rsid w:val="00DA7FCD"/>
    <w:rsid w:val="00E365E1"/>
    <w:rsid w:val="00E820A4"/>
    <w:rsid w:val="00EA4BBD"/>
    <w:rsid w:val="00EB006A"/>
    <w:rsid w:val="00EB4772"/>
    <w:rsid w:val="00ED169E"/>
    <w:rsid w:val="00ED4235"/>
    <w:rsid w:val="00F04346"/>
    <w:rsid w:val="00F075DC"/>
    <w:rsid w:val="00F149E9"/>
    <w:rsid w:val="00F5134D"/>
    <w:rsid w:val="00F6225E"/>
    <w:rsid w:val="00F74202"/>
    <w:rsid w:val="00F87713"/>
    <w:rsid w:val="00FB4360"/>
    <w:rsid w:val="00FD0C70"/>
  </w:rsids>
  <w:docVars>
    <w:docVar w:name="dvdocse" w:val="A10-0158/2026"/>
    <w:docVar w:name="dvlangue" w:val="CS"/>
    <w:docVar w:name="dvnumam" w:val="0"/>
    <w:docVar w:name="dvpe" w:val="786.896"/>
    <w:docVar w:name="dvrapporteur" w:val="Zpravodaj: "/>
    <w:docVar w:name="dvstar" w:val="***"/>
    <w:docVar w:name="dvtitre" w:val="Legislativní usnesení Evropského parlamentu ze dne.... 2026 k návrhu rozhodnutí Rady, kterým se stanoví opatření nutná k provedení Protokolu č. 37 o finančních důsledcích uplynutí doby platnosti Smlouvy o ESUO a o Výzkumném fondu pro uhlí a ocel, připojeného ke Smlouvě o Evropské unii a ke Smlouvě o fungování Evropské unie, a kterým se zrušuje rozhodnutí č. 2003/76/ES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D2D84D"/>
  <w15:chartTrackingRefBased/>
  <w15:docId w15:val="{1C903223-FAF3-4A5C-9671-9E3FF8A3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50157"/>
    <w:rPr>
      <w:b/>
    </w:rPr>
  </w:style>
  <w:style w:type="paragraph" w:customStyle="1" w:styleId="NormalHanging12a">
    <w:name w:val="NormalHanging12a"/>
    <w:basedOn w:val="Normal"/>
    <w:rsid w:val="00C50157"/>
    <w:pPr>
      <w:spacing w:after="240"/>
      <w:ind w:left="567" w:hanging="567"/>
    </w:pPr>
  </w:style>
  <w:style w:type="paragraph" w:customStyle="1" w:styleId="EPComma">
    <w:name w:val="EPComma"/>
    <w:basedOn w:val="Normal"/>
    <w:rsid w:val="00C50157"/>
    <w:pPr>
      <w:spacing w:before="480" w:after="240"/>
    </w:pPr>
  </w:style>
  <w:style w:type="character" w:styleId="CommentReference">
    <w:name w:val="annotation reference"/>
    <w:basedOn w:val="DefaultParagraphFont"/>
    <w:rsid w:val="005664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640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640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664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6406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2026-06-16T11:25:00Z</dcterms:created>
  <dcterms:modified xsi:type="dcterms:W3CDTF">2026-06-16T11:25:00Z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