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47D1081" w14:textId="77777777" w:rsidTr="0010095E">
        <w:tblPrEx>
          <w:tblW w:w="9072" w:type="dxa"/>
          <w:tblLook w:val="01E0"/>
        </w:tblPrEx>
        <w:trPr>
          <w:trHeight w:hRule="exact" w:val="1418"/>
        </w:trPr>
        <w:tc>
          <w:tcPr>
            <w:tcW w:w="6804" w:type="dxa"/>
            <w:shd w:val="clear" w:color="auto" w:fill="auto"/>
            <w:vAlign w:val="center"/>
          </w:tcPr>
          <w:p w:rsidR="00751A4A" w:rsidRPr="008A1369" w:rsidP="0010095E" w14:paraId="679E15E9" w14:textId="77777777">
            <w:pPr>
              <w:pStyle w:val="EPName"/>
            </w:pPr>
            <w:r w:rsidRPr="008A1369">
              <w:t>Ευρωπαϊκό Κοινοβούλιο</w:t>
            </w:r>
          </w:p>
          <w:p w:rsidR="00751A4A" w:rsidRPr="008A1369" w:rsidP="005F1B17" w14:paraId="36BB70F3" w14:textId="77777777">
            <w:pPr>
              <w:pStyle w:val="EPTerm"/>
              <w:rPr>
                <w:rStyle w:val="HideTWBExt"/>
                <w:noProof w:val="0"/>
                <w:vanish w:val="0"/>
                <w:color w:val="auto"/>
              </w:rPr>
            </w:pPr>
            <w:r w:rsidRPr="008A1369">
              <w:t>2024</w:t>
            </w:r>
            <w:r w:rsidRPr="008A1369" w:rsidR="00817416">
              <w:t>-202</w:t>
            </w:r>
            <w:r w:rsidRPr="008A1369">
              <w:t>9</w:t>
            </w:r>
          </w:p>
        </w:tc>
        <w:tc>
          <w:tcPr>
            <w:tcW w:w="2268" w:type="dxa"/>
            <w:shd w:val="clear" w:color="auto" w:fill="auto"/>
          </w:tcPr>
          <w:p w:rsidR="00751A4A" w:rsidRPr="008A1369" w:rsidP="0010095E" w14:paraId="4FE8E3EE" w14:textId="77777777">
            <w:pPr>
              <w:pStyle w:val="EPLogo"/>
            </w:pPr>
            <w:r w:rsidRPr="008A136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A1369" w:rsidP="004C5D52" w14:paraId="3CEF060C" w14:textId="77777777">
      <w:pPr>
        <w:pStyle w:val="LineTop"/>
      </w:pPr>
    </w:p>
    <w:p w:rsidR="00680577" w:rsidRPr="008A1369" w:rsidP="00680577" w14:paraId="38C7C464" w14:textId="77777777">
      <w:pPr>
        <w:pStyle w:val="EPBodyTA1"/>
      </w:pPr>
      <w:r w:rsidRPr="008A1369">
        <w:t>ΚΕΙΜΕΝΑ ΠΟΥ ΕΓΚΡΙΘΗΚΑΝ</w:t>
      </w:r>
    </w:p>
    <w:p w:rsidR="00D058B8" w:rsidRPr="008A1369" w:rsidP="00D058B8" w14:paraId="62C5F57C" w14:textId="77777777">
      <w:pPr>
        <w:pStyle w:val="LineBottom"/>
      </w:pPr>
    </w:p>
    <w:p w:rsidR="00BE4027" w:rsidRPr="008A1369" w:rsidP="00BE4027" w14:paraId="5F6788FC" w14:textId="65619A24">
      <w:pPr>
        <w:pStyle w:val="ATHeading1"/>
      </w:pPr>
      <w:bookmarkStart w:id="0" w:name="TANumber"/>
      <w:r w:rsidRPr="008A1369">
        <w:t>P10_TA(2026)0</w:t>
      </w:r>
      <w:r w:rsidRPr="008A1369" w:rsidR="008A1369">
        <w:t>200</w:t>
      </w:r>
      <w:bookmarkEnd w:id="0"/>
    </w:p>
    <w:p w:rsidR="00BE4027" w:rsidRPr="008A1369" w:rsidP="008D5597" w14:paraId="21FF1DD1" w14:textId="4668BD5A">
      <w:pPr>
        <w:pStyle w:val="ATHeading2"/>
      </w:pPr>
      <w:r w:rsidRPr="008A1369">
        <w:t>Μέτρα που είναι αναγκαία για την εφαρμογή του πρωτοκόλλου, το οποίο προσαρτάται στη ΣΕΕ και τη ΣΛΕΕ, σχετικά με τις δημοσιονομικές συνέπειες από τη λήξη της Συνθήκης ΕΚΑΧ και σχετικά με το Ταμείο Έρευνας για τον Άνθρακα και τον Χάλυβα</w:t>
      </w:r>
    </w:p>
    <w:p w:rsidR="00BE4027" w:rsidRPr="008A1369" w:rsidP="00BE4027" w14:paraId="53278E7A" w14:textId="77777777">
      <w:pPr>
        <w:rPr>
          <w:i/>
          <w:vanish/>
        </w:rPr>
      </w:pPr>
      <w:r>
        <w:rPr>
          <w:i/>
        </w:rPr>
        <w:fldChar w:fldCharType="begin"/>
      </w:r>
      <w:r w:rsidRPr="008A1369">
        <w:rPr>
          <w:i/>
        </w:rPr>
        <w:instrText xml:space="preserve"> TC"(</w:instrText>
      </w:r>
      <w:bookmarkStart w:id="1" w:name="DocNumber"/>
      <w:r w:rsidRPr="008A1369">
        <w:rPr>
          <w:i/>
        </w:rPr>
        <w:instrText>A10-0158/2026</w:instrText>
      </w:r>
      <w:bookmarkEnd w:id="1"/>
      <w:r w:rsidRPr="008A1369">
        <w:rPr>
          <w:i/>
        </w:rPr>
        <w:instrText xml:space="preserve"> - Εισηγητής: Johan Van Overtveldt)"\l3 \n&gt; \* MERGEFORMAT </w:instrText>
      </w:r>
      <w:r>
        <w:rPr>
          <w:i/>
        </w:rPr>
        <w:fldChar w:fldCharType="end"/>
      </w:r>
    </w:p>
    <w:p w:rsidR="00BE4027" w:rsidRPr="008A1369" w:rsidP="00BE4027" w14:paraId="2F91B6F6" w14:textId="77777777">
      <w:pPr>
        <w:rPr>
          <w:vanish/>
        </w:rPr>
      </w:pPr>
      <w:bookmarkStart w:id="2" w:name="Commission"/>
      <w:r w:rsidRPr="008A1369">
        <w:rPr>
          <w:vanish/>
        </w:rPr>
        <w:t>Επιτροπή Προϋπολογισμών</w:t>
      </w:r>
      <w:bookmarkEnd w:id="2"/>
    </w:p>
    <w:p w:rsidR="00BE4027" w:rsidRPr="008A1369" w:rsidP="00BE4027" w14:paraId="0424D0A4" w14:textId="77777777">
      <w:pPr>
        <w:rPr>
          <w:vanish/>
        </w:rPr>
      </w:pPr>
      <w:bookmarkStart w:id="3" w:name="PE"/>
      <w:r w:rsidRPr="008A1369">
        <w:rPr>
          <w:vanish/>
        </w:rPr>
        <w:t>PE786.896</w:t>
      </w:r>
      <w:bookmarkEnd w:id="3"/>
    </w:p>
    <w:p w:rsidR="00BE4027" w:rsidRPr="008A1369" w:rsidP="00BE4027" w14:paraId="1364CBD1" w14:textId="77777777">
      <w:pPr>
        <w:pStyle w:val="ATHeading3"/>
      </w:pPr>
      <w:bookmarkStart w:id="4" w:name="Sujet"/>
      <w:r w:rsidRPr="008A1369">
        <w:t>Νομοθετικό ψήφισμα του Ευρωπαϊκού Κοινοβουλίου της 16ης Ιουνίου 2026 σχετικά με το σχέδιο απόφασης του Συμβουλίου για τη θέσπιση των μέτρων που είναι αναγκαία για την εφαρμογή του πρωτοκόλλου αριθ. 37 σχετικά με τις δημοσιονομικές συνέπειες από τη λήξη της Συνθήκης ΕΚΑΧ και με το Ταμείο Έρευνας για τον Άνθρακα και τον Χάλυβα, το οποίο προσαρτάται στη Συνθήκη για την Ευρωπαϊκή Ένωση και στη Συνθήκη για τη λειτουργία της Ευρωπαϊκής Ένωσης, και για την κατάργηση της απόφασης αριθ. 2003/76/ΕΚ</w:t>
      </w:r>
      <w:bookmarkEnd w:id="4"/>
      <w:r w:rsidRPr="008A1369">
        <w:t xml:space="preserve"> </w:t>
      </w:r>
      <w:bookmarkStart w:id="5" w:name="References"/>
      <w:r w:rsidRPr="008A1369">
        <w:t>(06884/2026 – C10-0091/2026 – 2025/0390(APP))</w:t>
      </w:r>
      <w:bookmarkEnd w:id="5"/>
    </w:p>
    <w:p w:rsidR="00BE4027" w:rsidRPr="008A1369" w:rsidP="00BE4027" w14:paraId="1CEBD929" w14:textId="77777777"/>
    <w:p w:rsidR="00E200CE" w:rsidRPr="008A1369" w:rsidP="00E200CE" w14:paraId="159F60F7" w14:textId="77777777">
      <w:pPr>
        <w:pStyle w:val="NormalBold"/>
      </w:pPr>
      <w:bookmarkStart w:id="6" w:name="TextBodyBegin"/>
      <w:bookmarkEnd w:id="6"/>
      <w:r w:rsidRPr="008A1369">
        <w:t>(Ειδική νομοθετική διαδικασία – έγκριση)</w:t>
      </w:r>
    </w:p>
    <w:p w:rsidR="00E200CE" w:rsidRPr="008A1369" w:rsidP="00E200CE" w14:paraId="1E57B15C" w14:textId="77777777">
      <w:pPr>
        <w:pStyle w:val="EPComma"/>
      </w:pPr>
      <w:r w:rsidRPr="008A1369">
        <w:rPr>
          <w:i/>
        </w:rPr>
        <w:t>Το Ευρωπαϊκό Κοινοβούλιο</w:t>
      </w:r>
      <w:r w:rsidRPr="008A1369">
        <w:t>,</w:t>
      </w:r>
    </w:p>
    <w:p w:rsidR="00E200CE" w:rsidRPr="008A1369" w:rsidP="00E200CE" w14:paraId="253BD0CB" w14:textId="77777777">
      <w:pPr>
        <w:pStyle w:val="NormalHanging12a"/>
      </w:pPr>
      <w:r w:rsidRPr="008A1369">
        <w:t>–</w:t>
      </w:r>
      <w:r w:rsidRPr="008A1369">
        <w:tab/>
        <w:t>έχοντας υπόψη το σχέδιο απόφασης του Συμβουλίου (06884/2026),</w:t>
      </w:r>
    </w:p>
    <w:p w:rsidR="00E200CE" w:rsidRPr="008A1369" w:rsidP="00E200CE" w14:paraId="02C5C255" w14:textId="77777777">
      <w:pPr>
        <w:pStyle w:val="NormalHanging12a"/>
      </w:pPr>
      <w:r w:rsidRPr="008A1369">
        <w:t>–</w:t>
      </w:r>
      <w:r w:rsidRPr="008A1369">
        <w:tab/>
        <w:t>έχοντας υπόψη την αίτηση έγκρισης που υπέβαλε το Συμβούλιο σύμφωνα με το πρωτόκολλο αριθ. 37 σχετικά με τις δημοσιονομικές συνέπειες από τη λήξη της Συνθήκης ΕΚΑΧ και με το Ταμείο Έρευνας για τον Άνθρακα και τον Χάλυβα, το οποίο προσαρτάται στη Συνθήκη για την Ευρωπαϊκή Ένωση και στη Συνθήκη για τη λειτουργία της Ευρωπαϊκής Ένωσης, και ιδίως το άρθρο 2 πρώτη παράγραφος, (C10</w:t>
      </w:r>
      <w:r w:rsidRPr="008A1369">
        <w:noBreakHyphen/>
        <w:t>0091/2026),</w:t>
      </w:r>
    </w:p>
    <w:p w:rsidR="00E200CE" w:rsidRPr="008A1369" w:rsidP="00E200CE" w14:paraId="77BCEE66" w14:textId="77777777">
      <w:pPr>
        <w:pStyle w:val="NormalHanging12a"/>
      </w:pPr>
      <w:r w:rsidRPr="008A1369">
        <w:t>–</w:t>
      </w:r>
      <w:r w:rsidRPr="008A1369">
        <w:tab/>
        <w:t>έχοντας υπόψη το άρθρο 107 παράγραφοι 1 και 4 του Κανονισμού του,</w:t>
      </w:r>
    </w:p>
    <w:p w:rsidR="00E200CE" w:rsidRPr="008A1369" w:rsidP="00E200CE" w14:paraId="2612AFC0" w14:textId="77777777">
      <w:pPr>
        <w:pStyle w:val="NormalHanging12a"/>
      </w:pPr>
      <w:r w:rsidRPr="008A1369">
        <w:t>–</w:t>
      </w:r>
      <w:r w:rsidRPr="008A1369">
        <w:tab/>
        <w:t>έχοντας υπόψη τη σύσταση Επιτροπής Προϋπολογισμών (A10-0158/2026),</w:t>
      </w:r>
    </w:p>
    <w:p w:rsidR="00E200CE" w:rsidRPr="008A1369" w:rsidP="00E200CE" w14:paraId="35ED2A7F" w14:textId="77777777">
      <w:pPr>
        <w:pStyle w:val="NormalHanging12a"/>
      </w:pPr>
      <w:r w:rsidRPr="008A1369">
        <w:t>1.</w:t>
      </w:r>
      <w:r w:rsidRPr="008A1369">
        <w:tab/>
        <w:t>εγκρίνει το σχέδιο απόφασης του Συμβουλίου·</w:t>
      </w:r>
    </w:p>
    <w:p w:rsidR="00E365E1" w:rsidRPr="008A1369" w:rsidP="0082522D" w14:paraId="78FB6075" w14:textId="7504F379">
      <w:pPr>
        <w:pStyle w:val="NormalHanging12a"/>
      </w:pPr>
      <w:r w:rsidRPr="008A1369">
        <w:t>2.</w:t>
      </w:r>
      <w:r w:rsidRPr="008A1369">
        <w:tab/>
        <w:t>αναθέτει στην Πρόεδρό του να διαβιβάσει τη θέση του Κοινοβουλίου στο Συμβούλιο, στην Επιτροπή και στα εθνικά κοινοβούλια.</w:t>
      </w:r>
    </w:p>
    <w:sectPr w:rsidSect="0087485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4855" w14:paraId="56DE3FB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4855" w14:paraId="68D4891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4855" w14:paraId="2F9A9DDD"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4855" w14:paraId="0E454C7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4855" w14:paraId="164BF0D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4855" w14:paraId="7D7A6F5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6875750">
    <w:abstractNumId w:val="9"/>
  </w:num>
  <w:num w:numId="2" w16cid:durableId="1295939111">
    <w:abstractNumId w:val="9"/>
  </w:num>
  <w:num w:numId="3" w16cid:durableId="274944762">
    <w:abstractNumId w:val="7"/>
  </w:num>
  <w:num w:numId="4" w16cid:durableId="651981139">
    <w:abstractNumId w:val="7"/>
  </w:num>
  <w:num w:numId="5" w16cid:durableId="790592041">
    <w:abstractNumId w:val="6"/>
  </w:num>
  <w:num w:numId="6" w16cid:durableId="1970472468">
    <w:abstractNumId w:val="6"/>
  </w:num>
  <w:num w:numId="7" w16cid:durableId="860707567">
    <w:abstractNumId w:val="5"/>
  </w:num>
  <w:num w:numId="8" w16cid:durableId="1017191353">
    <w:abstractNumId w:val="5"/>
  </w:num>
  <w:num w:numId="9" w16cid:durableId="433138205">
    <w:abstractNumId w:val="4"/>
  </w:num>
  <w:num w:numId="10" w16cid:durableId="72900754">
    <w:abstractNumId w:val="4"/>
  </w:num>
  <w:num w:numId="11" w16cid:durableId="1840850940">
    <w:abstractNumId w:val="8"/>
  </w:num>
  <w:num w:numId="12" w16cid:durableId="338777695">
    <w:abstractNumId w:val="8"/>
  </w:num>
  <w:num w:numId="13" w16cid:durableId="1480733738">
    <w:abstractNumId w:val="3"/>
  </w:num>
  <w:num w:numId="14" w16cid:durableId="1386564475">
    <w:abstractNumId w:val="3"/>
  </w:num>
  <w:num w:numId="15" w16cid:durableId="1657300058">
    <w:abstractNumId w:val="2"/>
  </w:num>
  <w:num w:numId="16" w16cid:durableId="1504008695">
    <w:abstractNumId w:val="2"/>
  </w:num>
  <w:num w:numId="17" w16cid:durableId="1242329796">
    <w:abstractNumId w:val="1"/>
  </w:num>
  <w:num w:numId="18" w16cid:durableId="320278403">
    <w:abstractNumId w:val="1"/>
  </w:num>
  <w:num w:numId="19" w16cid:durableId="1348867274">
    <w:abstractNumId w:val="0"/>
  </w:num>
  <w:num w:numId="20" w16cid:durableId="800614674">
    <w:abstractNumId w:val="0"/>
  </w:num>
  <w:num w:numId="21" w16cid:durableId="1284652873">
    <w:abstractNumId w:val="9"/>
  </w:num>
  <w:num w:numId="22" w16cid:durableId="1520895610">
    <w:abstractNumId w:val="7"/>
  </w:num>
  <w:num w:numId="23" w16cid:durableId="641469881">
    <w:abstractNumId w:val="6"/>
  </w:num>
  <w:num w:numId="24" w16cid:durableId="2031953553">
    <w:abstractNumId w:val="5"/>
  </w:num>
  <w:num w:numId="25" w16cid:durableId="196046372">
    <w:abstractNumId w:val="4"/>
  </w:num>
  <w:num w:numId="26" w16cid:durableId="125244105">
    <w:abstractNumId w:val="8"/>
  </w:num>
  <w:num w:numId="27" w16cid:durableId="73356142">
    <w:abstractNumId w:val="3"/>
  </w:num>
  <w:num w:numId="28" w16cid:durableId="1964144914">
    <w:abstractNumId w:val="2"/>
  </w:num>
  <w:num w:numId="29" w16cid:durableId="1619950965">
    <w:abstractNumId w:val="1"/>
  </w:num>
  <w:num w:numId="30" w16cid:durableId="1303854238">
    <w:abstractNumId w:val="0"/>
  </w:num>
  <w:num w:numId="31" w16cid:durableId="539710120">
    <w:abstractNumId w:val="9"/>
  </w:num>
  <w:num w:numId="32" w16cid:durableId="131875775">
    <w:abstractNumId w:val="7"/>
  </w:num>
  <w:num w:numId="33" w16cid:durableId="1484471491">
    <w:abstractNumId w:val="6"/>
  </w:num>
  <w:num w:numId="34" w16cid:durableId="10576270">
    <w:abstractNumId w:val="5"/>
  </w:num>
  <w:num w:numId="35" w16cid:durableId="414865892">
    <w:abstractNumId w:val="4"/>
  </w:num>
  <w:num w:numId="36" w16cid:durableId="1183864361">
    <w:abstractNumId w:val="8"/>
  </w:num>
  <w:num w:numId="37" w16cid:durableId="2143762699">
    <w:abstractNumId w:val="3"/>
  </w:num>
  <w:num w:numId="38" w16cid:durableId="2008167974">
    <w:abstractNumId w:val="2"/>
  </w:num>
  <w:num w:numId="39" w16cid:durableId="290326842">
    <w:abstractNumId w:val="1"/>
  </w:num>
  <w:num w:numId="40" w16cid:durableId="501359815">
    <w:abstractNumId w:val="0"/>
  </w:num>
  <w:num w:numId="41" w16cid:durableId="943071917">
    <w:abstractNumId w:val="10"/>
  </w:num>
  <w:num w:numId="42" w16cid:durableId="535853316">
    <w:abstractNumId w:val="10"/>
  </w:num>
  <w:num w:numId="43" w16cid:durableId="642852268">
    <w:abstractNumId w:val="10"/>
  </w:num>
  <w:num w:numId="44" w16cid:durableId="10242886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2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C1A"/>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714B"/>
    <w:rsid w:val="007D1690"/>
    <w:rsid w:val="007E22AD"/>
    <w:rsid w:val="00817416"/>
    <w:rsid w:val="0082522D"/>
    <w:rsid w:val="00842779"/>
    <w:rsid w:val="00865F67"/>
    <w:rsid w:val="00874855"/>
    <w:rsid w:val="00881A7B"/>
    <w:rsid w:val="008840E5"/>
    <w:rsid w:val="00887B3E"/>
    <w:rsid w:val="008A1369"/>
    <w:rsid w:val="008C2AC6"/>
    <w:rsid w:val="008D5597"/>
    <w:rsid w:val="00930C23"/>
    <w:rsid w:val="0093193B"/>
    <w:rsid w:val="009509D8"/>
    <w:rsid w:val="00950B64"/>
    <w:rsid w:val="00981893"/>
    <w:rsid w:val="00A1687D"/>
    <w:rsid w:val="00A43E52"/>
    <w:rsid w:val="00A4678D"/>
    <w:rsid w:val="00A571D7"/>
    <w:rsid w:val="00A778C7"/>
    <w:rsid w:val="00AB441E"/>
    <w:rsid w:val="00AB6293"/>
    <w:rsid w:val="00AE0928"/>
    <w:rsid w:val="00AF3B82"/>
    <w:rsid w:val="00B12E95"/>
    <w:rsid w:val="00B22876"/>
    <w:rsid w:val="00B558F0"/>
    <w:rsid w:val="00BD48FE"/>
    <w:rsid w:val="00BD7BD8"/>
    <w:rsid w:val="00BE34D7"/>
    <w:rsid w:val="00BE4027"/>
    <w:rsid w:val="00BE6ADC"/>
    <w:rsid w:val="00C05BFE"/>
    <w:rsid w:val="00C23CD4"/>
    <w:rsid w:val="00C61C0C"/>
    <w:rsid w:val="00C941CB"/>
    <w:rsid w:val="00CC2357"/>
    <w:rsid w:val="00CF071A"/>
    <w:rsid w:val="00D058B8"/>
    <w:rsid w:val="00D56C11"/>
    <w:rsid w:val="00D834A0"/>
    <w:rsid w:val="00D872DF"/>
    <w:rsid w:val="00D91E21"/>
    <w:rsid w:val="00DA7FCD"/>
    <w:rsid w:val="00E200CE"/>
    <w:rsid w:val="00E365E1"/>
    <w:rsid w:val="00E820A4"/>
    <w:rsid w:val="00E925D6"/>
    <w:rsid w:val="00EB006A"/>
    <w:rsid w:val="00EB4772"/>
    <w:rsid w:val="00ED169E"/>
    <w:rsid w:val="00ED4235"/>
    <w:rsid w:val="00F04346"/>
    <w:rsid w:val="00F075DC"/>
    <w:rsid w:val="00F149E9"/>
    <w:rsid w:val="00F5134D"/>
    <w:rsid w:val="00F74202"/>
    <w:rsid w:val="00F7503F"/>
    <w:rsid w:val="00F87713"/>
    <w:rsid w:val="00FB4360"/>
    <w:rsid w:val="00FD0C70"/>
  </w:rsids>
  <w:docVars>
    <w:docVar w:name="dvdocse" w:val="A10-0158/2026"/>
    <w:docVar w:name="dvlangue" w:val="EL"/>
    <w:docVar w:name="dvnumam" w:val="0"/>
    <w:docVar w:name="dvpe" w:val="786.896"/>
    <w:docVar w:name="dvrapporteur" w:val="Εισηγητής: "/>
    <w:docVar w:name="dvtitre" w:val="Νομοθετικό ψήφισμα του Ευρωπαϊκού Κοινοβουλίου της 16ης Ιουνίου 2026 σχετικά με το σχέδιο απόφασης του Συμβουλίου για τη θέσπιση των μέτρων που είναι αναγκαία για την εφαρμογή του πρωτοκόλλου αριθ. 37 σχετικά με τις δημοσιονομικές συνέπειες από τη λήξη της Συνθήκης ΕΚΑΧ και με το Ταμείο Έρευνας για τον Άνθρακα και τον Χάλυβα, το οποίο προσαρτάται στη Συνθήκη για την Ευρωπαϊκή Ένωση και στη Συνθήκη για τη λειτουργία της Ευρωπαϊκής Ένωσης, και για την κατάργηση της απόφασης αριθ. 2003/76/ΕΚ(06884/2026 – C10-0091/2026 – 2025/0390(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17F8247"/>
  <w15:chartTrackingRefBased/>
  <w15:docId w15:val="{305716C2-A24D-4B78-BFC8-28C60B85F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200C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E200CE"/>
    <w:pPr>
      <w:keepNext/>
      <w:spacing w:after="480"/>
      <w:jc w:val="center"/>
    </w:pPr>
    <w:rPr>
      <w:rFonts w:ascii="Arial" w:hAnsi="Arial" w:cs="Arial"/>
      <w:b/>
    </w:rPr>
  </w:style>
  <w:style w:type="paragraph" w:customStyle="1" w:styleId="NormalBold">
    <w:name w:val="NormalBold"/>
    <w:basedOn w:val="Normal"/>
    <w:rsid w:val="00E200CE"/>
    <w:rPr>
      <w:b/>
    </w:rPr>
  </w:style>
  <w:style w:type="paragraph" w:customStyle="1" w:styleId="NormalHanging12a">
    <w:name w:val="NormalHanging12a"/>
    <w:basedOn w:val="Normal"/>
    <w:rsid w:val="00E200CE"/>
    <w:pPr>
      <w:spacing w:after="240"/>
      <w:ind w:left="567" w:hanging="567"/>
    </w:pPr>
  </w:style>
  <w:style w:type="paragraph" w:customStyle="1" w:styleId="EPComma">
    <w:name w:val="EPComma"/>
    <w:basedOn w:val="Normal"/>
    <w:rsid w:val="00E200CE"/>
    <w:pPr>
      <w:spacing w:before="480" w:after="240"/>
    </w:pPr>
  </w:style>
  <w:style w:type="paragraph" w:styleId="Header">
    <w:name w:val="header"/>
    <w:basedOn w:val="Normal"/>
    <w:link w:val="HeaderChar"/>
    <w:rsid w:val="00E200CE"/>
    <w:pPr>
      <w:tabs>
        <w:tab w:val="center" w:pos="4513"/>
        <w:tab w:val="right" w:pos="9026"/>
      </w:tabs>
    </w:pPr>
  </w:style>
  <w:style w:type="character" w:customStyle="1" w:styleId="HeaderChar">
    <w:name w:val="Header Char"/>
    <w:basedOn w:val="DefaultParagraphFont"/>
    <w:link w:val="Header"/>
    <w:rsid w:val="00E200CE"/>
    <w:rPr>
      <w:sz w:val="24"/>
      <w:lang w:val="el-GR"/>
    </w:rPr>
  </w:style>
  <w:style w:type="paragraph" w:customStyle="1" w:styleId="EPFooter">
    <w:name w:val="EPFooter"/>
    <w:basedOn w:val="Normal"/>
    <w:rsid w:val="00E200CE"/>
    <w:pPr>
      <w:tabs>
        <w:tab w:val="center" w:pos="4535"/>
        <w:tab w:val="right" w:pos="9071"/>
      </w:tabs>
      <w:spacing w:before="240" w:after="240"/>
    </w:pPr>
    <w:rPr>
      <w:color w:val="010000"/>
      <w:sz w:val="22"/>
    </w:rPr>
  </w:style>
  <w:style w:type="character" w:styleId="Hyperlink">
    <w:name w:val="Hyperlink"/>
    <w:basedOn w:val="DefaultParagraphFont"/>
    <w:rsid w:val="00E200CE"/>
    <w:rPr>
      <w:color w:val="0563C1" w:themeColor="hyperlink"/>
      <w:u w:val="single"/>
    </w:rPr>
  </w:style>
  <w:style w:type="paragraph" w:styleId="Revision">
    <w:name w:val="Revision"/>
    <w:hidden/>
    <w:uiPriority w:val="99"/>
    <w:semiHidden/>
    <w:rsid w:val="0082522D"/>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2026-06-16T12:54:00Z</dcterms:created>
  <dcterms:modified xsi:type="dcterms:W3CDTF">2026-06-16T12:54:00Z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A10-0158/2026</vt:lpwstr>
  </property>
  <property fmtid="{D5CDD505-2E9C-101B-9397-08002B2CF9AE}" pid="4" name="&lt;Type&gt;">
    <vt:lpwstr>RR</vt:lpwstr>
  </property>
</Properties>
</file>