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F3B8C6C" w14:textId="77777777" w:rsidTr="0010095E">
        <w:tblPrEx>
          <w:tblW w:w="9072" w:type="dxa"/>
          <w:tblLook w:val="01E0"/>
        </w:tblPrEx>
        <w:trPr>
          <w:trHeight w:hRule="exact" w:val="1418"/>
        </w:trPr>
        <w:tc>
          <w:tcPr>
            <w:tcW w:w="6804" w:type="dxa"/>
            <w:shd w:val="clear" w:color="auto" w:fill="auto"/>
            <w:vAlign w:val="center"/>
          </w:tcPr>
          <w:p w:rsidR="00751A4A" w:rsidRPr="000B3406" w:rsidP="0010095E" w14:paraId="37A3C881" w14:textId="77777777">
            <w:pPr>
              <w:pStyle w:val="EPName"/>
            </w:pPr>
            <w:r w:rsidRPr="000B3406">
              <w:t>Parlement européen</w:t>
            </w:r>
          </w:p>
          <w:p w:rsidR="00751A4A" w:rsidRPr="000B3406" w:rsidP="005F1B17" w14:paraId="214FBF40" w14:textId="77777777">
            <w:pPr>
              <w:pStyle w:val="EPTerm"/>
              <w:rPr>
                <w:rStyle w:val="HideTWBExt"/>
                <w:noProof w:val="0"/>
                <w:vanish w:val="0"/>
                <w:color w:val="auto"/>
              </w:rPr>
            </w:pPr>
            <w:r w:rsidRPr="000B3406">
              <w:t>2024</w:t>
            </w:r>
            <w:r w:rsidRPr="000B3406" w:rsidR="00817416">
              <w:t>-202</w:t>
            </w:r>
            <w:r w:rsidRPr="000B3406">
              <w:t>9</w:t>
            </w:r>
          </w:p>
        </w:tc>
        <w:tc>
          <w:tcPr>
            <w:tcW w:w="2268" w:type="dxa"/>
            <w:shd w:val="clear" w:color="auto" w:fill="auto"/>
          </w:tcPr>
          <w:p w:rsidR="00751A4A" w:rsidRPr="000B3406" w:rsidP="0010095E" w14:paraId="0B68D18C" w14:textId="77777777">
            <w:pPr>
              <w:pStyle w:val="EPLogo"/>
            </w:pPr>
            <w:r w:rsidRPr="000B340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B3406" w:rsidP="004C5D52" w14:paraId="3A86FDA7" w14:textId="77777777">
      <w:pPr>
        <w:pStyle w:val="LineTop"/>
      </w:pPr>
    </w:p>
    <w:p w:rsidR="00680577" w:rsidRPr="000B3406" w:rsidP="00680577" w14:paraId="67BDB127" w14:textId="77777777">
      <w:pPr>
        <w:pStyle w:val="EPBodyTA1"/>
      </w:pPr>
      <w:r w:rsidRPr="000B3406">
        <w:t>TEXTES ADOPTÉS</w:t>
      </w:r>
    </w:p>
    <w:p w:rsidR="00D058B8" w:rsidRPr="000B3406" w:rsidP="00D058B8" w14:paraId="73421BED" w14:textId="77777777">
      <w:pPr>
        <w:pStyle w:val="LineBottom"/>
      </w:pPr>
    </w:p>
    <w:p w:rsidR="00B45400" w:rsidRPr="00A67102" w:rsidP="00B45400" w14:paraId="4A364F7A" w14:textId="588D4ABE">
      <w:pPr>
        <w:pStyle w:val="ATHeading1"/>
      </w:pPr>
      <w:bookmarkStart w:id="0" w:name="TANumber"/>
      <w:r w:rsidRPr="00A67102">
        <w:t>P10_TA(2026)0</w:t>
      </w:r>
      <w:bookmarkEnd w:id="0"/>
      <w:r w:rsidRPr="00A67102" w:rsidR="00F015F4">
        <w:t>200</w:t>
      </w:r>
    </w:p>
    <w:p w:rsidR="00B45400" w:rsidRPr="00A67102" w:rsidP="00B45400" w14:paraId="569409C3" w14:textId="446B9939">
      <w:pPr>
        <w:pStyle w:val="ATHeading2"/>
      </w:pPr>
      <w:bookmarkStart w:id="1" w:name="title"/>
      <w:r w:rsidRPr="00A67102">
        <w:t xml:space="preserve">Mesures nécessaires à la mise en </w:t>
      </w:r>
      <w:r w:rsidRPr="00A67102" w:rsidR="00801ED8">
        <w:t>œuvre</w:t>
      </w:r>
      <w:r w:rsidRPr="00A67102">
        <w:t xml:space="preserve"> du protocole, annexé au</w:t>
      </w:r>
      <w:r w:rsidRPr="00A67102" w:rsidR="00E42E94">
        <w:t xml:space="preserve"> TUE et au TFUE</w:t>
      </w:r>
      <w:r w:rsidRPr="00A67102">
        <w:t>,</w:t>
      </w:r>
      <w:r w:rsidRPr="00A67102" w:rsidR="00F812FB">
        <w:t xml:space="preserve"> </w:t>
      </w:r>
      <w:r w:rsidRPr="00A67102">
        <w:t>relatif aux conséquences financières de l’expiration du traité CECA et au Fonds de recherche du charbon et</w:t>
      </w:r>
      <w:r w:rsidRPr="00A67102" w:rsidR="00F812FB">
        <w:t xml:space="preserve"> </w:t>
      </w:r>
      <w:r w:rsidRPr="00A67102">
        <w:t>de l’acier</w:t>
      </w:r>
      <w:bookmarkEnd w:id="1"/>
    </w:p>
    <w:p w:rsidR="00B45400" w:rsidRPr="00A67102" w:rsidP="00B45400" w14:paraId="084763BF" w14:textId="77777777">
      <w:pPr>
        <w:rPr>
          <w:i/>
          <w:vanish/>
        </w:rPr>
      </w:pPr>
      <w:r>
        <w:rPr>
          <w:i/>
        </w:rPr>
        <w:fldChar w:fldCharType="begin"/>
      </w:r>
      <w:r w:rsidRPr="00A67102">
        <w:rPr>
          <w:i/>
        </w:rPr>
        <w:instrText xml:space="preserve"> TC"(</w:instrText>
      </w:r>
      <w:bookmarkStart w:id="2" w:name="DocNumber"/>
      <w:r w:rsidRPr="00A67102">
        <w:rPr>
          <w:i/>
        </w:rPr>
        <w:instrText>A10-0158/2026</w:instrText>
      </w:r>
      <w:bookmarkEnd w:id="2"/>
      <w:r w:rsidRPr="00A67102">
        <w:rPr>
          <w:i/>
        </w:rPr>
        <w:instrText xml:space="preserve"> - Rapporteur: Johan Van Overtveldt)"\l3 \n&gt; \* MERGEFORMAT </w:instrText>
      </w:r>
      <w:r>
        <w:rPr>
          <w:i/>
        </w:rPr>
        <w:fldChar w:fldCharType="end"/>
      </w:r>
    </w:p>
    <w:p w:rsidR="00B45400" w:rsidRPr="00A67102" w:rsidP="00B45400" w14:paraId="35CA4B10" w14:textId="77777777">
      <w:pPr>
        <w:rPr>
          <w:vanish/>
        </w:rPr>
      </w:pPr>
      <w:bookmarkStart w:id="3" w:name="Commission"/>
      <w:r w:rsidRPr="00A67102">
        <w:rPr>
          <w:vanish/>
        </w:rPr>
        <w:t>Commission des budgets</w:t>
      </w:r>
      <w:bookmarkEnd w:id="3"/>
    </w:p>
    <w:p w:rsidR="00B45400" w:rsidRPr="00A67102" w:rsidP="00B45400" w14:paraId="2CAE72E4" w14:textId="77777777">
      <w:pPr>
        <w:rPr>
          <w:vanish/>
        </w:rPr>
      </w:pPr>
      <w:bookmarkStart w:id="4" w:name="PE"/>
      <w:r w:rsidRPr="00A67102">
        <w:rPr>
          <w:vanish/>
        </w:rPr>
        <w:t>PE786.896</w:t>
      </w:r>
      <w:bookmarkEnd w:id="4"/>
    </w:p>
    <w:p w:rsidR="00B45400" w:rsidRPr="00A67102" w:rsidP="00B45400" w14:paraId="3B7A52A5" w14:textId="1DBE7868">
      <w:pPr>
        <w:pStyle w:val="ATHeading3"/>
      </w:pPr>
      <w:bookmarkStart w:id="5" w:name="Sujet"/>
      <w:r w:rsidRPr="00A67102">
        <w:t xml:space="preserve">Résolution législative du Parlement européen du </w:t>
      </w:r>
      <w:r w:rsidRPr="00A67102" w:rsidR="00424DEE">
        <w:t>16</w:t>
      </w:r>
      <w:r w:rsidRPr="00A67102" w:rsidR="00F812FB">
        <w:t xml:space="preserve"> juin</w:t>
      </w:r>
      <w:r w:rsidRPr="00A67102">
        <w:t xml:space="preserve"> 2026 sur le projet de décision du Conseil établissant les mesures nécessaires à la mise en œuvre du protocole nº 37 relatif aux conséquences financières de l’expiration du traité CECA et au Fonds de recherche du charbon et de l’acier, annexé au traité sur l’Union européenne et au traité sur le fonctionnement de l’Union européenne et abrogeant la décision nº 2003/76/CE</w:t>
      </w:r>
      <w:bookmarkEnd w:id="5"/>
      <w:r w:rsidRPr="00A67102">
        <w:t xml:space="preserve"> </w:t>
      </w:r>
      <w:bookmarkStart w:id="6" w:name="References"/>
      <w:r w:rsidRPr="00A67102">
        <w:t>(06884/2026 – C10-0091/2026 – 2025/0390(APP))</w:t>
      </w:r>
      <w:bookmarkEnd w:id="6"/>
    </w:p>
    <w:p w:rsidR="00E66D5A" w:rsidRPr="00A67102" w:rsidP="00424DEE" w14:paraId="3BA00E62" w14:textId="77777777">
      <w:pPr>
        <w:pStyle w:val="NormalBold"/>
        <w:widowControl/>
        <w:spacing w:before="240"/>
      </w:pPr>
      <w:bookmarkStart w:id="7" w:name="TextBodyBegin"/>
      <w:bookmarkEnd w:id="7"/>
      <w:r w:rsidRPr="00A67102">
        <w:t>(Procédure législative spéciale – approbation)</w:t>
      </w:r>
    </w:p>
    <w:p w:rsidR="00E66D5A" w:rsidRPr="00A67102" w:rsidP="00E66D5A" w14:paraId="065492EE" w14:textId="77777777">
      <w:pPr>
        <w:pStyle w:val="EPComma"/>
        <w:widowControl/>
      </w:pPr>
      <w:r w:rsidRPr="00A67102">
        <w:rPr>
          <w:i/>
        </w:rPr>
        <w:t>Le Parlement européen</w:t>
      </w:r>
      <w:r w:rsidRPr="00A67102">
        <w:t>,</w:t>
      </w:r>
    </w:p>
    <w:p w:rsidR="00E66D5A" w:rsidRPr="00A67102" w:rsidP="00E66D5A" w14:paraId="75957951" w14:textId="77777777">
      <w:pPr>
        <w:pStyle w:val="NormalHanging12a"/>
        <w:widowControl/>
      </w:pPr>
      <w:r w:rsidRPr="00A67102">
        <w:t>–</w:t>
      </w:r>
      <w:r w:rsidRPr="00A67102">
        <w:tab/>
        <w:t>vu le projet de décision du Conseil (06884/2026),</w:t>
      </w:r>
    </w:p>
    <w:p w:rsidR="00E66D5A" w:rsidRPr="00A67102" w:rsidP="00E66D5A" w14:paraId="025C15DC" w14:textId="77777777">
      <w:pPr>
        <w:pStyle w:val="NormalHanging12a"/>
        <w:widowControl/>
      </w:pPr>
      <w:r w:rsidRPr="00A67102">
        <w:t>–</w:t>
      </w:r>
      <w:r w:rsidRPr="00A67102">
        <w:tab/>
        <w:t xml:space="preserve">vu la demande d’approbation présentée par le Conseil conformément au protocole n° 37 </w:t>
      </w:r>
      <w:r w:rsidRPr="00A67102">
        <w:t>relatif</w:t>
      </w:r>
      <w:r w:rsidRPr="00A67102">
        <w:t xml:space="preserve"> aux conséquences financières de l’expiration du traité CECA et au Fonds de recherche du charbon et de l’acier, annexé au traité sur l’Union européenne et au traité sur le fonctionnement de l’Union européenne, et notamment son article 2, premier alinéa (C10</w:t>
      </w:r>
      <w:r w:rsidRPr="00A67102">
        <w:noBreakHyphen/>
        <w:t>0091/2026),</w:t>
      </w:r>
    </w:p>
    <w:p w:rsidR="00E66D5A" w:rsidRPr="00A67102" w:rsidP="00E66D5A" w14:paraId="21BF4F19" w14:textId="77777777">
      <w:pPr>
        <w:pStyle w:val="NormalHanging12a"/>
        <w:widowControl/>
      </w:pPr>
      <w:r w:rsidRPr="00A67102">
        <w:t>–</w:t>
      </w:r>
      <w:r w:rsidRPr="00A67102">
        <w:tab/>
        <w:t>vu l’article 107, paragraphes 1 et 4, de son règlement intérieur,</w:t>
      </w:r>
    </w:p>
    <w:p w:rsidR="00E66D5A" w:rsidRPr="00A67102" w:rsidP="00E66D5A" w14:paraId="434A3213" w14:textId="77777777">
      <w:pPr>
        <w:pStyle w:val="NormalHanging12a"/>
        <w:widowControl/>
      </w:pPr>
      <w:r w:rsidRPr="00A67102">
        <w:t>–</w:t>
      </w:r>
      <w:r w:rsidRPr="00A67102">
        <w:tab/>
        <w:t>vu la recommandation de la commission des budgets (A10-0158/2026),</w:t>
      </w:r>
    </w:p>
    <w:p w:rsidR="00E66D5A" w:rsidRPr="00A67102" w:rsidP="00E66D5A" w14:paraId="106FD208" w14:textId="77777777">
      <w:pPr>
        <w:pStyle w:val="NormalHanging12a"/>
        <w:widowControl/>
      </w:pPr>
      <w:r w:rsidRPr="00A67102">
        <w:t>1.</w:t>
      </w:r>
      <w:r w:rsidRPr="00A67102">
        <w:tab/>
        <w:t xml:space="preserve">donne son approbation au projet de décision du </w:t>
      </w:r>
      <w:r w:rsidRPr="00A67102">
        <w:t>Conseil;</w:t>
      </w:r>
    </w:p>
    <w:p w:rsidR="00E365E1" w:rsidRPr="000B3406" w:rsidP="00F812FB" w14:paraId="0F7AD11C" w14:textId="377C30F4">
      <w:pPr>
        <w:ind w:left="567" w:hanging="567"/>
      </w:pPr>
      <w:r w:rsidRPr="00A67102">
        <w:t>2.</w:t>
      </w:r>
      <w:r w:rsidRPr="00A67102">
        <w:tab/>
        <w:t>charge sa Présidente de transmettre la position du Parlement au Conseil et à la Commission ainsi qu’aux parlements nationaux.</w:t>
      </w:r>
    </w:p>
    <w:sectPr w:rsidSect="000B3406">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B3406" w14:paraId="213FA5B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B3406" w14:paraId="371EB03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B3406" w14:paraId="6DAB0B7D"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B3406" w14:paraId="53060D3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B3406" w14:paraId="57C7B53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B3406" w14:paraId="42D1A70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0643792">
    <w:abstractNumId w:val="9"/>
  </w:num>
  <w:num w:numId="2" w16cid:durableId="1025331398">
    <w:abstractNumId w:val="9"/>
  </w:num>
  <w:num w:numId="3" w16cid:durableId="1614170184">
    <w:abstractNumId w:val="7"/>
  </w:num>
  <w:num w:numId="4" w16cid:durableId="1336886191">
    <w:abstractNumId w:val="7"/>
  </w:num>
  <w:num w:numId="5" w16cid:durableId="1864588395">
    <w:abstractNumId w:val="6"/>
  </w:num>
  <w:num w:numId="6" w16cid:durableId="973608371">
    <w:abstractNumId w:val="6"/>
  </w:num>
  <w:num w:numId="7" w16cid:durableId="1915702177">
    <w:abstractNumId w:val="5"/>
  </w:num>
  <w:num w:numId="8" w16cid:durableId="509292960">
    <w:abstractNumId w:val="5"/>
  </w:num>
  <w:num w:numId="9" w16cid:durableId="1889416792">
    <w:abstractNumId w:val="4"/>
  </w:num>
  <w:num w:numId="10" w16cid:durableId="1226799930">
    <w:abstractNumId w:val="4"/>
  </w:num>
  <w:num w:numId="11" w16cid:durableId="849098768">
    <w:abstractNumId w:val="8"/>
  </w:num>
  <w:num w:numId="12" w16cid:durableId="1351028443">
    <w:abstractNumId w:val="8"/>
  </w:num>
  <w:num w:numId="13" w16cid:durableId="1789012115">
    <w:abstractNumId w:val="3"/>
  </w:num>
  <w:num w:numId="14" w16cid:durableId="1424112729">
    <w:abstractNumId w:val="3"/>
  </w:num>
  <w:num w:numId="15" w16cid:durableId="1605382773">
    <w:abstractNumId w:val="2"/>
  </w:num>
  <w:num w:numId="16" w16cid:durableId="226039459">
    <w:abstractNumId w:val="2"/>
  </w:num>
  <w:num w:numId="17" w16cid:durableId="830483114">
    <w:abstractNumId w:val="1"/>
  </w:num>
  <w:num w:numId="18" w16cid:durableId="2102529806">
    <w:abstractNumId w:val="1"/>
  </w:num>
  <w:num w:numId="19" w16cid:durableId="1960331139">
    <w:abstractNumId w:val="0"/>
  </w:num>
  <w:num w:numId="20" w16cid:durableId="1436830934">
    <w:abstractNumId w:val="0"/>
  </w:num>
  <w:num w:numId="21" w16cid:durableId="1881896503">
    <w:abstractNumId w:val="9"/>
  </w:num>
  <w:num w:numId="22" w16cid:durableId="279147803">
    <w:abstractNumId w:val="7"/>
  </w:num>
  <w:num w:numId="23" w16cid:durableId="1199002308">
    <w:abstractNumId w:val="6"/>
  </w:num>
  <w:num w:numId="24" w16cid:durableId="176161128">
    <w:abstractNumId w:val="5"/>
  </w:num>
  <w:num w:numId="25" w16cid:durableId="137114910">
    <w:abstractNumId w:val="4"/>
  </w:num>
  <w:num w:numId="26" w16cid:durableId="815991019">
    <w:abstractNumId w:val="8"/>
  </w:num>
  <w:num w:numId="27" w16cid:durableId="1414888035">
    <w:abstractNumId w:val="3"/>
  </w:num>
  <w:num w:numId="28" w16cid:durableId="369956948">
    <w:abstractNumId w:val="2"/>
  </w:num>
  <w:num w:numId="29" w16cid:durableId="1711222596">
    <w:abstractNumId w:val="1"/>
  </w:num>
  <w:num w:numId="30" w16cid:durableId="254899945">
    <w:abstractNumId w:val="0"/>
  </w:num>
  <w:num w:numId="31" w16cid:durableId="2058234571">
    <w:abstractNumId w:val="9"/>
  </w:num>
  <w:num w:numId="32" w16cid:durableId="679360023">
    <w:abstractNumId w:val="7"/>
  </w:num>
  <w:num w:numId="33" w16cid:durableId="1133987349">
    <w:abstractNumId w:val="6"/>
  </w:num>
  <w:num w:numId="34" w16cid:durableId="87120181">
    <w:abstractNumId w:val="5"/>
  </w:num>
  <w:num w:numId="35" w16cid:durableId="2039699046">
    <w:abstractNumId w:val="4"/>
  </w:num>
  <w:num w:numId="36" w16cid:durableId="284118468">
    <w:abstractNumId w:val="8"/>
  </w:num>
  <w:num w:numId="37" w16cid:durableId="224265679">
    <w:abstractNumId w:val="3"/>
  </w:num>
  <w:num w:numId="38" w16cid:durableId="571042611">
    <w:abstractNumId w:val="2"/>
  </w:num>
  <w:num w:numId="39" w16cid:durableId="49308241">
    <w:abstractNumId w:val="1"/>
  </w:num>
  <w:num w:numId="40" w16cid:durableId="1368409068">
    <w:abstractNumId w:val="0"/>
  </w:num>
  <w:num w:numId="41" w16cid:durableId="727996689">
    <w:abstractNumId w:val="10"/>
  </w:num>
  <w:num w:numId="42" w16cid:durableId="280111379">
    <w:abstractNumId w:val="10"/>
  </w:num>
  <w:num w:numId="43" w16cid:durableId="257374838">
    <w:abstractNumId w:val="10"/>
  </w:num>
  <w:num w:numId="44" w16cid:durableId="13055078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400"/>
    <w:rsid w:val="00002272"/>
    <w:rsid w:val="00064002"/>
    <w:rsid w:val="000677B9"/>
    <w:rsid w:val="000831BA"/>
    <w:rsid w:val="00094024"/>
    <w:rsid w:val="000A0D9B"/>
    <w:rsid w:val="000A42CC"/>
    <w:rsid w:val="000B3406"/>
    <w:rsid w:val="000E7DD9"/>
    <w:rsid w:val="0010095E"/>
    <w:rsid w:val="00125B37"/>
    <w:rsid w:val="00187494"/>
    <w:rsid w:val="001F32AE"/>
    <w:rsid w:val="002767FF"/>
    <w:rsid w:val="002B18FE"/>
    <w:rsid w:val="002B5493"/>
    <w:rsid w:val="00333BD8"/>
    <w:rsid w:val="00343214"/>
    <w:rsid w:val="00361C00"/>
    <w:rsid w:val="00395FA1"/>
    <w:rsid w:val="003E15D4"/>
    <w:rsid w:val="00411CCE"/>
    <w:rsid w:val="0041666E"/>
    <w:rsid w:val="00421060"/>
    <w:rsid w:val="00424DEE"/>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1ED8"/>
    <w:rsid w:val="00817416"/>
    <w:rsid w:val="00842779"/>
    <w:rsid w:val="00865F67"/>
    <w:rsid w:val="00881A7B"/>
    <w:rsid w:val="008840E5"/>
    <w:rsid w:val="00887B3E"/>
    <w:rsid w:val="008C2AC6"/>
    <w:rsid w:val="00930C23"/>
    <w:rsid w:val="0093193B"/>
    <w:rsid w:val="00945BBF"/>
    <w:rsid w:val="009509D8"/>
    <w:rsid w:val="00950B64"/>
    <w:rsid w:val="00981893"/>
    <w:rsid w:val="00A1687D"/>
    <w:rsid w:val="00A43E52"/>
    <w:rsid w:val="00A4678D"/>
    <w:rsid w:val="00A47A5B"/>
    <w:rsid w:val="00A67102"/>
    <w:rsid w:val="00A778C7"/>
    <w:rsid w:val="00AB441E"/>
    <w:rsid w:val="00AB6293"/>
    <w:rsid w:val="00AE0928"/>
    <w:rsid w:val="00AF3B82"/>
    <w:rsid w:val="00B12E95"/>
    <w:rsid w:val="00B22876"/>
    <w:rsid w:val="00B45400"/>
    <w:rsid w:val="00B558F0"/>
    <w:rsid w:val="00B93D59"/>
    <w:rsid w:val="00B95D3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2E94"/>
    <w:rsid w:val="00E66D5A"/>
    <w:rsid w:val="00E820A4"/>
    <w:rsid w:val="00EB006A"/>
    <w:rsid w:val="00EB4772"/>
    <w:rsid w:val="00ED169E"/>
    <w:rsid w:val="00ED4235"/>
    <w:rsid w:val="00F015F4"/>
    <w:rsid w:val="00F04346"/>
    <w:rsid w:val="00F075DC"/>
    <w:rsid w:val="00F149E9"/>
    <w:rsid w:val="00F5134D"/>
    <w:rsid w:val="00F74202"/>
    <w:rsid w:val="00F812FB"/>
    <w:rsid w:val="00F87713"/>
    <w:rsid w:val="00FB4360"/>
    <w:rsid w:val="00FD0C70"/>
  </w:rsids>
  <w:docVars>
    <w:docVar w:name="dvdocse" w:val="A10-0158/2026"/>
    <w:docVar w:name="dvlangue" w:val="FR"/>
    <w:docVar w:name="dvnumam" w:val="0"/>
    <w:docVar w:name="dvpe" w:val="786.896"/>
    <w:docVar w:name="dvrapporteur" w:val="Rapporteur: "/>
    <w:docVar w:name="dvstar" w:val="***"/>
    <w:docVar w:name="dvtitre" w:val="Résolution législative du Parlement européen du ... 2026 sur le projet de décision du Conseil établissant les mesures nécessaires à la mise en œuvre du protocole nº 37 relatif aux conséquences financières de l’expiration du traité CECA et au Fonds de recherche du charbon et de l’acier, annexé au traité sur l’Union européenne et au traité sur le fonctionnement de l’Union européenne et abrogeant la décision nº 2003/76/CE(06884/2026 – C10-0091/2026 – 2025/0390(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4A8159A"/>
  <w15:chartTrackingRefBased/>
  <w15:docId w15:val="{81947D92-82E1-4C88-9264-269D47C46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66D5A"/>
    <w:rPr>
      <w:b/>
    </w:rPr>
  </w:style>
  <w:style w:type="paragraph" w:customStyle="1" w:styleId="NormalHanging12a">
    <w:name w:val="NormalHanging12a"/>
    <w:basedOn w:val="Normal"/>
    <w:rsid w:val="00E66D5A"/>
    <w:pPr>
      <w:spacing w:after="240"/>
      <w:ind w:left="567" w:hanging="567"/>
    </w:pPr>
  </w:style>
  <w:style w:type="paragraph" w:customStyle="1" w:styleId="EPComma">
    <w:name w:val="EPComma"/>
    <w:basedOn w:val="Normal"/>
    <w:rsid w:val="00E66D5A"/>
    <w:pPr>
      <w:spacing w:before="480" w:after="240"/>
    </w:pPr>
  </w:style>
  <w:style w:type="paragraph" w:styleId="Revision">
    <w:name w:val="Revision"/>
    <w:hidden/>
    <w:uiPriority w:val="99"/>
    <w:semiHidden/>
    <w:rsid w:val="00F812FB"/>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232</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2026-06-16T11:29:00Z</dcterms:created>
  <dcterms:modified xsi:type="dcterms:W3CDTF">2026-06-16T11:29:00Z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A10-0158/2026</vt:lpwstr>
  </property>
  <property fmtid="{D5CDD505-2E9C-101B-9397-08002B2CF9AE}" pid="4" name="&lt;Type&gt;">
    <vt:lpwstr>RR</vt:lpwstr>
  </property>
</Properties>
</file>