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75C062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C3F9A" w:rsidP="0010095E" w14:paraId="1991C987" w14:textId="77777777">
            <w:pPr>
              <w:pStyle w:val="EPName"/>
            </w:pPr>
            <w:r w:rsidRPr="004C3F9A">
              <w:t>Europski parlament</w:t>
            </w:r>
          </w:p>
          <w:p w:rsidR="00751A4A" w:rsidRPr="004C3F9A" w:rsidP="005F1B17" w14:paraId="08ED0E59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C3F9A">
              <w:t>2024</w:t>
            </w:r>
            <w:r w:rsidRPr="004C3F9A" w:rsidR="00817416">
              <w:t>-202</w:t>
            </w:r>
            <w:r w:rsidRPr="004C3F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C3F9A" w:rsidP="0010095E" w14:paraId="094C18B1" w14:textId="77777777">
            <w:pPr>
              <w:pStyle w:val="EPLogo"/>
            </w:pPr>
            <w:r w:rsidRPr="004C3F9A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C3F9A" w:rsidP="004C5D52" w14:paraId="30650DCA" w14:textId="77777777">
      <w:pPr>
        <w:pStyle w:val="LineTop"/>
      </w:pPr>
    </w:p>
    <w:p w:rsidR="00680577" w:rsidRPr="004C3F9A" w:rsidP="00680577" w14:paraId="2FCECF62" w14:textId="77777777">
      <w:pPr>
        <w:pStyle w:val="EPBodyTA1"/>
      </w:pPr>
      <w:r w:rsidRPr="004C3F9A">
        <w:t>USVOJENI TEKSTOVI</w:t>
      </w:r>
    </w:p>
    <w:p w:rsidR="00D058B8" w:rsidRPr="004C3F9A" w:rsidP="00D058B8" w14:paraId="2BF6A3A4" w14:textId="77777777">
      <w:pPr>
        <w:pStyle w:val="LineBottom"/>
      </w:pPr>
    </w:p>
    <w:p w:rsidR="007A765F" w:rsidRPr="004C3F9A" w:rsidP="007A765F" w14:paraId="2FF09788" w14:textId="32F57246">
      <w:pPr>
        <w:pStyle w:val="ATHeading1"/>
      </w:pPr>
      <w:bookmarkStart w:id="0" w:name="TANumber"/>
      <w:r w:rsidRPr="004C3F9A">
        <w:t>P10_TA(2026)0</w:t>
      </w:r>
      <w:r w:rsidR="00A31563">
        <w:t>2</w:t>
      </w:r>
      <w:r w:rsidRPr="004C3F9A">
        <w:t>00</w:t>
      </w:r>
      <w:bookmarkEnd w:id="0"/>
    </w:p>
    <w:p w:rsidR="007A765F" w:rsidRPr="004C3F9A" w:rsidP="007A765F" w14:paraId="3BF204CA" w14:textId="77777777">
      <w:pPr>
        <w:pStyle w:val="ATHeading2"/>
      </w:pPr>
      <w:bookmarkStart w:id="1" w:name="title"/>
      <w:r w:rsidRPr="004C3F9A">
        <w:t>Mjere potrebne za provedbu Protokola, priloženog UEU-u i TFEU-u, o financijskim posljedicama isteka Ugovora o EZUČ-u i o Istraživačkom fondu za ugljen i čelik</w:t>
      </w:r>
      <w:bookmarkEnd w:id="1"/>
    </w:p>
    <w:p w:rsidR="007A765F" w:rsidRPr="004C3F9A" w:rsidP="007A765F" w14:paraId="4EAE7EB1" w14:textId="77777777">
      <w:pPr>
        <w:rPr>
          <w:i/>
          <w:vanish/>
        </w:rPr>
      </w:pPr>
      <w:r>
        <w:rPr>
          <w:i/>
        </w:rPr>
        <w:fldChar w:fldCharType="begin"/>
      </w:r>
      <w:r w:rsidRPr="004C3F9A">
        <w:rPr>
          <w:i/>
        </w:rPr>
        <w:instrText xml:space="preserve"> TC"(</w:instrText>
      </w:r>
      <w:bookmarkStart w:id="2" w:name="DocNumber"/>
      <w:r w:rsidRPr="004C3F9A">
        <w:rPr>
          <w:i/>
        </w:rPr>
        <w:instrText>A10-0158/2026</w:instrText>
      </w:r>
      <w:bookmarkEnd w:id="2"/>
      <w:r w:rsidRPr="004C3F9A">
        <w:rPr>
          <w:i/>
        </w:rPr>
        <w:instrText xml:space="preserve"> - Izvjestitelj: Johan Van </w:instrText>
      </w:r>
      <w:r w:rsidRPr="004C3F9A">
        <w:rPr>
          <w:i/>
        </w:rPr>
        <w:instrText>Overtveldt</w:instrText>
      </w:r>
      <w:r w:rsidRPr="004C3F9A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7A765F" w:rsidRPr="004C3F9A" w:rsidP="007A765F" w14:paraId="173F26D1" w14:textId="77777777">
      <w:pPr>
        <w:rPr>
          <w:vanish/>
        </w:rPr>
      </w:pPr>
      <w:bookmarkStart w:id="3" w:name="Commission"/>
      <w:r w:rsidRPr="004C3F9A">
        <w:rPr>
          <w:vanish/>
        </w:rPr>
        <w:t>Odbor za proračune</w:t>
      </w:r>
      <w:bookmarkEnd w:id="3"/>
    </w:p>
    <w:p w:rsidR="007A765F" w:rsidRPr="004C3F9A" w:rsidP="007A765F" w14:paraId="6CC0E395" w14:textId="77777777">
      <w:pPr>
        <w:rPr>
          <w:vanish/>
        </w:rPr>
      </w:pPr>
      <w:bookmarkStart w:id="4" w:name="PE"/>
      <w:r w:rsidRPr="004C3F9A">
        <w:rPr>
          <w:vanish/>
        </w:rPr>
        <w:t>PE786.896</w:t>
      </w:r>
      <w:bookmarkEnd w:id="4"/>
    </w:p>
    <w:p w:rsidR="007A765F" w:rsidRPr="004C3F9A" w:rsidP="007A765F" w14:paraId="3EE7CC28" w14:textId="06D57FC8">
      <w:pPr>
        <w:pStyle w:val="ATHeading3"/>
      </w:pPr>
      <w:bookmarkStart w:id="5" w:name="Sujet"/>
      <w:r w:rsidRPr="004C3F9A">
        <w:t xml:space="preserve">Zakonodavna rezolucija Europskog parlamenta od </w:t>
      </w:r>
      <w:r w:rsidR="004C3F9A">
        <w:t>16</w:t>
      </w:r>
      <w:r w:rsidRPr="004C3F9A">
        <w:t xml:space="preserve">. </w:t>
      </w:r>
      <w:r w:rsidR="004C3F9A">
        <w:t xml:space="preserve">lipnja </w:t>
      </w:r>
      <w:r w:rsidRPr="004C3F9A">
        <w:t>2026. o Nacrtu odluke Vijeća o mjerama potrebnima za provedbu Protokola br. 37 o financijskim posljedicama isteka Ugovora o EZUČ-u i o Istraživačkom fondu za ugljen i čelik, priloženog Ugovoru o Europskoj uniji i Ugovoru o funkcioniranju Europske unije, te o stavljanju izvan snage Odluke br. 2003/76/EZ</w:t>
      </w:r>
      <w:bookmarkEnd w:id="5"/>
      <w:r w:rsidRPr="004C3F9A">
        <w:t xml:space="preserve"> </w:t>
      </w:r>
      <w:bookmarkStart w:id="6" w:name="References"/>
      <w:r w:rsidRPr="004C3F9A">
        <w:t>(06884/2026 – C10-0091/2026 – 2025/0390(APP))</w:t>
      </w:r>
      <w:bookmarkEnd w:id="6"/>
    </w:p>
    <w:p w:rsidR="007A765F" w:rsidRPr="004C3F9A" w:rsidP="007A765F" w14:paraId="5D8FEC47" w14:textId="77777777"/>
    <w:p w:rsidR="00D171B0" w:rsidRPr="004C3F9A" w:rsidP="00D171B0" w14:paraId="4EE22781" w14:textId="77777777">
      <w:pPr>
        <w:pStyle w:val="NormalBold"/>
      </w:pPr>
      <w:bookmarkStart w:id="7" w:name="TextBodyBegin"/>
      <w:bookmarkEnd w:id="7"/>
      <w:r w:rsidRPr="004C3F9A">
        <w:t>(Posebni zakonodavni postupak – suglasnost)</w:t>
      </w:r>
    </w:p>
    <w:p w:rsidR="00D171B0" w:rsidRPr="004C3F9A" w:rsidP="00D171B0" w14:paraId="55126EAE" w14:textId="77777777">
      <w:pPr>
        <w:pStyle w:val="EPComma"/>
      </w:pPr>
      <w:r w:rsidRPr="004C3F9A">
        <w:rPr>
          <w:i/>
        </w:rPr>
        <w:t>Europski parlament</w:t>
      </w:r>
      <w:r w:rsidRPr="004C3F9A">
        <w:t>,</w:t>
      </w:r>
    </w:p>
    <w:p w:rsidR="00D171B0" w:rsidRPr="004C3F9A" w:rsidP="00D171B0" w14:paraId="3F2CFBDA" w14:textId="77777777">
      <w:pPr>
        <w:pStyle w:val="NormalHanging12a"/>
      </w:pPr>
      <w:r w:rsidRPr="004C3F9A">
        <w:t>–</w:t>
      </w:r>
      <w:r w:rsidRPr="004C3F9A">
        <w:tab/>
        <w:t>uzimajući u obzir Nacrt odluke Vijeća (06884/2026),</w:t>
      </w:r>
    </w:p>
    <w:p w:rsidR="00D171B0" w:rsidRPr="004C3F9A" w:rsidP="00D171B0" w14:paraId="3BC6B097" w14:textId="77777777">
      <w:pPr>
        <w:pStyle w:val="NormalHanging12a"/>
      </w:pPr>
      <w:r w:rsidRPr="004C3F9A">
        <w:t>–</w:t>
      </w:r>
      <w:r w:rsidRPr="004C3F9A">
        <w:tab/>
        <w:t>uzimajući u obzir uzimajući u obzir zahtjev Vijeća za davanje suglasnosti u skladu s Protokolom br. 37 o financijskim posljedicama isteka Ugovora o EZUČ-u i o Istraživačkom fondu za ugljen i čelik, priložen Ugovoru o Europskoj uniji i Ugovoru o funkcioniranju Europske unije, a posebno njegov članak 2. prvi stavak (C10</w:t>
      </w:r>
      <w:r w:rsidRPr="004C3F9A">
        <w:noBreakHyphen/>
        <w:t>0091/2026),</w:t>
      </w:r>
    </w:p>
    <w:p w:rsidR="00D171B0" w:rsidRPr="004C3F9A" w:rsidP="00D171B0" w14:paraId="507154E4" w14:textId="77777777">
      <w:pPr>
        <w:pStyle w:val="NormalHanging12a"/>
      </w:pPr>
      <w:r w:rsidRPr="004C3F9A">
        <w:t>–</w:t>
      </w:r>
      <w:r w:rsidRPr="004C3F9A">
        <w:tab/>
        <w:t>uzimajući u obzir članak 107. stavke 1. i 4. Poslovnika,</w:t>
      </w:r>
    </w:p>
    <w:p w:rsidR="00D171B0" w:rsidRPr="004C3F9A" w:rsidP="00D171B0" w14:paraId="26D285F9" w14:textId="77777777">
      <w:pPr>
        <w:pStyle w:val="NormalHanging12a"/>
      </w:pPr>
      <w:r w:rsidRPr="004C3F9A">
        <w:t>–</w:t>
      </w:r>
      <w:r w:rsidRPr="004C3F9A">
        <w:tab/>
        <w:t>uzimajući u obzir preporuku Odbora za proračune (A10</w:t>
      </w:r>
      <w:r w:rsidRPr="004C3F9A">
        <w:noBreakHyphen/>
        <w:t>0158/2026),</w:t>
      </w:r>
    </w:p>
    <w:p w:rsidR="00D171B0" w:rsidRPr="004C3F9A" w:rsidP="00D171B0" w14:paraId="756A5E72" w14:textId="77777777">
      <w:pPr>
        <w:pStyle w:val="NormalHanging12a"/>
      </w:pPr>
      <w:r w:rsidRPr="004C3F9A">
        <w:t>1.</w:t>
      </w:r>
      <w:r w:rsidRPr="004C3F9A">
        <w:tab/>
        <w:t>daje suglasnost za Nacrt odluke Vijeća;</w:t>
      </w:r>
    </w:p>
    <w:p w:rsidR="00E365E1" w:rsidRPr="004C3F9A" w:rsidP="004C3F9A" w14:paraId="3B71E246" w14:textId="7F8339E2">
      <w:pPr>
        <w:ind w:left="567" w:hanging="567"/>
      </w:pPr>
      <w:r w:rsidRPr="004C3F9A">
        <w:t>2.</w:t>
      </w:r>
      <w:r w:rsidRPr="004C3F9A">
        <w:tab/>
        <w:t>nalaže svojoj predsjednici da stajalište Parlamenta proslijedi Vijeću, Komisiji i nacionalnim parlamentima.</w:t>
      </w:r>
    </w:p>
    <w:sectPr w:rsidSect="00913A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13ABE" w14:paraId="55793B2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13ABE" w14:paraId="7B698F24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13ABE" w14:paraId="1DBE2F15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13ABE" w14:paraId="1F2B82E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13ABE" w14:paraId="3581994A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13ABE" w14:paraId="30585DF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5613973">
    <w:abstractNumId w:val="9"/>
  </w:num>
  <w:num w:numId="2" w16cid:durableId="1305962792">
    <w:abstractNumId w:val="9"/>
  </w:num>
  <w:num w:numId="3" w16cid:durableId="612785392">
    <w:abstractNumId w:val="7"/>
  </w:num>
  <w:num w:numId="4" w16cid:durableId="1362706037">
    <w:abstractNumId w:val="7"/>
  </w:num>
  <w:num w:numId="5" w16cid:durableId="940063764">
    <w:abstractNumId w:val="6"/>
  </w:num>
  <w:num w:numId="6" w16cid:durableId="1348095154">
    <w:abstractNumId w:val="6"/>
  </w:num>
  <w:num w:numId="7" w16cid:durableId="728381466">
    <w:abstractNumId w:val="5"/>
  </w:num>
  <w:num w:numId="8" w16cid:durableId="914775810">
    <w:abstractNumId w:val="5"/>
  </w:num>
  <w:num w:numId="9" w16cid:durableId="2105108113">
    <w:abstractNumId w:val="4"/>
  </w:num>
  <w:num w:numId="10" w16cid:durableId="468136025">
    <w:abstractNumId w:val="4"/>
  </w:num>
  <w:num w:numId="11" w16cid:durableId="1999572907">
    <w:abstractNumId w:val="8"/>
  </w:num>
  <w:num w:numId="12" w16cid:durableId="648097791">
    <w:abstractNumId w:val="8"/>
  </w:num>
  <w:num w:numId="13" w16cid:durableId="1713654726">
    <w:abstractNumId w:val="3"/>
  </w:num>
  <w:num w:numId="14" w16cid:durableId="1245603826">
    <w:abstractNumId w:val="3"/>
  </w:num>
  <w:num w:numId="15" w16cid:durableId="1690715170">
    <w:abstractNumId w:val="2"/>
  </w:num>
  <w:num w:numId="16" w16cid:durableId="1092161013">
    <w:abstractNumId w:val="2"/>
  </w:num>
  <w:num w:numId="17" w16cid:durableId="1343127453">
    <w:abstractNumId w:val="1"/>
  </w:num>
  <w:num w:numId="18" w16cid:durableId="597561278">
    <w:abstractNumId w:val="1"/>
  </w:num>
  <w:num w:numId="19" w16cid:durableId="1676417030">
    <w:abstractNumId w:val="0"/>
  </w:num>
  <w:num w:numId="20" w16cid:durableId="244078002">
    <w:abstractNumId w:val="0"/>
  </w:num>
  <w:num w:numId="21" w16cid:durableId="400253923">
    <w:abstractNumId w:val="9"/>
  </w:num>
  <w:num w:numId="22" w16cid:durableId="2026706531">
    <w:abstractNumId w:val="7"/>
  </w:num>
  <w:num w:numId="23" w16cid:durableId="652416863">
    <w:abstractNumId w:val="6"/>
  </w:num>
  <w:num w:numId="24" w16cid:durableId="547256718">
    <w:abstractNumId w:val="5"/>
  </w:num>
  <w:num w:numId="25" w16cid:durableId="1834299302">
    <w:abstractNumId w:val="4"/>
  </w:num>
  <w:num w:numId="26" w16cid:durableId="1644193785">
    <w:abstractNumId w:val="8"/>
  </w:num>
  <w:num w:numId="27" w16cid:durableId="2102095549">
    <w:abstractNumId w:val="3"/>
  </w:num>
  <w:num w:numId="28" w16cid:durableId="1031996695">
    <w:abstractNumId w:val="2"/>
  </w:num>
  <w:num w:numId="29" w16cid:durableId="465895851">
    <w:abstractNumId w:val="1"/>
  </w:num>
  <w:num w:numId="30" w16cid:durableId="867526193">
    <w:abstractNumId w:val="0"/>
  </w:num>
  <w:num w:numId="31" w16cid:durableId="718629494">
    <w:abstractNumId w:val="9"/>
  </w:num>
  <w:num w:numId="32" w16cid:durableId="956453780">
    <w:abstractNumId w:val="7"/>
  </w:num>
  <w:num w:numId="33" w16cid:durableId="1451128178">
    <w:abstractNumId w:val="6"/>
  </w:num>
  <w:num w:numId="34" w16cid:durableId="1318536547">
    <w:abstractNumId w:val="5"/>
  </w:num>
  <w:num w:numId="35" w16cid:durableId="1951625637">
    <w:abstractNumId w:val="4"/>
  </w:num>
  <w:num w:numId="36" w16cid:durableId="1913461732">
    <w:abstractNumId w:val="8"/>
  </w:num>
  <w:num w:numId="37" w16cid:durableId="1339117379">
    <w:abstractNumId w:val="3"/>
  </w:num>
  <w:num w:numId="38" w16cid:durableId="1215047411">
    <w:abstractNumId w:val="2"/>
  </w:num>
  <w:num w:numId="39" w16cid:durableId="1133407007">
    <w:abstractNumId w:val="1"/>
  </w:num>
  <w:num w:numId="40" w16cid:durableId="1959021260">
    <w:abstractNumId w:val="0"/>
  </w:num>
  <w:num w:numId="41" w16cid:durableId="1638948346">
    <w:abstractNumId w:val="10"/>
  </w:num>
  <w:num w:numId="42" w16cid:durableId="1320495704">
    <w:abstractNumId w:val="10"/>
  </w:num>
  <w:num w:numId="43" w16cid:durableId="515272031">
    <w:abstractNumId w:val="10"/>
  </w:num>
  <w:num w:numId="44" w16cid:durableId="9890204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65F"/>
    <w:rsid w:val="00002272"/>
    <w:rsid w:val="00064002"/>
    <w:rsid w:val="000677B9"/>
    <w:rsid w:val="000831BA"/>
    <w:rsid w:val="000A42CC"/>
    <w:rsid w:val="000E7DD9"/>
    <w:rsid w:val="0010095E"/>
    <w:rsid w:val="00125B37"/>
    <w:rsid w:val="001414E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3F9A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65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3ABE"/>
    <w:rsid w:val="00930C23"/>
    <w:rsid w:val="0093193B"/>
    <w:rsid w:val="009509D8"/>
    <w:rsid w:val="00950B64"/>
    <w:rsid w:val="00981893"/>
    <w:rsid w:val="00A1687D"/>
    <w:rsid w:val="00A3156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71B0"/>
    <w:rsid w:val="00D56C11"/>
    <w:rsid w:val="00D6067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58/2026"/>
    <w:docVar w:name="dvlangue" w:val="HR"/>
    <w:docVar w:name="dvnumam" w:val="0"/>
    <w:docVar w:name="dvpe" w:val="786.896"/>
    <w:docVar w:name="dvrapporteur" w:val="Izvjestitelj: "/>
    <w:docVar w:name="dvstar" w:val="***"/>
    <w:docVar w:name="dvtitre" w:val="Zakonodavna rezolucija Europskog parlamenta od .... 2026. o Nacrtu odluke Vijeća o mjerama potrebnima za provedbu Protokola br. 37 o financijskim posljedicama isteka Ugovora o EZUČ-u i o Istraživačkom fondu za ugljen i čelik, priloženog Ugovoru o Europskoj uniji i Ugovoru o funkcioniranju Europske unije, te o stavljanju izvan snage Odluke br. 2003/76/EZ(06884/2026 – C10-0091/2026 – 2025/0390(AP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B4DB267"/>
  <w15:chartTrackingRefBased/>
  <w15:docId w15:val="{BC8B11EF-BF83-4E92-8677-5B91C9366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171B0"/>
    <w:rPr>
      <w:b/>
    </w:rPr>
  </w:style>
  <w:style w:type="paragraph" w:customStyle="1" w:styleId="NormalHanging12a">
    <w:name w:val="NormalHanging12a"/>
    <w:basedOn w:val="Normal"/>
    <w:rsid w:val="00D171B0"/>
    <w:pPr>
      <w:spacing w:after="240"/>
      <w:ind w:left="567" w:hanging="567"/>
    </w:pPr>
  </w:style>
  <w:style w:type="paragraph" w:customStyle="1" w:styleId="EPComma">
    <w:name w:val="EPComma"/>
    <w:basedOn w:val="Normal"/>
    <w:rsid w:val="00D171B0"/>
    <w:pPr>
      <w:spacing w:before="480" w:after="240"/>
    </w:pPr>
  </w:style>
  <w:style w:type="paragraph" w:styleId="Revision">
    <w:name w:val="Revision"/>
    <w:hidden/>
    <w:uiPriority w:val="99"/>
    <w:semiHidden/>
    <w:rsid w:val="004C3F9A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2026-06-16T12:00:00Z</dcterms:created>
  <dcterms:modified xsi:type="dcterms:W3CDTF">2026-06-16T12:00:00Z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A10-0158/2026</vt:lpwstr>
  </property>
  <property fmtid="{D5CDD505-2E9C-101B-9397-08002B2CF9AE}" pid="4" name="&lt;Type&gt;">
    <vt:lpwstr>RR</vt:lpwstr>
  </property>
</Properties>
</file>