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1F8B52" w14:textId="77777777" w:rsidTr="0010095E">
        <w:tblPrEx>
          <w:tblW w:w="9072" w:type="dxa"/>
          <w:tblLook w:val="01E0"/>
        </w:tblPrEx>
        <w:trPr>
          <w:trHeight w:hRule="exact" w:val="1418"/>
        </w:trPr>
        <w:tc>
          <w:tcPr>
            <w:tcW w:w="6804" w:type="dxa"/>
            <w:shd w:val="clear" w:color="auto" w:fill="auto"/>
            <w:vAlign w:val="center"/>
          </w:tcPr>
          <w:p w:rsidR="00751A4A" w:rsidRPr="008A7CD7" w:rsidP="0010095E" w14:paraId="68D55B29" w14:textId="77777777">
            <w:pPr>
              <w:pStyle w:val="EPName"/>
            </w:pPr>
            <w:r w:rsidRPr="008A7CD7">
              <w:t>Parlamentul European</w:t>
            </w:r>
          </w:p>
          <w:p w:rsidR="00751A4A" w:rsidRPr="008A7CD7" w:rsidP="005F1B17" w14:paraId="5C171E4B" w14:textId="77777777">
            <w:pPr>
              <w:pStyle w:val="EPTerm"/>
              <w:rPr>
                <w:rStyle w:val="HideTWBExt"/>
                <w:noProof w:val="0"/>
                <w:vanish w:val="0"/>
                <w:color w:val="auto"/>
              </w:rPr>
            </w:pPr>
            <w:r w:rsidRPr="008A7CD7">
              <w:t>2024</w:t>
            </w:r>
            <w:r w:rsidRPr="008A7CD7" w:rsidR="00817416">
              <w:t>-202</w:t>
            </w:r>
            <w:r w:rsidRPr="008A7CD7">
              <w:t>9</w:t>
            </w:r>
          </w:p>
        </w:tc>
        <w:tc>
          <w:tcPr>
            <w:tcW w:w="2268" w:type="dxa"/>
            <w:shd w:val="clear" w:color="auto" w:fill="auto"/>
          </w:tcPr>
          <w:p w:rsidR="00751A4A" w:rsidRPr="008A7CD7" w:rsidP="0010095E" w14:paraId="7DF1FA62" w14:textId="77777777">
            <w:pPr>
              <w:pStyle w:val="EPLogo"/>
            </w:pPr>
            <w:r w:rsidRPr="008A7CD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A7CD7" w:rsidP="004C5D52" w14:paraId="20309D3C" w14:textId="77777777">
      <w:pPr>
        <w:pStyle w:val="LineTop"/>
      </w:pPr>
    </w:p>
    <w:p w:rsidR="00680577" w:rsidRPr="008A7CD7" w:rsidP="00680577" w14:paraId="040CD57A" w14:textId="77777777">
      <w:pPr>
        <w:pStyle w:val="EPBodyTA1"/>
      </w:pPr>
      <w:r w:rsidRPr="008A7CD7">
        <w:t>TEXTE ADOPTATE</w:t>
      </w:r>
    </w:p>
    <w:p w:rsidR="00D058B8" w:rsidRPr="008A7CD7" w:rsidP="00D058B8" w14:paraId="7B665227" w14:textId="77777777">
      <w:pPr>
        <w:pStyle w:val="LineBottom"/>
      </w:pPr>
    </w:p>
    <w:p w:rsidR="008A4DE9" w:rsidRPr="008A7CD7" w:rsidP="008A4DE9" w14:paraId="1F6AA226" w14:textId="78D2A2DC">
      <w:pPr>
        <w:pStyle w:val="ATHeading1"/>
      </w:pPr>
      <w:bookmarkStart w:id="0" w:name="TANumber"/>
      <w:r w:rsidRPr="008A7CD7">
        <w:t>P10_TA(2026)0</w:t>
      </w:r>
      <w:bookmarkEnd w:id="0"/>
      <w:r w:rsidRPr="008A7CD7" w:rsidR="00286106">
        <w:t>200</w:t>
      </w:r>
    </w:p>
    <w:p w:rsidR="008A4DE9" w:rsidRPr="008A7CD7" w:rsidP="008A4DE9" w14:paraId="58DB4892" w14:textId="5C172A26">
      <w:pPr>
        <w:pStyle w:val="ATHeading2"/>
      </w:pPr>
      <w:bookmarkStart w:id="1" w:name="title"/>
      <w:r w:rsidRPr="008A7CD7">
        <w:t xml:space="preserve">Măsurile necesare pentru punerea în aplicare a Protocolului anexat la </w:t>
      </w:r>
      <w:r w:rsidRPr="008A7CD7" w:rsidR="00B00B2E">
        <w:t>TUE și la TFUE</w:t>
      </w:r>
      <w:r w:rsidRPr="008A7CD7">
        <w:t xml:space="preserve"> referitor la consecințele financiare ale expirării Tratatului CECO și la Fondul de cercetare pentru cărbune și oțel</w:t>
      </w:r>
      <w:bookmarkEnd w:id="1"/>
    </w:p>
    <w:p w:rsidR="008A4DE9" w:rsidRPr="008A7CD7" w:rsidP="008A4DE9" w14:paraId="6F7BEECA" w14:textId="77777777">
      <w:pPr>
        <w:rPr>
          <w:i/>
          <w:vanish/>
        </w:rPr>
      </w:pPr>
      <w:r>
        <w:rPr>
          <w:i/>
        </w:rPr>
        <w:fldChar w:fldCharType="begin"/>
      </w:r>
      <w:r w:rsidRPr="008A7CD7">
        <w:rPr>
          <w:i/>
        </w:rPr>
        <w:instrText xml:space="preserve"> TC"(</w:instrText>
      </w:r>
      <w:bookmarkStart w:id="2" w:name="DocNumber"/>
      <w:r w:rsidRPr="008A7CD7">
        <w:rPr>
          <w:i/>
        </w:rPr>
        <w:instrText>A10-0158/2026</w:instrText>
      </w:r>
      <w:bookmarkEnd w:id="2"/>
      <w:r w:rsidRPr="008A7CD7">
        <w:rPr>
          <w:i/>
        </w:rPr>
        <w:instrText xml:space="preserve"> - Raportor: Johan Van Overtveldt)"\l3 \n&gt; \* MERGEFORMAT </w:instrText>
      </w:r>
      <w:r>
        <w:rPr>
          <w:i/>
        </w:rPr>
        <w:fldChar w:fldCharType="end"/>
      </w:r>
    </w:p>
    <w:p w:rsidR="008A4DE9" w:rsidRPr="008A7CD7" w:rsidP="008A4DE9" w14:paraId="0084AEDA" w14:textId="77777777">
      <w:pPr>
        <w:rPr>
          <w:vanish/>
        </w:rPr>
      </w:pPr>
      <w:bookmarkStart w:id="3" w:name="Commission"/>
      <w:r w:rsidRPr="008A7CD7">
        <w:rPr>
          <w:vanish/>
        </w:rPr>
        <w:t>Comisia pentru bugete</w:t>
      </w:r>
      <w:bookmarkEnd w:id="3"/>
    </w:p>
    <w:p w:rsidR="008A4DE9" w:rsidRPr="008A7CD7" w:rsidP="008A4DE9" w14:paraId="7D349139" w14:textId="77777777">
      <w:pPr>
        <w:rPr>
          <w:vanish/>
        </w:rPr>
      </w:pPr>
      <w:bookmarkStart w:id="4" w:name="PE"/>
      <w:r w:rsidRPr="008A7CD7">
        <w:rPr>
          <w:vanish/>
        </w:rPr>
        <w:t>PE786.896</w:t>
      </w:r>
      <w:bookmarkEnd w:id="4"/>
    </w:p>
    <w:p w:rsidR="008A4DE9" w:rsidRPr="008A7CD7" w:rsidP="008A4DE9" w14:paraId="64B4221B" w14:textId="0D20A4E8">
      <w:pPr>
        <w:pStyle w:val="ATHeading3"/>
      </w:pPr>
      <w:bookmarkStart w:id="5" w:name="Sujet"/>
      <w:r w:rsidRPr="008A7CD7">
        <w:t xml:space="preserve">Rezoluția legislativă a Parlamentului European din </w:t>
      </w:r>
      <w:r w:rsidRPr="008A7CD7" w:rsidR="00B00B2E">
        <w:t>16</w:t>
      </w:r>
      <w:r w:rsidRPr="008A7CD7">
        <w:t xml:space="preserve"> iunie 2026 referitoare la </w:t>
      </w:r>
      <w:r w:rsidRPr="008A7CD7" w:rsidR="00B00B2E">
        <w:t xml:space="preserve">proiectul de </w:t>
      </w:r>
      <w:r w:rsidRPr="008A7CD7">
        <w:t>decizi</w:t>
      </w:r>
      <w:r w:rsidRPr="008A7CD7" w:rsidR="00B00B2E">
        <w:t>e</w:t>
      </w:r>
      <w:r w:rsidRPr="008A7CD7">
        <w:t xml:space="preserve"> </w:t>
      </w:r>
      <w:r w:rsidRPr="008A7CD7" w:rsidR="00B00B2E">
        <w:t xml:space="preserve">a </w:t>
      </w:r>
      <w:r w:rsidRPr="008A7CD7">
        <w:t>Consiliului de stabilire a măsurilor necesare pentru punerea în aplicare a Protocolului nr. 37 referitor la consecințele financiare ale expirării Tratatului CECO și la Fondul de cercetare pentru cărbune și oțel, anexat la Tratatul privind Uniunea Europeană și la Tratatul privind funcționarea Uniunii Europene, și de abrogare a Deciziei 2003/76/CE</w:t>
      </w:r>
      <w:bookmarkEnd w:id="5"/>
      <w:r w:rsidRPr="008A7CD7">
        <w:t xml:space="preserve"> </w:t>
      </w:r>
      <w:bookmarkStart w:id="6" w:name="References"/>
      <w:r w:rsidRPr="008A7CD7">
        <w:t>(06884/2026 – C10-0091/2026 – 2025/0390(APP))</w:t>
      </w:r>
      <w:bookmarkEnd w:id="6"/>
    </w:p>
    <w:p w:rsidR="008A4DE9" w:rsidRPr="008A7CD7" w:rsidP="008A4DE9" w14:paraId="6D8D487D" w14:textId="77777777"/>
    <w:p w:rsidR="00807870" w:rsidRPr="008A7CD7" w:rsidP="00807870" w14:paraId="14744C7E" w14:textId="77777777">
      <w:pPr>
        <w:pStyle w:val="NormalBold"/>
      </w:pPr>
      <w:bookmarkStart w:id="7" w:name="TextBodyBegin"/>
      <w:bookmarkEnd w:id="7"/>
      <w:r w:rsidRPr="008A7CD7">
        <w:t>(Procedura legislativă specială – aprobare)</w:t>
      </w:r>
    </w:p>
    <w:p w:rsidR="00807870" w:rsidRPr="008A7CD7" w:rsidP="00807870" w14:paraId="4CA74B40" w14:textId="77777777">
      <w:pPr>
        <w:pStyle w:val="EPComma"/>
      </w:pPr>
      <w:r w:rsidRPr="008A7CD7">
        <w:rPr>
          <w:i/>
          <w:iCs/>
        </w:rPr>
        <w:t>Parlamentul European</w:t>
      </w:r>
      <w:r w:rsidRPr="008A7CD7">
        <w:t>,</w:t>
      </w:r>
    </w:p>
    <w:p w:rsidR="00807870" w:rsidRPr="008A7CD7" w:rsidP="00807870" w14:paraId="48FEA90C" w14:textId="77777777">
      <w:pPr>
        <w:pStyle w:val="NormalHanging12a"/>
      </w:pPr>
      <w:r w:rsidRPr="008A7CD7">
        <w:t>–</w:t>
      </w:r>
      <w:r w:rsidRPr="008A7CD7">
        <w:tab/>
        <w:t>având în vedere proiectul de decizie a Consiliului (06884/2026),</w:t>
      </w:r>
    </w:p>
    <w:p w:rsidR="00807870" w:rsidRPr="008A7CD7" w:rsidP="00807870" w14:paraId="6CA8002E" w14:textId="77777777">
      <w:pPr>
        <w:pStyle w:val="NormalHanging12a"/>
      </w:pPr>
      <w:r w:rsidRPr="008A7CD7">
        <w:t>–</w:t>
      </w:r>
      <w:r w:rsidRPr="008A7CD7">
        <w:tab/>
        <w:t>având în vedere cererea de aprobare prezentată de Consiliu în conformitate cu Protocolul nr. 37 referitor la consecințele financiare ale expirării Tratatului CECO și la Fondul de cercetare pentru cărbune și oțel, anexat la Tratatul privind Uniunea Europeană și la Tratatul privind funcționarea Uniunii Europene, în special articolul 2 primul paragraf (C10</w:t>
      </w:r>
      <w:r w:rsidRPr="008A7CD7">
        <w:noBreakHyphen/>
        <w:t>0091/2026),</w:t>
      </w:r>
    </w:p>
    <w:p w:rsidR="00807870" w:rsidRPr="008A7CD7" w:rsidP="00807870" w14:paraId="041BE837" w14:textId="77777777">
      <w:pPr>
        <w:pStyle w:val="NormalHanging12a"/>
      </w:pPr>
      <w:r w:rsidRPr="008A7CD7">
        <w:t>–</w:t>
      </w:r>
      <w:r w:rsidRPr="008A7CD7">
        <w:tab/>
        <w:t>având în vedere articolul 107 alineatele (1) și (4) din Regulamentul său de procedură,</w:t>
      </w:r>
    </w:p>
    <w:p w:rsidR="00807870" w:rsidRPr="008A7CD7" w:rsidP="00807870" w14:paraId="3DA83111" w14:textId="77777777">
      <w:pPr>
        <w:pStyle w:val="NormalHanging12a"/>
      </w:pPr>
      <w:r w:rsidRPr="008A7CD7">
        <w:t>–</w:t>
      </w:r>
      <w:r w:rsidRPr="008A7CD7">
        <w:tab/>
        <w:t>având în vedere recomandarea Comisiei pentru bugete (A10-0158/2026),</w:t>
      </w:r>
    </w:p>
    <w:p w:rsidR="00807870" w:rsidRPr="008A7CD7" w:rsidP="00807870" w14:paraId="786F1DA8" w14:textId="77777777">
      <w:pPr>
        <w:pStyle w:val="NormalHanging12a"/>
      </w:pPr>
      <w:r w:rsidRPr="008A7CD7">
        <w:t>1.</w:t>
      </w:r>
      <w:r w:rsidRPr="008A7CD7">
        <w:tab/>
        <w:t>aprobă proiectul de decizie a Consiliului;</w:t>
      </w:r>
    </w:p>
    <w:p w:rsidR="00807870" w:rsidRPr="008A7CD7" w:rsidP="00807870" w14:paraId="59D1B6FB" w14:textId="77777777">
      <w:pPr>
        <w:pStyle w:val="NormalHanging12a"/>
      </w:pPr>
      <w:r w:rsidRPr="008A7CD7">
        <w:t>2.</w:t>
      </w:r>
      <w:r w:rsidRPr="008A7CD7">
        <w:tab/>
        <w:t>încredințează Președintei sarcina de a transmite Consiliului și Comisiei, precum și parlamentelor naționale poziția Parlamentului.</w:t>
      </w:r>
    </w:p>
    <w:p w:rsidR="00B00B2E" w:rsidRPr="008A7CD7" w:rsidP="00807870" w14:paraId="0A75EA59" w14:textId="77777777">
      <w:pPr>
        <w:pStyle w:val="NormalHanging12a"/>
      </w:pPr>
    </w:p>
    <w:sectPr w:rsidSect="0065134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134C" w14:paraId="3706E9C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134C" w14:paraId="15477E0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134C" w14:paraId="69CDC1A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134C" w14:paraId="249F186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134C" w14:paraId="58C34D1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134C" w14:paraId="0EDBA05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2716555">
    <w:abstractNumId w:val="9"/>
  </w:num>
  <w:num w:numId="2" w16cid:durableId="795369020">
    <w:abstractNumId w:val="9"/>
  </w:num>
  <w:num w:numId="3" w16cid:durableId="392699983">
    <w:abstractNumId w:val="7"/>
  </w:num>
  <w:num w:numId="4" w16cid:durableId="549925594">
    <w:abstractNumId w:val="7"/>
  </w:num>
  <w:num w:numId="5" w16cid:durableId="1662000013">
    <w:abstractNumId w:val="6"/>
  </w:num>
  <w:num w:numId="6" w16cid:durableId="157111082">
    <w:abstractNumId w:val="6"/>
  </w:num>
  <w:num w:numId="7" w16cid:durableId="751389537">
    <w:abstractNumId w:val="5"/>
  </w:num>
  <w:num w:numId="8" w16cid:durableId="1423380978">
    <w:abstractNumId w:val="5"/>
  </w:num>
  <w:num w:numId="9" w16cid:durableId="917979965">
    <w:abstractNumId w:val="4"/>
  </w:num>
  <w:num w:numId="10" w16cid:durableId="407575697">
    <w:abstractNumId w:val="4"/>
  </w:num>
  <w:num w:numId="11" w16cid:durableId="637035240">
    <w:abstractNumId w:val="8"/>
  </w:num>
  <w:num w:numId="12" w16cid:durableId="169100464">
    <w:abstractNumId w:val="8"/>
  </w:num>
  <w:num w:numId="13" w16cid:durableId="1384713603">
    <w:abstractNumId w:val="3"/>
  </w:num>
  <w:num w:numId="14" w16cid:durableId="267126864">
    <w:abstractNumId w:val="3"/>
  </w:num>
  <w:num w:numId="15" w16cid:durableId="2022781085">
    <w:abstractNumId w:val="2"/>
  </w:num>
  <w:num w:numId="16" w16cid:durableId="149102842">
    <w:abstractNumId w:val="2"/>
  </w:num>
  <w:num w:numId="17" w16cid:durableId="1138570362">
    <w:abstractNumId w:val="1"/>
  </w:num>
  <w:num w:numId="18" w16cid:durableId="2056541872">
    <w:abstractNumId w:val="1"/>
  </w:num>
  <w:num w:numId="19" w16cid:durableId="1535269294">
    <w:abstractNumId w:val="0"/>
  </w:num>
  <w:num w:numId="20" w16cid:durableId="453522440">
    <w:abstractNumId w:val="0"/>
  </w:num>
  <w:num w:numId="21" w16cid:durableId="14892326">
    <w:abstractNumId w:val="9"/>
  </w:num>
  <w:num w:numId="22" w16cid:durableId="1381780577">
    <w:abstractNumId w:val="7"/>
  </w:num>
  <w:num w:numId="23" w16cid:durableId="535587140">
    <w:abstractNumId w:val="6"/>
  </w:num>
  <w:num w:numId="24" w16cid:durableId="733238858">
    <w:abstractNumId w:val="5"/>
  </w:num>
  <w:num w:numId="25" w16cid:durableId="188224047">
    <w:abstractNumId w:val="4"/>
  </w:num>
  <w:num w:numId="26" w16cid:durableId="689722726">
    <w:abstractNumId w:val="8"/>
  </w:num>
  <w:num w:numId="27" w16cid:durableId="714039558">
    <w:abstractNumId w:val="3"/>
  </w:num>
  <w:num w:numId="28" w16cid:durableId="1057822095">
    <w:abstractNumId w:val="2"/>
  </w:num>
  <w:num w:numId="29" w16cid:durableId="1169755605">
    <w:abstractNumId w:val="1"/>
  </w:num>
  <w:num w:numId="30" w16cid:durableId="146676969">
    <w:abstractNumId w:val="0"/>
  </w:num>
  <w:num w:numId="31" w16cid:durableId="699360888">
    <w:abstractNumId w:val="9"/>
  </w:num>
  <w:num w:numId="32" w16cid:durableId="1701710627">
    <w:abstractNumId w:val="7"/>
  </w:num>
  <w:num w:numId="33" w16cid:durableId="857474249">
    <w:abstractNumId w:val="6"/>
  </w:num>
  <w:num w:numId="34" w16cid:durableId="1402368586">
    <w:abstractNumId w:val="5"/>
  </w:num>
  <w:num w:numId="35" w16cid:durableId="727341935">
    <w:abstractNumId w:val="4"/>
  </w:num>
  <w:num w:numId="36" w16cid:durableId="1123769361">
    <w:abstractNumId w:val="8"/>
  </w:num>
  <w:num w:numId="37" w16cid:durableId="103816192">
    <w:abstractNumId w:val="3"/>
  </w:num>
  <w:num w:numId="38" w16cid:durableId="377291118">
    <w:abstractNumId w:val="2"/>
  </w:num>
  <w:num w:numId="39" w16cid:durableId="876355413">
    <w:abstractNumId w:val="1"/>
  </w:num>
  <w:num w:numId="40" w16cid:durableId="1717003032">
    <w:abstractNumId w:val="0"/>
  </w:num>
  <w:num w:numId="41" w16cid:durableId="784421748">
    <w:abstractNumId w:val="10"/>
  </w:num>
  <w:num w:numId="42" w16cid:durableId="1993873933">
    <w:abstractNumId w:val="10"/>
  </w:num>
  <w:num w:numId="43" w16cid:durableId="1898929981">
    <w:abstractNumId w:val="10"/>
  </w:num>
  <w:num w:numId="44" w16cid:durableId="1542324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DE9"/>
    <w:rsid w:val="00002272"/>
    <w:rsid w:val="00064002"/>
    <w:rsid w:val="000677B9"/>
    <w:rsid w:val="000831BA"/>
    <w:rsid w:val="000A42CC"/>
    <w:rsid w:val="000E7DD9"/>
    <w:rsid w:val="0010095E"/>
    <w:rsid w:val="00125B37"/>
    <w:rsid w:val="00187494"/>
    <w:rsid w:val="001F32AE"/>
    <w:rsid w:val="002767FF"/>
    <w:rsid w:val="0028610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CDC"/>
    <w:rsid w:val="0050519A"/>
    <w:rsid w:val="005072A1"/>
    <w:rsid w:val="00514517"/>
    <w:rsid w:val="00545827"/>
    <w:rsid w:val="00560270"/>
    <w:rsid w:val="005C2568"/>
    <w:rsid w:val="005F1B17"/>
    <w:rsid w:val="006037C0"/>
    <w:rsid w:val="0065134C"/>
    <w:rsid w:val="006631B6"/>
    <w:rsid w:val="00680577"/>
    <w:rsid w:val="006F74FA"/>
    <w:rsid w:val="00731ADD"/>
    <w:rsid w:val="00734777"/>
    <w:rsid w:val="00747932"/>
    <w:rsid w:val="00751A4A"/>
    <w:rsid w:val="00756632"/>
    <w:rsid w:val="00762C74"/>
    <w:rsid w:val="00786EC0"/>
    <w:rsid w:val="007D1690"/>
    <w:rsid w:val="007E22AD"/>
    <w:rsid w:val="00807870"/>
    <w:rsid w:val="00817416"/>
    <w:rsid w:val="00842779"/>
    <w:rsid w:val="00865F67"/>
    <w:rsid w:val="00881A7B"/>
    <w:rsid w:val="008840E5"/>
    <w:rsid w:val="00887B3E"/>
    <w:rsid w:val="008A4DE9"/>
    <w:rsid w:val="008A7CD7"/>
    <w:rsid w:val="008C2AC6"/>
    <w:rsid w:val="009059D9"/>
    <w:rsid w:val="00930C23"/>
    <w:rsid w:val="0093193B"/>
    <w:rsid w:val="009509D8"/>
    <w:rsid w:val="00950B64"/>
    <w:rsid w:val="00981893"/>
    <w:rsid w:val="00A1687D"/>
    <w:rsid w:val="00A43E52"/>
    <w:rsid w:val="00A4678D"/>
    <w:rsid w:val="00A778C7"/>
    <w:rsid w:val="00AB441E"/>
    <w:rsid w:val="00AB6293"/>
    <w:rsid w:val="00AE0928"/>
    <w:rsid w:val="00AF3B82"/>
    <w:rsid w:val="00B00B2E"/>
    <w:rsid w:val="00B12E95"/>
    <w:rsid w:val="00B22876"/>
    <w:rsid w:val="00B558F0"/>
    <w:rsid w:val="00BD48FE"/>
    <w:rsid w:val="00BD7BD8"/>
    <w:rsid w:val="00BE6ADC"/>
    <w:rsid w:val="00C05BFE"/>
    <w:rsid w:val="00C23CD4"/>
    <w:rsid w:val="00C4567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8/2026"/>
    <w:docVar w:name="dvlangue" w:val="RO"/>
    <w:docVar w:name="dvnumam" w:val="0"/>
    <w:docVar w:name="dvpe" w:val="786.896"/>
    <w:docVar w:name="dvrapporteur" w:val="Raportor: "/>
    <w:docVar w:name="dvstar" w:val="***"/>
    <w:docVar w:name="dvtitre" w:val="Rezoluția legislativă a Parlamentului European din ... iunie 2026 referitoare la decizia Consiliului de stabilire a măsurilor necesare pentru punerea în aplicare a Protocolului nr. 37 referitor la consecințele financiare ale expirării Tratatului CECO și la Fondul de cercetare pentru cărbune și oțel, anexat la Tratatul privind Uniunea Europeană și la Tratatul privind funcționarea Uniunii Europene, și de abrogare a Deciziei 2003/76/CE(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3614D6"/>
  <w15:chartTrackingRefBased/>
  <w15:docId w15:val="{7CA8353E-E5BC-4EB1-92B5-E6884D4D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787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07870"/>
    <w:pPr>
      <w:keepNext/>
      <w:spacing w:after="480"/>
      <w:jc w:val="center"/>
    </w:pPr>
    <w:rPr>
      <w:rFonts w:ascii="Arial" w:hAnsi="Arial" w:cs="Arial"/>
      <w:b/>
    </w:rPr>
  </w:style>
  <w:style w:type="paragraph" w:customStyle="1" w:styleId="NormalBold">
    <w:name w:val="NormalBold"/>
    <w:basedOn w:val="Normal"/>
    <w:rsid w:val="00807870"/>
    <w:rPr>
      <w:b/>
    </w:rPr>
  </w:style>
  <w:style w:type="paragraph" w:customStyle="1" w:styleId="NormalHanging12a">
    <w:name w:val="NormalHanging12a"/>
    <w:basedOn w:val="Normal"/>
    <w:rsid w:val="00807870"/>
    <w:pPr>
      <w:spacing w:after="240"/>
      <w:ind w:left="567" w:hanging="567"/>
    </w:pPr>
  </w:style>
  <w:style w:type="paragraph" w:customStyle="1" w:styleId="EPComma">
    <w:name w:val="EPComma"/>
    <w:basedOn w:val="Normal"/>
    <w:rsid w:val="00807870"/>
    <w:pPr>
      <w:spacing w:before="480" w:after="240"/>
    </w:pPr>
  </w:style>
  <w:style w:type="paragraph" w:styleId="Header">
    <w:name w:val="header"/>
    <w:basedOn w:val="Normal"/>
    <w:link w:val="HeaderChar"/>
    <w:rsid w:val="00807870"/>
    <w:pPr>
      <w:tabs>
        <w:tab w:val="center" w:pos="4513"/>
        <w:tab w:val="right" w:pos="9026"/>
      </w:tabs>
    </w:pPr>
  </w:style>
  <w:style w:type="character" w:customStyle="1" w:styleId="HeaderChar">
    <w:name w:val="Header Char"/>
    <w:basedOn w:val="DefaultParagraphFont"/>
    <w:link w:val="Header"/>
    <w:rsid w:val="00807870"/>
    <w:rPr>
      <w:sz w:val="24"/>
      <w:lang w:val="ro-RO"/>
    </w:rPr>
  </w:style>
  <w:style w:type="paragraph" w:customStyle="1" w:styleId="EPFooter">
    <w:name w:val="EPFooter"/>
    <w:basedOn w:val="Normal"/>
    <w:rsid w:val="00807870"/>
    <w:pPr>
      <w:tabs>
        <w:tab w:val="center" w:pos="4535"/>
        <w:tab w:val="right" w:pos="9071"/>
      </w:tabs>
      <w:spacing w:before="240" w:after="240"/>
    </w:pPr>
    <w:rPr>
      <w:color w:val="010000"/>
      <w:sz w:val="22"/>
    </w:rPr>
  </w:style>
  <w:style w:type="paragraph" w:customStyle="1" w:styleId="Normal12a">
    <w:name w:val="Normal12a"/>
    <w:basedOn w:val="Normal"/>
    <w:rsid w:val="00807870"/>
    <w:pPr>
      <w:spacing w:after="240"/>
    </w:pPr>
  </w:style>
  <w:style w:type="paragraph" w:customStyle="1" w:styleId="RollCallVotes">
    <w:name w:val="RollCallVotes"/>
    <w:basedOn w:val="Normal"/>
    <w:rsid w:val="00807870"/>
    <w:pPr>
      <w:spacing w:before="120" w:after="120"/>
      <w:jc w:val="center"/>
    </w:pPr>
    <w:rPr>
      <w:b/>
      <w:bCs/>
      <w:snapToGrid w:val="0"/>
      <w:sz w:val="16"/>
      <w:lang w:eastAsia="en-US"/>
    </w:rPr>
  </w:style>
  <w:style w:type="paragraph" w:customStyle="1" w:styleId="RollCallSymbols14pt">
    <w:name w:val="RollCallSymbols14pt"/>
    <w:basedOn w:val="Normal"/>
    <w:rsid w:val="00807870"/>
    <w:pPr>
      <w:spacing w:before="120" w:after="120"/>
      <w:jc w:val="center"/>
    </w:pPr>
    <w:rPr>
      <w:rFonts w:ascii="Arial" w:hAnsi="Arial"/>
      <w:b/>
      <w:bCs/>
      <w:snapToGrid w:val="0"/>
      <w:sz w:val="28"/>
      <w:lang w:eastAsia="en-US"/>
    </w:rPr>
  </w:style>
  <w:style w:type="paragraph" w:customStyle="1" w:styleId="RollCallTable">
    <w:name w:val="RollCallTable"/>
    <w:basedOn w:val="Normal"/>
    <w:rsid w:val="00807870"/>
    <w:pPr>
      <w:spacing w:before="120" w:after="120"/>
    </w:pPr>
    <w:rPr>
      <w:snapToGrid w:val="0"/>
      <w:sz w:val="16"/>
      <w:lang w:eastAsia="en-US"/>
    </w:rPr>
  </w:style>
  <w:style w:type="character" w:styleId="Hyperlink">
    <w:name w:val="Hyperlink"/>
    <w:basedOn w:val="DefaultParagraphFont"/>
    <w:rsid w:val="00807870"/>
    <w:rPr>
      <w:color w:val="0563C1" w:themeColor="hyperlink"/>
      <w:u w:val="single"/>
    </w:rPr>
  </w:style>
  <w:style w:type="paragraph" w:customStyle="1" w:styleId="Normal12">
    <w:name w:val="Normal12"/>
    <w:basedOn w:val="Normal"/>
    <w:qFormat/>
    <w:rsid w:val="00807870"/>
    <w:pPr>
      <w:spacing w:after="240"/>
    </w:pPr>
    <w:rPr>
      <w:snapToGrid w:val="0"/>
      <w:lang w:eastAsia="en-US"/>
    </w:rPr>
  </w:style>
  <w:style w:type="paragraph" w:styleId="Revision">
    <w:name w:val="Revision"/>
    <w:hidden/>
    <w:uiPriority w:val="99"/>
    <w:semiHidden/>
    <w:rsid w:val="00B00B2E"/>
    <w:rPr>
      <w:sz w:val="24"/>
      <w:lang w:val="ro-RO"/>
    </w:rPr>
  </w:style>
  <w:style w:type="character" w:styleId="CommentReference">
    <w:name w:val="annotation reference"/>
    <w:basedOn w:val="DefaultParagraphFont"/>
    <w:rsid w:val="00B00B2E"/>
    <w:rPr>
      <w:sz w:val="16"/>
      <w:szCs w:val="16"/>
    </w:rPr>
  </w:style>
  <w:style w:type="paragraph" w:styleId="CommentText">
    <w:name w:val="annotation text"/>
    <w:basedOn w:val="Normal"/>
    <w:link w:val="CommentTextChar"/>
    <w:rsid w:val="00B00B2E"/>
    <w:rPr>
      <w:sz w:val="20"/>
    </w:rPr>
  </w:style>
  <w:style w:type="character" w:customStyle="1" w:styleId="CommentTextChar">
    <w:name w:val="Comment Text Char"/>
    <w:basedOn w:val="DefaultParagraphFont"/>
    <w:link w:val="CommentText"/>
    <w:rsid w:val="00B00B2E"/>
    <w:rPr>
      <w:lang w:val="ro-RO"/>
    </w:rPr>
  </w:style>
  <w:style w:type="paragraph" w:styleId="CommentSubject">
    <w:name w:val="annotation subject"/>
    <w:basedOn w:val="CommentText"/>
    <w:next w:val="CommentText"/>
    <w:link w:val="CommentSubjectChar"/>
    <w:rsid w:val="00B00B2E"/>
    <w:rPr>
      <w:b/>
      <w:bCs/>
    </w:rPr>
  </w:style>
  <w:style w:type="character" w:customStyle="1" w:styleId="CommentSubjectChar">
    <w:name w:val="Comment Subject Char"/>
    <w:basedOn w:val="CommentTextChar"/>
    <w:link w:val="CommentSubject"/>
    <w:rsid w:val="00B00B2E"/>
    <w:rPr>
      <w:b/>
      <w:bCs/>
      <w:lang w:val="ro-RO"/>
    </w:rPr>
  </w:style>
  <w:style w:type="paragraph" w:styleId="Footer">
    <w:name w:val="footer"/>
    <w:basedOn w:val="Normal"/>
    <w:link w:val="FooterChar"/>
    <w:rsid w:val="00B00B2E"/>
    <w:pPr>
      <w:tabs>
        <w:tab w:val="center" w:pos="4513"/>
        <w:tab w:val="right" w:pos="9026"/>
      </w:tabs>
    </w:pPr>
  </w:style>
  <w:style w:type="character" w:customStyle="1" w:styleId="FooterChar">
    <w:name w:val="Footer Char"/>
    <w:basedOn w:val="DefaultParagraphFont"/>
    <w:link w:val="Footer"/>
    <w:rsid w:val="00B00B2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2026-06-16T13:16:00Z</dcterms:created>
  <dcterms:modified xsi:type="dcterms:W3CDTF">2026-06-16T13:16:00Z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A10-0158/2026</vt:lpwstr>
  </property>
  <property fmtid="{D5CDD505-2E9C-101B-9397-08002B2CF9AE}" pid="4" name="&lt;Type&gt;">
    <vt:lpwstr>RR</vt:lpwstr>
  </property>
</Properties>
</file>