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E4A991E" w14:textId="77777777" w:rsidTr="0010095E">
        <w:tblPrEx>
          <w:tblW w:w="9072" w:type="dxa"/>
          <w:tblLook w:val="01E0"/>
        </w:tblPrEx>
        <w:trPr>
          <w:trHeight w:hRule="exact" w:val="1418"/>
        </w:trPr>
        <w:tc>
          <w:tcPr>
            <w:tcW w:w="6804" w:type="dxa"/>
            <w:shd w:val="clear" w:color="auto" w:fill="auto"/>
            <w:vAlign w:val="center"/>
          </w:tcPr>
          <w:p w:rsidR="00751A4A" w:rsidRPr="002B7A1F" w:rsidP="0010095E" w14:paraId="563F7D9A" w14:textId="0406CC70">
            <w:pPr>
              <w:pStyle w:val="EPName"/>
            </w:pPr>
            <w:r w:rsidRPr="002B7A1F">
              <w:t>Европейски</w:t>
            </w:r>
            <w:r w:rsidRPr="002B7A1F" w:rsidR="00226ED4">
              <w:t xml:space="preserve"> парламент</w:t>
            </w:r>
          </w:p>
          <w:p w:rsidR="00751A4A" w:rsidRPr="002B7A1F" w:rsidP="005F1B17" w14:paraId="5CC268FE" w14:textId="4C16B5FA">
            <w:pPr>
              <w:pStyle w:val="EPTerm"/>
              <w:rPr>
                <w:rStyle w:val="HideTWBExt"/>
                <w:noProof w:val="0"/>
                <w:vanish w:val="0"/>
                <w:color w:val="auto"/>
              </w:rPr>
            </w:pPr>
            <w:r w:rsidRPr="002B7A1F">
              <w:t>2024</w:t>
            </w:r>
            <w:r w:rsidR="00202052">
              <w:t> – </w:t>
            </w:r>
            <w:r w:rsidRPr="002B7A1F" w:rsidR="00817416">
              <w:t>202</w:t>
            </w:r>
            <w:r w:rsidRPr="002B7A1F">
              <w:t>9</w:t>
            </w:r>
          </w:p>
        </w:tc>
        <w:tc>
          <w:tcPr>
            <w:tcW w:w="2268" w:type="dxa"/>
            <w:shd w:val="clear" w:color="auto" w:fill="auto"/>
          </w:tcPr>
          <w:p w:rsidR="00751A4A" w:rsidRPr="002B7A1F" w:rsidP="0010095E" w14:paraId="2942AF44" w14:textId="77777777">
            <w:pPr>
              <w:pStyle w:val="EPLogo"/>
            </w:pPr>
            <w:r w:rsidRPr="002B7A1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B7A1F" w:rsidP="004C5D52" w14:paraId="0EE116CD" w14:textId="77777777">
      <w:pPr>
        <w:pStyle w:val="LineTop"/>
      </w:pPr>
    </w:p>
    <w:p w:rsidR="00680577" w:rsidRPr="002B7A1F" w:rsidP="00680577" w14:paraId="6C347689" w14:textId="77777777">
      <w:pPr>
        <w:pStyle w:val="EPBodyTA1"/>
      </w:pPr>
      <w:r w:rsidRPr="002B7A1F">
        <w:t>ПРИЕТИ ТЕКСТОВЕ</w:t>
      </w:r>
    </w:p>
    <w:p w:rsidR="00D058B8" w:rsidRPr="002B7A1F" w:rsidP="00D058B8" w14:paraId="33B44B39" w14:textId="77777777">
      <w:pPr>
        <w:pStyle w:val="LineBottom"/>
      </w:pPr>
    </w:p>
    <w:p w:rsidR="00226ED4" w:rsidRPr="002B7A1F" w:rsidP="00226ED4" w14:paraId="26B6A173" w14:textId="56ED3CCE">
      <w:pPr>
        <w:pStyle w:val="ATHeading1"/>
      </w:pPr>
      <w:bookmarkStart w:id="0" w:name="TANumber"/>
      <w:r w:rsidRPr="002B7A1F">
        <w:t>P10_TA(2026)0</w:t>
      </w:r>
      <w:r w:rsidR="007D21A4">
        <w:rPr>
          <w:lang w:val="en-GB"/>
        </w:rPr>
        <w:t>2</w:t>
      </w:r>
      <w:r w:rsidRPr="002B7A1F">
        <w:t>0</w:t>
      </w:r>
      <w:r w:rsidR="007D21A4">
        <w:rPr>
          <w:lang w:val="en-GB"/>
        </w:rPr>
        <w:t>1</w:t>
      </w:r>
      <w:bookmarkEnd w:id="0"/>
    </w:p>
    <w:p w:rsidR="00226ED4" w:rsidRPr="002B7A1F" w:rsidP="00226ED4" w14:paraId="475C8727" w14:textId="77777777">
      <w:pPr>
        <w:pStyle w:val="ATHeading2"/>
      </w:pPr>
      <w:bookmarkStart w:id="1" w:name="title"/>
      <w:r w:rsidRPr="002B7A1F">
        <w:t>Мобилизиране на средства от Европейския фонд за приспособяване към глобализацията за съкратени работници във връзка със заявление от Белгия — EGF/2025/009 BE/</w:t>
      </w:r>
      <w:r w:rsidRPr="002B7A1F">
        <w:t>Soliver</w:t>
      </w:r>
      <w:bookmarkEnd w:id="1"/>
    </w:p>
    <w:p w:rsidR="00226ED4" w:rsidRPr="002B7A1F" w:rsidP="00226ED4" w14:paraId="43B9BCDB" w14:textId="77777777">
      <w:pPr>
        <w:rPr>
          <w:i/>
          <w:vanish/>
        </w:rPr>
      </w:pPr>
      <w:r>
        <w:rPr>
          <w:i/>
        </w:rPr>
        <w:fldChar w:fldCharType="begin"/>
      </w:r>
      <w:r w:rsidRPr="002B7A1F">
        <w:rPr>
          <w:i/>
        </w:rPr>
        <w:instrText xml:space="preserve"> TC"(</w:instrText>
      </w:r>
      <w:bookmarkStart w:id="2" w:name="DocNumber"/>
      <w:r w:rsidRPr="002B7A1F">
        <w:rPr>
          <w:i/>
        </w:rPr>
        <w:instrText>A10-0149/2026</w:instrText>
      </w:r>
      <w:bookmarkEnd w:id="2"/>
      <w:r w:rsidRPr="002B7A1F">
        <w:rPr>
          <w:i/>
        </w:rPr>
        <w:instrText xml:space="preserve"> - Докладчик: Богдан </w:instrText>
      </w:r>
      <w:r w:rsidRPr="002B7A1F">
        <w:rPr>
          <w:i/>
        </w:rPr>
        <w:instrText>Жонца</w:instrText>
      </w:r>
      <w:r w:rsidRPr="002B7A1F">
        <w:rPr>
          <w:i/>
        </w:rPr>
        <w:instrText xml:space="preserve">)"\l3 \n&gt; \* MERGEFORMAT </w:instrText>
      </w:r>
      <w:r>
        <w:rPr>
          <w:i/>
        </w:rPr>
        <w:fldChar w:fldCharType="end"/>
      </w:r>
    </w:p>
    <w:p w:rsidR="00226ED4" w:rsidRPr="002B7A1F" w:rsidP="00226ED4" w14:paraId="478F07A8" w14:textId="77777777">
      <w:pPr>
        <w:rPr>
          <w:vanish/>
        </w:rPr>
      </w:pPr>
      <w:bookmarkStart w:id="3" w:name="Commission"/>
      <w:r w:rsidRPr="002B7A1F">
        <w:rPr>
          <w:vanish/>
        </w:rPr>
        <w:t>Комисия по бюджети</w:t>
      </w:r>
      <w:bookmarkEnd w:id="3"/>
    </w:p>
    <w:p w:rsidR="00226ED4" w:rsidRPr="002B7A1F" w:rsidP="00226ED4" w14:paraId="552599A9" w14:textId="77777777">
      <w:pPr>
        <w:rPr>
          <w:vanish/>
        </w:rPr>
      </w:pPr>
      <w:bookmarkStart w:id="4" w:name="PE"/>
      <w:r w:rsidRPr="002B7A1F">
        <w:rPr>
          <w:vanish/>
        </w:rPr>
        <w:t>PE787.923</w:t>
      </w:r>
      <w:bookmarkEnd w:id="4"/>
    </w:p>
    <w:p w:rsidR="00226ED4" w:rsidRPr="002B7A1F" w:rsidP="00226ED4" w14:paraId="1E84DC3C" w14:textId="614CD7C7">
      <w:pPr>
        <w:pStyle w:val="ATHeading3"/>
      </w:pPr>
      <w:bookmarkStart w:id="5" w:name="Sujet"/>
      <w:r w:rsidRPr="002B7A1F">
        <w:t xml:space="preserve">Законодателна резолюция на Европейския парламент от </w:t>
      </w:r>
      <w:r w:rsidR="00202052">
        <w:t>16 юни</w:t>
      </w:r>
      <w:r w:rsidRPr="002B7A1F" w:rsidR="00202052">
        <w:t xml:space="preserve"> </w:t>
      </w:r>
      <w:r w:rsidRPr="002B7A1F">
        <w:t>2026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Белгия – EGF/2025/009 BE/</w:t>
      </w:r>
      <w:r w:rsidRPr="002B7A1F">
        <w:t>Soliver</w:t>
      </w:r>
      <w:bookmarkEnd w:id="5"/>
      <w:r w:rsidRPr="002B7A1F">
        <w:t xml:space="preserve"> </w:t>
      </w:r>
      <w:bookmarkStart w:id="6" w:name="References"/>
      <w:r w:rsidRPr="002B7A1F">
        <w:t>(COM(2026)0050 – C10-0111/2026 – 2026/0097(BUD))</w:t>
      </w:r>
      <w:bookmarkEnd w:id="6"/>
    </w:p>
    <w:p w:rsidR="003A54E5" w:rsidRPr="002B7A1F" w:rsidP="003A54E5" w14:paraId="620D2561" w14:textId="77777777">
      <w:pPr>
        <w:pStyle w:val="EPComma"/>
        <w:rPr>
          <w:noProof/>
        </w:rPr>
      </w:pPr>
      <w:r w:rsidRPr="002B7A1F">
        <w:rPr>
          <w:i/>
        </w:rPr>
        <w:t>Европейският парламент</w:t>
      </w:r>
      <w:r w:rsidRPr="002B7A1F">
        <w:t>,</w:t>
      </w:r>
    </w:p>
    <w:p w:rsidR="003A54E5" w:rsidRPr="002B7A1F" w:rsidP="003A54E5" w14:paraId="2D5FD847" w14:textId="77777777">
      <w:pPr>
        <w:pStyle w:val="NormalHanging12a"/>
        <w:rPr>
          <w:noProof/>
        </w:rPr>
      </w:pPr>
      <w:r w:rsidRPr="002B7A1F">
        <w:t>–</w:t>
      </w:r>
      <w:r w:rsidRPr="002B7A1F">
        <w:tab/>
        <w:t>като взе предвид предложението на Комисията до Европейския парламент и Съвета (COM(2026)0050 – C10</w:t>
      </w:r>
      <w:r w:rsidRPr="002B7A1F">
        <w:noBreakHyphen/>
        <w:t>0111/2026),</w:t>
      </w:r>
    </w:p>
    <w:p w:rsidR="003A54E5" w:rsidRPr="002B7A1F" w:rsidP="003A54E5" w14:paraId="50F8D929" w14:textId="77777777">
      <w:pPr>
        <w:pStyle w:val="NormalHanging12a"/>
      </w:pPr>
      <w:r w:rsidRPr="002B7A1F">
        <w:t>–</w:t>
      </w:r>
      <w:r w:rsidRPr="002B7A1F">
        <w:tab/>
        <w:t>като взе предвид Регламент (EС) 2021/691 на Европейския парламент и на Съвета от 28 април 2021 г. относно Европейския фонд за приспособяване към глобализацията за съкратени работници (ЕФПГ) и за отмяна на Регламент (ЕС) № 1309/2013</w:t>
      </w:r>
      <w:r>
        <w:rPr>
          <w:vertAlign w:val="superscript"/>
        </w:rPr>
        <w:footnoteReference w:id="2"/>
      </w:r>
      <w:r w:rsidRPr="002B7A1F">
        <w:t xml:space="preserve"> („Регламент за ЕФПГ“), изменен с Регламент (ЕС) 2026/1139</w:t>
      </w:r>
      <w:r>
        <w:rPr>
          <w:vertAlign w:val="superscript"/>
        </w:rPr>
        <w:footnoteReference w:id="3"/>
      </w:r>
      <w:r w:rsidRPr="002B7A1F">
        <w:t xml:space="preserve">, </w:t>
      </w:r>
    </w:p>
    <w:p w:rsidR="003A54E5" w:rsidRPr="002B7A1F" w:rsidP="003A54E5" w14:paraId="75AFCAAA" w14:textId="77777777">
      <w:pPr>
        <w:pStyle w:val="NormalHanging12a"/>
        <w:rPr>
          <w:noProof/>
        </w:rPr>
      </w:pPr>
      <w:r w:rsidRPr="002B7A1F">
        <w:t>–</w:t>
      </w:r>
      <w:r w:rsidRPr="002B7A1F">
        <w:tab/>
        <w:t>като взе предвид Регламент (EC, Евратом) 2020/2093 на Съвета от 17 декември 2020 г. за определяне на многогодишната финансова рамка за годините 2021 – 2027 („Регламента за МФР“)</w:t>
      </w:r>
      <w:r>
        <w:rPr>
          <w:noProof/>
          <w:vertAlign w:val="superscript"/>
        </w:rPr>
        <w:footnoteReference w:id="4"/>
      </w:r>
      <w:r w:rsidRPr="002B7A1F">
        <w:t>, изменен с Регламент (EC, Евратом) 2024/765</w:t>
      </w:r>
      <w:r>
        <w:rPr>
          <w:noProof/>
          <w:vertAlign w:val="superscript"/>
        </w:rPr>
        <w:footnoteReference w:id="5"/>
      </w:r>
      <w:r w:rsidRPr="002B7A1F">
        <w:t>, и по-специално член 8 от него,</w:t>
      </w:r>
    </w:p>
    <w:p w:rsidR="003A54E5" w:rsidRPr="002B7A1F" w:rsidP="003A54E5" w14:paraId="73FED49D" w14:textId="77777777">
      <w:pPr>
        <w:pStyle w:val="NormalHanging12a"/>
        <w:rPr>
          <w:noProof/>
        </w:rPr>
      </w:pPr>
      <w:r w:rsidRPr="002B7A1F">
        <w:t>–</w:t>
      </w:r>
      <w:r w:rsidRPr="002B7A1F">
        <w:tab/>
        <w:t xml:space="preserve">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w:t>
      </w:r>
      <w:r w:rsidRPr="002B7A1F">
        <w:t>включително пътна карта за въвеждането на нови собствени ресурси</w:t>
      </w:r>
      <w:r>
        <w:rPr>
          <w:rStyle w:val="FootnoteReference"/>
          <w:noProof/>
        </w:rPr>
        <w:footnoteReference w:id="6"/>
      </w:r>
      <w:r w:rsidRPr="002B7A1F">
        <w:t>, и по-специално точка 9 от него,</w:t>
      </w:r>
    </w:p>
    <w:p w:rsidR="003A54E5" w:rsidRPr="002B7A1F" w:rsidP="003A54E5" w14:paraId="122F8ACB" w14:textId="77777777">
      <w:pPr>
        <w:pStyle w:val="NormalHanging12a"/>
      </w:pPr>
      <w:r w:rsidRPr="002B7A1F">
        <w:t>–</w:t>
      </w:r>
      <w:r w:rsidRPr="002B7A1F">
        <w:tab/>
        <w:t>като взе предвид Европейския стълб на социалните права,</w:t>
      </w:r>
    </w:p>
    <w:p w:rsidR="003A54E5" w:rsidRPr="002B7A1F" w:rsidP="003A54E5" w14:paraId="44EC35AF" w14:textId="77777777">
      <w:pPr>
        <w:pStyle w:val="NormalHanging12a"/>
      </w:pPr>
      <w:r w:rsidRPr="002B7A1F">
        <w:t>–</w:t>
      </w:r>
      <w:r w:rsidRPr="002B7A1F">
        <w:tab/>
        <w:t>като взе предвид писмото на комисията по заетост и социални въпроси,</w:t>
      </w:r>
    </w:p>
    <w:p w:rsidR="003A54E5" w:rsidRPr="002B7A1F" w:rsidP="003A54E5" w14:paraId="34D44D4C" w14:textId="77777777">
      <w:pPr>
        <w:pStyle w:val="NormalHanging12a"/>
      </w:pPr>
      <w:r w:rsidRPr="002B7A1F">
        <w:t>–</w:t>
      </w:r>
      <w:r w:rsidRPr="002B7A1F">
        <w:tab/>
        <w:t>като взе предвид доклада на комисията по бюджети (A10-0149/2026),</w:t>
      </w:r>
    </w:p>
    <w:p w:rsidR="003A54E5" w:rsidRPr="002B7A1F" w:rsidP="003A54E5" w14:paraId="4FA62477" w14:textId="77777777">
      <w:pPr>
        <w:pStyle w:val="NormalHanging12a"/>
      </w:pPr>
      <w:r w:rsidRPr="002B7A1F">
        <w:t>А.</w:t>
      </w:r>
      <w:r w:rsidRPr="002B7A1F">
        <w:tab/>
        <w:t>като има предвид, че Съюзът създаде законодателни и бюджетни инструменти, за да осигури допълнителна подкрепа за работници, които са засегнати от последиците от големи структурни събития и промени в моделите на световната търговия, и за да ги подпомогне при повторното им интегриране на пазара на труда; като има предвид, че тази помощ се предоставя чрез финансова подкрепа за работниците; като има предвид, че поддържането на конкурентоспособността на европейската промишленост и увеличаването на инвестициите за иновации и умения са от съществено значение за предотвратяване на по-нататъшния промишлен упадък и загубата на работни места в рамките на Съюза;</w:t>
      </w:r>
    </w:p>
    <w:p w:rsidR="003A54E5" w:rsidRPr="002B7A1F" w:rsidP="003A54E5" w14:paraId="33D1CA7D" w14:textId="77777777">
      <w:pPr>
        <w:pStyle w:val="NormalHanging12a"/>
      </w:pPr>
      <w:r w:rsidRPr="002B7A1F">
        <w:t>Б.</w:t>
      </w:r>
      <w:r w:rsidRPr="002B7A1F">
        <w:tab/>
        <w:t>като има предвид, че Белгия подаде заявление EGF/2025/009 BE/</w:t>
      </w:r>
      <w:r w:rsidRPr="002B7A1F">
        <w:t>Soliver</w:t>
      </w:r>
      <w:r w:rsidRPr="002B7A1F">
        <w:t xml:space="preserve"> за финансово участие от страна на ЕФПГ вследствие на съкращаването на 803 работни места</w:t>
      </w:r>
      <w:r>
        <w:rPr>
          <w:vertAlign w:val="superscript"/>
        </w:rPr>
        <w:footnoteReference w:id="7"/>
      </w:r>
      <w:r w:rsidRPr="002B7A1F">
        <w:t xml:space="preserve"> в предприятието </w:t>
      </w:r>
      <w:r w:rsidRPr="002B7A1F">
        <w:t>Soliver</w:t>
      </w:r>
      <w:r w:rsidRPr="002B7A1F">
        <w:t xml:space="preserve"> NV (</w:t>
      </w:r>
      <w:r w:rsidRPr="002B7A1F">
        <w:t>Soliver</w:t>
      </w:r>
      <w:r w:rsidRPr="002B7A1F">
        <w:t xml:space="preserve">) в Белгия, в икономическия сектор от разделение 46 по NACE </w:t>
      </w:r>
      <w:r w:rsidRPr="002B7A1F">
        <w:t>Rev</w:t>
      </w:r>
      <w:r w:rsidRPr="002B7A1F">
        <w:t>. 2 (Търговия на едро) в провинция Източна Фландрия (BE23) и провинция Западна Фландрия (BE25), в рамките на референтен период от 1 юли 2025 г. до 1 ноември 2025 г.;</w:t>
      </w:r>
    </w:p>
    <w:p w:rsidR="003A54E5" w:rsidRPr="002B7A1F" w:rsidP="003A54E5" w14:paraId="1251EE69" w14:textId="77777777">
      <w:pPr>
        <w:pStyle w:val="NormalHanging12a"/>
      </w:pPr>
      <w:r w:rsidRPr="002B7A1F">
        <w:t>В.</w:t>
      </w:r>
      <w:r w:rsidRPr="002B7A1F">
        <w:tab/>
        <w:t>като има предвид, че заявлението се основава на критериите за намеса по член 4, параграф 2, буква а) от Регламента за ЕФПГ;</w:t>
      </w:r>
    </w:p>
    <w:p w:rsidR="003A54E5" w:rsidRPr="002B7A1F" w:rsidP="003A54E5" w14:paraId="6C33F32E" w14:textId="77777777">
      <w:pPr>
        <w:pStyle w:val="NormalHanging12a"/>
        <w:rPr>
          <w:noProof/>
        </w:rPr>
      </w:pPr>
      <w:r w:rsidRPr="002B7A1F">
        <w:t>Г.</w:t>
      </w:r>
      <w:r w:rsidRPr="002B7A1F">
        <w:tab/>
        <w:t xml:space="preserve">като има предвид молбата за обявяване на несъстоятелност, подадена от </w:t>
      </w:r>
      <w:r w:rsidRPr="002B7A1F">
        <w:t>Soliver</w:t>
      </w:r>
      <w:r w:rsidRPr="002B7A1F">
        <w:t xml:space="preserve"> през декември 2024 г.; като има предвид, че в Белгия случаите на обявяване на несъстоятелност се увеличават от 2022 г. насам и че безработицата засяга сериозно няколко региона на Фландрия;</w:t>
      </w:r>
    </w:p>
    <w:p w:rsidR="003A54E5" w:rsidRPr="002B7A1F" w:rsidP="003A54E5" w14:paraId="20051F07" w14:textId="77777777">
      <w:pPr>
        <w:pStyle w:val="NormalHanging12a"/>
        <w:rPr>
          <w:bCs/>
          <w:iCs/>
          <w:noProof/>
        </w:rPr>
      </w:pPr>
      <w:r w:rsidRPr="002B7A1F">
        <w:t>Д.</w:t>
      </w:r>
      <w:r w:rsidRPr="002B7A1F">
        <w:tab/>
        <w:t xml:space="preserve">като има предвид, че работната сила, която е засегната от закриването на </w:t>
      </w:r>
      <w:r w:rsidRPr="002B7A1F">
        <w:t>Soliver</w:t>
      </w:r>
      <w:r w:rsidRPr="002B7A1F">
        <w:t>, включва значителен дял по-възрастни работници, които се сблъскват със специфични и сложни пречки за тяхната реинтеграция на пазара на труда, включително възрастова дискриминация, несъответствия между търсените и предлаганите умения и ограничен достъп до възможности за преквалификация; като има предвид, че трябва да се въведат целенасочени мерки, за да се отговори на специфичните нужди на по-възрастните работници, включително съобразени с възрастта формати на обучение, наставничество и сътрудничество с работодателите, които са поели ангажимент за набирането на разнообразна по възраст работна сила;</w:t>
      </w:r>
    </w:p>
    <w:p w:rsidR="003A54E5" w:rsidRPr="002B7A1F" w:rsidP="003A54E5" w14:paraId="7F8417FF" w14:textId="77777777">
      <w:pPr>
        <w:pStyle w:val="NormalHanging12a"/>
      </w:pPr>
      <w:r w:rsidRPr="002B7A1F">
        <w:t>Е.</w:t>
      </w:r>
      <w:r w:rsidRPr="002B7A1F">
        <w:tab/>
        <w:t>като има предвид, че фламандските служби по заетостта (VDAB) предоставят националното предварително финансиране и съфинансиране за мерките;</w:t>
      </w:r>
    </w:p>
    <w:p w:rsidR="003A54E5" w:rsidRPr="002B7A1F" w:rsidP="003A54E5" w14:paraId="09998448" w14:textId="77777777">
      <w:pPr>
        <w:pStyle w:val="NormalHanging12a"/>
      </w:pPr>
      <w:r w:rsidRPr="002B7A1F">
        <w:t>Ж.</w:t>
      </w:r>
      <w:r w:rsidRPr="002B7A1F">
        <w:tab/>
        <w:t xml:space="preserve">като има предвид, че са изпълнени изискванията относно колективните </w:t>
      </w:r>
      <w:r w:rsidRPr="002B7A1F">
        <w:t>съкращения, определени в законодателството на Съюза и в националното законодателство;</w:t>
      </w:r>
    </w:p>
    <w:p w:rsidR="003A54E5" w:rsidRPr="002B7A1F" w:rsidP="003A54E5" w14:paraId="61746E55" w14:textId="77777777">
      <w:pPr>
        <w:pStyle w:val="NormalHanging12a"/>
      </w:pPr>
      <w:r w:rsidRPr="002B7A1F">
        <w:t>З.</w:t>
      </w:r>
      <w:r w:rsidRPr="002B7A1F">
        <w:tab/>
        <w:t xml:space="preserve">като има предвид, че финансовото участие от ЕФПГ следва да бъде насочено главно към активни мерки на политиката на пазара на труда и към персонализирани услуги, целящи трайна реинтеграция на </w:t>
      </w:r>
      <w:r w:rsidRPr="002B7A1F">
        <w:t>бенефициерите</w:t>
      </w:r>
      <w:r w:rsidRPr="002B7A1F">
        <w:t xml:space="preserve"> на пазара на труда, при осигуряване на качествени условия на заетост, като същевременно им се предлага обучение за придобиването на умения, така че да се улесни тяхната реинтеграция на пазара на труда;</w:t>
      </w:r>
    </w:p>
    <w:p w:rsidR="003A54E5" w:rsidRPr="002B7A1F" w:rsidP="003A54E5" w14:paraId="4AB9AB37" w14:textId="77777777">
      <w:pPr>
        <w:pStyle w:val="NormalHanging12a"/>
      </w:pPr>
      <w:r w:rsidRPr="002B7A1F">
        <w:t>И.</w:t>
      </w:r>
      <w:r w:rsidRPr="002B7A1F">
        <w:tab/>
        <w:t>като има предвид, че ЕФПГ не надхвърля максимален годишен размер от 30 милиона евро (по цени от 2018 г.)</w:t>
      </w:r>
      <w:r>
        <w:rPr>
          <w:rStyle w:val="FootnoteReference"/>
        </w:rPr>
        <w:footnoteReference w:id="8"/>
      </w:r>
      <w:r w:rsidRPr="002B7A1F">
        <w:t>;</w:t>
      </w:r>
    </w:p>
    <w:p w:rsidR="003A54E5" w:rsidRPr="002B7A1F" w:rsidP="003A54E5" w14:paraId="4FEA2BE1" w14:textId="77777777">
      <w:pPr>
        <w:pStyle w:val="NormalHanging12a"/>
      </w:pPr>
      <w:r w:rsidRPr="002B7A1F">
        <w:t>1.</w:t>
      </w:r>
      <w:r w:rsidRPr="002B7A1F">
        <w:tab/>
        <w:t>изразява съгласие с Комисията, че условията по Регламента за ЕФПГ, и по-специално по член 4, параграф 2, буква а) от него, са изпълнени и че Белгия има право на финансово подпомагане в размер на 2 132 535 EUR съгласно посочения регламент, което съставлява 85% от общите разходи в размер на 2 508 865 EUR, като те включват разходи за персонализирани услуги в размер на 2 412 465 EUR и разходи за дейности по подготовка, управление, предоставяне на информация и публичност, контрол и докладване, в размер на 96 400 EUR;</w:t>
      </w:r>
    </w:p>
    <w:p w:rsidR="003A54E5" w:rsidRPr="002B7A1F" w:rsidP="003A54E5" w14:paraId="65A23AD7" w14:textId="77777777">
      <w:pPr>
        <w:pStyle w:val="NormalHanging12a"/>
      </w:pPr>
      <w:r w:rsidRPr="002B7A1F">
        <w:t>2.</w:t>
      </w:r>
      <w:r w:rsidRPr="002B7A1F">
        <w:tab/>
        <w:t>отбелязва, че белгийските органи подадоха заявлението на 22 декември 2025 г. и че след получаването на допълнителна информация от Белгия, Комисията приключи оценката си на 30 април 2026 г., почти един месец преди крайния срок, и уведоми Парламента за това още на същия ден; подчертава, че е важно да се съкрати времето между подаването на заявление за подпомагане от ЕФПГ и вземането на решение за финансиране, при пълно зачитане на правата на Европейския парламент, в качеството му на подразделение на бюджетния орган;</w:t>
      </w:r>
    </w:p>
    <w:p w:rsidR="003A54E5" w:rsidRPr="002B7A1F" w:rsidP="003A54E5" w14:paraId="1BB83DB9" w14:textId="77777777">
      <w:pPr>
        <w:pStyle w:val="NormalHanging12a"/>
        <w:rPr>
          <w:noProof/>
        </w:rPr>
      </w:pPr>
      <w:r w:rsidRPr="002B7A1F">
        <w:t>3.</w:t>
      </w:r>
      <w:r w:rsidRPr="002B7A1F">
        <w:tab/>
        <w:t xml:space="preserve">отбелязва, че заявлението се отнася до целева група от 803 </w:t>
      </w:r>
      <w:r w:rsidRPr="002B7A1F">
        <w:t>бенефициери</w:t>
      </w:r>
      <w:r w:rsidRPr="002B7A1F">
        <w:t xml:space="preserve">, съкратени от предприятието </w:t>
      </w:r>
      <w:r w:rsidRPr="002B7A1F">
        <w:t>Soliver</w:t>
      </w:r>
      <w:r w:rsidRPr="002B7A1F">
        <w:t>;</w:t>
      </w:r>
    </w:p>
    <w:p w:rsidR="003A54E5" w:rsidRPr="002B7A1F" w:rsidP="003A54E5" w14:paraId="0624A01A" w14:textId="77777777">
      <w:pPr>
        <w:pStyle w:val="NormalHanging12a"/>
      </w:pPr>
      <w:r w:rsidRPr="002B7A1F">
        <w:t>4.</w:t>
      </w:r>
      <w:r w:rsidRPr="002B7A1F">
        <w:tab/>
        <w:t xml:space="preserve">отбелязва, че предприятието </w:t>
      </w:r>
      <w:r w:rsidRPr="002B7A1F">
        <w:t>Soliver</w:t>
      </w:r>
      <w:r w:rsidRPr="002B7A1F">
        <w:t xml:space="preserve">, производител на стъклени продукти за строителството и автомобилния сектор, е пренасочило фокуса си единствено към производството на високотехнологични стъкла за автомобили, след придобиването му от дружеството American </w:t>
      </w:r>
      <w:r w:rsidRPr="002B7A1F">
        <w:t>Glass</w:t>
      </w:r>
      <w:r w:rsidRPr="002B7A1F">
        <w:t xml:space="preserve"> Products Holding (AGP) през 2018 г.; отбелязва, че предприятието е започнало да изпитва затруднения главно поради спада на производството в автомобилния сектор, като това се дължи на забавеното производство на определени модели автомобили, за които са били предназначени продуктите на дружеството, което в крайна сметка е довело до сериозно намаляване на рентабилността и до обявяване на несъстоятелност;</w:t>
      </w:r>
    </w:p>
    <w:p w:rsidR="003A54E5" w:rsidRPr="002B7A1F" w:rsidP="003A54E5" w14:paraId="461EBA45" w14:textId="77777777">
      <w:pPr>
        <w:pStyle w:val="NormalHanging12a"/>
        <w:rPr>
          <w:bCs/>
          <w:iCs/>
        </w:rPr>
      </w:pPr>
      <w:r w:rsidRPr="002B7A1F">
        <w:t>5.</w:t>
      </w:r>
      <w:r w:rsidRPr="002B7A1F">
        <w:tab/>
        <w:t>отбелязва, че стъкларската промишленост е енергоемък сектор и е сериозно засегната от трайно високите цени на енергията, които подкопават значително нейната конкурентоспособност; подчертава, че постигането на конкурентни цени на енергията в дългосрочен план изисква значително увеличение на надеждните и достъпни доставки на енергия, включително чрез диверсификация на енергийните източници и маршрутите за доставка, развитие на вътрешното производство на енергия и пълно завършване на Енергийния съюз;</w:t>
      </w:r>
    </w:p>
    <w:p w:rsidR="003A54E5" w:rsidRPr="002B7A1F" w:rsidP="003A54E5" w14:paraId="23DCC515" w14:textId="77777777">
      <w:pPr>
        <w:pStyle w:val="NormalHanging12a"/>
        <w:rPr>
          <w:bCs/>
          <w:iCs/>
        </w:rPr>
      </w:pPr>
      <w:r w:rsidRPr="002B7A1F">
        <w:t>6.</w:t>
      </w:r>
      <w:r w:rsidRPr="002B7A1F">
        <w:tab/>
        <w:t>отбелязва, че работниците с техническа квалификация или тези, които желаят да се преквалифицират, имат най-благоприятни перспективи за заетост, но това се дължи на недостига на технически специалисти поради слабото участие на младите хора в професионалното обучение и застаряването на работната сила; подчертава, че реинтеграцията на съкратените работници и осигуряването на равен достъп до качествени възможности за обучение е от ключово значение за изграждането на една ориентирана към бъдещето европейска икономика със силна промишлена база; подчертава значението на укрепването на конкурентоспособността на промишлеността на Съюза в този контекст;</w:t>
      </w:r>
    </w:p>
    <w:p w:rsidR="003A54E5" w:rsidRPr="002B7A1F" w:rsidP="003A54E5" w14:paraId="67816C33" w14:textId="77777777">
      <w:pPr>
        <w:pStyle w:val="NormalHanging12a"/>
        <w:rPr>
          <w:noProof/>
        </w:rPr>
      </w:pPr>
      <w:r w:rsidRPr="002B7A1F">
        <w:t>7.</w:t>
      </w:r>
      <w:r w:rsidRPr="002B7A1F">
        <w:tab/>
        <w:t>изразява съжаление за това, че през последните няколко години увеличеният брой на изпадащите в несъстоятелност предприятия оказва отрицателно въздействие върху равнището на безработица в някои региони на Белгия, по-специално в региона на Фландрия; подчертава, че във Фландрия съкратените по-възрастни работници се сблъскват с по-големи пречки при завръщането си на пазара на труда; призовава белгийските органи да предоставят специфична подкрепа, насочена към подпомагане на работниците да доразвият необходимите умения за намиране на нови качествени работни места, като същевременно се предприемат мерки за намаляване на случаите на изпадане в несъстоятелност и преодоляване на социалните различия, водещи до изключване на работната сила;</w:t>
      </w:r>
    </w:p>
    <w:p w:rsidR="003A54E5" w:rsidRPr="002B7A1F" w:rsidP="003A54E5" w14:paraId="6B20DBDB" w14:textId="77777777">
      <w:pPr>
        <w:pStyle w:val="NormalHanging12a"/>
      </w:pPr>
      <w:r w:rsidRPr="002B7A1F">
        <w:t>8.</w:t>
      </w:r>
      <w:r w:rsidRPr="002B7A1F">
        <w:tab/>
        <w:t>припомня, че със съгласието на експерти и на социалните партньори персонализираните услуги, които ще бъдат предоставени на съкратените работници, включват следните мерки: работна група от опитни консултанти и мениджъри по обслужване на клиенти ще предоставят персонализирани консултантски услуги; услуги по пренасочване, с предоставяне на индивидуални насоки; помощ при намиране на работа; засилено съдействие при търсенето на работа; обучение и преквалификация, включително обучение на работното място; участие в трудови борси; подчертава, че е важно да се насърчават качествени, ориентирани към бъдещето работни места, които засилват конкурентоспособността и подкрепят дигиталната трансформация;</w:t>
      </w:r>
    </w:p>
    <w:p w:rsidR="003A54E5" w:rsidRPr="002B7A1F" w:rsidP="003A54E5" w14:paraId="669F6002" w14:textId="77777777">
      <w:pPr>
        <w:pStyle w:val="NormalHanging12a"/>
      </w:pPr>
      <w:r w:rsidRPr="002B7A1F">
        <w:t>9.</w:t>
      </w:r>
      <w:r w:rsidRPr="002B7A1F">
        <w:tab/>
        <w:t>припомня, че ЕФПГ е инструмент за солидарност и справедлив преход, и че макар да предоставя подкрепа след загубата на работни места, той не може да замени проактивната промишлена политика; счита, че мобилизирането на ЕФПГ трябва да бъде включено в рамките на по-всеобхватни ответни мерки на политиката на всички политически нива, за да се гарантира, че засегнатите работници ще намерят подходящи възможности за работа, в съответствие с техните квалификации и умения; подчертава, че основната задача на Съюза трябва да бъде да се предотврати затварянето на производствени обекти, на първо място чрез създаване на условия за запазване на конкурентоспособността на промишленото производство и финансово устойчивите системи за социално осигуряване, като същевременно се инвестира в умения както за висококвалифицираните работници, така и за работниците в промишлеността; подчертава необходимостта да се предостави специфична подкрепа, съобразена с профилите на работниците, като същевременно се предприемат мерки за намаляване на случаите на несъстоятелност и за преодоляване на социалните различия, водещи до изключване на работната сила; подчертава, че намаляването на ненужната регулаторна и административна тежест е важно за подкрепа на конкурентоспособността на промишлеността, привличане на инвестиции и запазване на качествените работни места в Съюза;</w:t>
      </w:r>
    </w:p>
    <w:p w:rsidR="003A54E5" w:rsidRPr="002B7A1F" w:rsidP="003A54E5" w14:paraId="452739F1" w14:textId="77777777">
      <w:pPr>
        <w:pStyle w:val="NormalHanging12a"/>
        <w:rPr>
          <w:bCs/>
          <w:iCs/>
        </w:rPr>
      </w:pPr>
      <w:r w:rsidRPr="002B7A1F">
        <w:t>10.</w:t>
      </w:r>
      <w:r w:rsidRPr="002B7A1F">
        <w:tab/>
        <w:t xml:space="preserve">подчертава, че белгийските органи следва да гарантират видимостта на финансирането от Съюза и да изтъкват неговата добавена стойност, като предоставят ефективна и целенасочена информация на </w:t>
      </w:r>
      <w:r w:rsidRPr="002B7A1F">
        <w:t>бенефициерите</w:t>
      </w:r>
      <w:r w:rsidRPr="002B7A1F">
        <w:t>, регионалните и местните органи на управление, социалните партньори и широката общественост;</w:t>
      </w:r>
    </w:p>
    <w:p w:rsidR="003A54E5" w:rsidRPr="002B7A1F" w:rsidP="003A54E5" w14:paraId="0CE6BF46" w14:textId="77777777">
      <w:pPr>
        <w:pStyle w:val="NormalHanging12a"/>
      </w:pPr>
      <w:r w:rsidRPr="002B7A1F">
        <w:t>11.</w:t>
      </w:r>
      <w:r w:rsidRPr="002B7A1F">
        <w:tab/>
        <w:t>призовава Комисията да гарантира еднаква видимост на инструмента във всички държави членки и да насърчава неговата добавена стойност чрез разпространението на целенасочена информация до националните органи, които следва да предават тази информация на дружествата, засегнати от съкращения, както и на регионалните и местните органи, социалните партньори и широката общественост;</w:t>
      </w:r>
    </w:p>
    <w:p w:rsidR="003A54E5" w:rsidRPr="002B7A1F" w:rsidP="003A54E5" w14:paraId="0B44A96A" w14:textId="77777777">
      <w:pPr>
        <w:pStyle w:val="NormalHanging12a"/>
        <w:rPr>
          <w:bCs/>
          <w:iCs/>
        </w:rPr>
      </w:pPr>
      <w:r w:rsidRPr="002B7A1F">
        <w:t>12.</w:t>
      </w:r>
      <w:r w:rsidRPr="002B7A1F">
        <w:tab/>
        <w:t>призовава за извършване на задълбочени окончателни оценки на приложените мерки, заедно със социалните партньори, включително ясна и прозрачна информация за това как са били използвани средствата, за реинтеграцията на работниците на пазара на труда, както и дали целите на ЕФПГ са били постигнати; подчертава в този контекст значението на редовния мониторинг на финансираните от ЕФПГ мерки, за да се оцени тяхната ефективност;</w:t>
      </w:r>
    </w:p>
    <w:p w:rsidR="003A54E5" w:rsidRPr="002B7A1F" w:rsidP="003A54E5" w14:paraId="6423F7D6" w14:textId="77777777">
      <w:pPr>
        <w:pStyle w:val="NormalHanging12a"/>
      </w:pPr>
      <w:r w:rsidRPr="002B7A1F">
        <w:t>13.</w:t>
      </w:r>
      <w:r w:rsidRPr="002B7A1F">
        <w:tab/>
        <w:t xml:space="preserve">отбелязва, че Белгия е започнала да предоставя персонализирани услуги на </w:t>
      </w:r>
      <w:r w:rsidRPr="002B7A1F">
        <w:t>бенефициерите</w:t>
      </w:r>
      <w:r w:rsidRPr="002B7A1F">
        <w:t xml:space="preserve"> от целевата група и е поела административните разходи за прилагането на ЕФПГ на 11 юни 2025 г., и че следователно периодът на допустимост за предоставяне на финансов принос от ЕФПГ ще бъде от тази дата до съответно 24 месеца и 31 месеца след датата на влизане в сила на решението за финансиране;</w:t>
      </w:r>
    </w:p>
    <w:p w:rsidR="003A54E5" w:rsidRPr="002B7A1F" w:rsidP="003A54E5" w14:paraId="52E7ACA6" w14:textId="77777777">
      <w:pPr>
        <w:pStyle w:val="NormalHanging12a"/>
      </w:pPr>
      <w:r w:rsidRPr="002B7A1F">
        <w:t>14.</w:t>
      </w:r>
      <w:r w:rsidRPr="002B7A1F">
        <w:tab/>
        <w:t>отбелязва, че белгийските органи са представили гаранции, че принципите на равно третиране и недискриминация ще се спазват при достъпа до предложените действия и при тяхното изпълнение, както и че няма да бъде допуснато дублиране на финансирането;</w:t>
      </w:r>
    </w:p>
    <w:p w:rsidR="003A54E5" w:rsidRPr="002B7A1F" w:rsidP="003A54E5" w14:paraId="1CD74954" w14:textId="77777777">
      <w:pPr>
        <w:pStyle w:val="NormalHanging12a"/>
      </w:pPr>
      <w:r w:rsidRPr="002B7A1F">
        <w:t>15.</w:t>
      </w:r>
      <w:r w:rsidRPr="002B7A1F">
        <w:tab/>
        <w:t>заявява отново, че помощта от ЕФПГ не трябва да замества действията, които са задължение на публичните органи или на предприятията, по силата на националното законодателство или на колективните трудови договори; припомня, че ЕФПГ е ограничен, целенасочен и допълващ механизъм;</w:t>
      </w:r>
    </w:p>
    <w:p w:rsidR="003A54E5" w:rsidRPr="002B7A1F" w:rsidP="003A54E5" w14:paraId="0A24DA02" w14:textId="77777777">
      <w:pPr>
        <w:pStyle w:val="NormalHanging12a"/>
      </w:pPr>
      <w:r w:rsidRPr="002B7A1F">
        <w:t>16.</w:t>
      </w:r>
      <w:r w:rsidRPr="002B7A1F">
        <w:tab/>
        <w:t>одобрява приложеното към настоящата резолюция решение;</w:t>
      </w:r>
    </w:p>
    <w:p w:rsidR="003A54E5" w:rsidRPr="002B7A1F" w:rsidP="003A54E5" w14:paraId="42CC44EF" w14:textId="77777777">
      <w:pPr>
        <w:pStyle w:val="NormalHanging12a"/>
      </w:pPr>
      <w:r w:rsidRPr="002B7A1F">
        <w:t>17.</w:t>
      </w:r>
      <w:r w:rsidRPr="002B7A1F">
        <w:tab/>
        <w:t xml:space="preserve">възлага на своя председател да подпише настоящото решение, заедно с председателя на Съвета, и да осигури публикуването му в </w:t>
      </w:r>
      <w:r w:rsidRPr="002B7A1F">
        <w:rPr>
          <w:i/>
        </w:rPr>
        <w:t>Официален вестник на Европейския съюз</w:t>
      </w:r>
      <w:r w:rsidRPr="002B7A1F">
        <w:t>;</w:t>
      </w:r>
    </w:p>
    <w:p w:rsidR="003A54E5" w:rsidRPr="002B7A1F" w:rsidP="003A54E5" w14:paraId="317D663B" w14:textId="77777777">
      <w:pPr>
        <w:pStyle w:val="NormalHanging12a"/>
      </w:pPr>
      <w:r w:rsidRPr="002B7A1F">
        <w:t>18.</w:t>
      </w:r>
      <w:r w:rsidRPr="002B7A1F">
        <w:tab/>
        <w:t>възлага на своя председател да предаде настоящата резолюция, включително и приложението към нея, съответно на Съвета и на Комисията.</w:t>
      </w:r>
    </w:p>
    <w:p w:rsidR="003A54E5" w:rsidRPr="002B7A1F" w:rsidP="003A54E5" w14:paraId="32C7C45E" w14:textId="77777777">
      <w:pPr>
        <w:pStyle w:val="NormalHanging12a"/>
      </w:pPr>
    </w:p>
    <w:p w:rsidR="003A54E5" w:rsidRPr="002B7A1F" w:rsidP="003A54E5" w14:paraId="34C5294F" w14:textId="77777777">
      <w:pPr>
        <w:rPr>
          <w:noProof/>
        </w:rPr>
      </w:pPr>
    </w:p>
    <w:p w:rsidR="003A54E5" w:rsidRPr="002B7A1F" w:rsidP="003A54E5" w14:paraId="0ACE8967" w14:textId="77777777">
      <w:pPr>
        <w:pStyle w:val="PageHeading"/>
        <w:rPr>
          <w:noProof/>
        </w:rPr>
        <w:sectPr w:rsidSect="002B7A1F">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905D2" w:rsidP="003A54E5" w14:paraId="2CAB60E3" w14:textId="77777777">
      <w:pPr>
        <w:pStyle w:val="PageHeading"/>
        <w:rPr>
          <w:rFonts w:ascii="Times New Roman" w:hAnsi="Times New Roman" w:cs="Times New Roman"/>
        </w:rPr>
      </w:pPr>
      <w:bookmarkStart w:id="7" w:name="_Toc232173697"/>
      <w:r w:rsidRPr="00D905D2">
        <w:rPr>
          <w:rFonts w:ascii="Times New Roman" w:hAnsi="Times New Roman" w:cs="Times New Roman"/>
        </w:rPr>
        <w:t>ПРИЛОЖЕНИЕ</w:t>
      </w:r>
    </w:p>
    <w:p w:rsidR="003A54E5" w:rsidRPr="00D905D2" w:rsidP="003A54E5" w14:paraId="3079F5C2" w14:textId="3274248F">
      <w:pPr>
        <w:pStyle w:val="PageHeading"/>
        <w:rPr>
          <w:rFonts w:ascii="Times New Roman" w:hAnsi="Times New Roman" w:cs="Times New Roman"/>
          <w:noProof/>
        </w:rPr>
      </w:pPr>
      <w:r w:rsidRPr="00D905D2">
        <w:rPr>
          <w:rFonts w:ascii="Times New Roman" w:hAnsi="Times New Roman" w:cs="Times New Roman"/>
        </w:rPr>
        <w:t>РЕШЕНИЕ НА ЕВРОПЕЙСКИЯ ПАРЛАМЕНТ И НА СЪВЕТА</w:t>
      </w:r>
      <w:bookmarkEnd w:id="7"/>
    </w:p>
    <w:p w:rsidR="003A54E5" w:rsidRPr="002B7A1F" w:rsidP="00D905D2" w14:paraId="51D5D5F0" w14:textId="77777777">
      <w:pPr>
        <w:pStyle w:val="Titreobjet"/>
        <w:rPr>
          <w:noProof/>
        </w:rPr>
      </w:pPr>
      <w:r w:rsidRPr="002B7A1F">
        <w:t>за мобилизиране на средства от Европейския фонд за приспособяване към глобализацията за съкратени работници във връзка със заявление от Белгия — EGF/2025/009 BE/</w:t>
      </w:r>
      <w:r w:rsidRPr="002B7A1F">
        <w:t>Soliver</w:t>
      </w:r>
    </w:p>
    <w:p w:rsidR="003A54E5" w:rsidRPr="002B7A1F" w:rsidP="00D905D2" w14:paraId="3BA8A72C" w14:textId="1FB8CF12">
      <w:pPr>
        <w:pStyle w:val="Institutionquisigne"/>
        <w:spacing w:before="100" w:beforeAutospacing="1" w:after="100" w:afterAutospacing="1"/>
        <w:rPr>
          <w:noProof/>
        </w:rPr>
      </w:pPr>
      <w:bookmarkStart w:id="8" w:name="_Hlk228802707"/>
      <w:bookmarkEnd w:id="8"/>
      <w:r w:rsidRPr="0051470D">
        <w:rPr>
          <w:szCs w:val="24"/>
          <w:lang w:eastAsia="de-DE"/>
        </w:rPr>
        <w:t xml:space="preserve">(Текстът на това </w:t>
      </w:r>
      <w:r w:rsidRPr="00D905D2">
        <w:rPr>
          <w:szCs w:val="24"/>
          <w:lang w:eastAsia="de-DE"/>
        </w:rPr>
        <w:t xml:space="preserve">приложение не е възпроизведен тук, тъй като той съответства на окончателния акт, Решение </w:t>
      </w:r>
      <w:r w:rsidRPr="00D905D2">
        <w:rPr>
          <w:szCs w:val="24"/>
          <w:lang w:val="lt-LT" w:eastAsia="de-DE"/>
        </w:rPr>
        <w:t>(</w:t>
      </w:r>
      <w:r w:rsidRPr="00D905D2">
        <w:rPr>
          <w:szCs w:val="24"/>
          <w:lang w:eastAsia="de-DE"/>
        </w:rPr>
        <w:t>ЕС</w:t>
      </w:r>
      <w:r w:rsidRPr="00D905D2">
        <w:rPr>
          <w:szCs w:val="24"/>
          <w:lang w:val="lt-LT" w:eastAsia="de-DE"/>
        </w:rPr>
        <w:t xml:space="preserve">) </w:t>
      </w:r>
      <w:r w:rsidRPr="00D905D2">
        <w:rPr>
          <w:iCs/>
          <w:szCs w:val="24"/>
          <w:lang w:val="lt-LT"/>
        </w:rPr>
        <w:t>2026/1543</w:t>
      </w:r>
      <w:r w:rsidRPr="00D905D2">
        <w:rPr>
          <w:szCs w:val="24"/>
          <w:lang w:eastAsia="de-DE"/>
        </w:rPr>
        <w:t>.)</w:t>
      </w:r>
    </w:p>
    <w:sectPr w:rsidSect="002B7A1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54E5" w:rsidRPr="002B7A1F" w:rsidP="003A477D" w14:paraId="054B05B7" w14:textId="77777777">
    <w:pPr>
      <w:pStyle w:val="EPFooter"/>
    </w:pPr>
    <w:r w:rsidRPr="002B7A1F">
      <w:t>PE</w:t>
    </w:r>
    <w:r w:rsidRPr="002B7A1F">
      <w:rPr>
        <w:rStyle w:val="HideTWBExt"/>
      </w:rPr>
      <w:t>&lt;</w:t>
    </w:r>
    <w:r w:rsidRPr="002B7A1F">
      <w:rPr>
        <w:rStyle w:val="HideTWBExt"/>
      </w:rPr>
      <w:t>NoPE</w:t>
    </w:r>
    <w:r w:rsidRPr="002B7A1F">
      <w:rPr>
        <w:rStyle w:val="HideTWBExt"/>
      </w:rPr>
      <w:t>&gt;</w:t>
    </w:r>
    <w:r w:rsidRPr="002B7A1F">
      <w:t>787.923</w:t>
    </w:r>
    <w:r w:rsidRPr="002B7A1F">
      <w:rPr>
        <w:rStyle w:val="HideTWBExt"/>
      </w:rPr>
      <w:t>&lt;/</w:t>
    </w:r>
    <w:r w:rsidRPr="002B7A1F">
      <w:rPr>
        <w:rStyle w:val="HideTWBExt"/>
      </w:rPr>
      <w:t>NoPE</w:t>
    </w:r>
    <w:r w:rsidRPr="002B7A1F">
      <w:rPr>
        <w:rStyle w:val="HideTWBExt"/>
      </w:rPr>
      <w:t>&gt;&lt;Version&gt;</w:t>
    </w:r>
    <w:r w:rsidRPr="002B7A1F">
      <w:t>v02-00</w:t>
    </w:r>
    <w:r w:rsidRPr="002B7A1F">
      <w:rPr>
        <w:rStyle w:val="HideTWBExt"/>
      </w:rPr>
      <w:t>&lt;/</w:t>
    </w:r>
    <w:r w:rsidRPr="002B7A1F">
      <w:rPr>
        <w:rStyle w:val="HideTWBExt"/>
      </w:rPr>
      <w:t>Version</w:t>
    </w:r>
    <w:r w:rsidRPr="002B7A1F">
      <w:rPr>
        <w:rStyle w:val="HideTWBExt"/>
      </w:rPr>
      <w:t>&gt;</w:t>
    </w:r>
    <w:r w:rsidRPr="002B7A1F">
      <w:tab/>
    </w:r>
    <w:r w:rsidRPr="002B7A1F">
      <w:fldChar w:fldCharType="begin"/>
    </w:r>
    <w:r w:rsidRPr="002B7A1F">
      <w:instrText xml:space="preserve"> PAGE  \* MERGEFORMAT </w:instrText>
    </w:r>
    <w:r w:rsidRPr="002B7A1F">
      <w:fldChar w:fldCharType="separate"/>
    </w:r>
    <w:r w:rsidRPr="002B7A1F">
      <w:rPr>
        <w:noProof/>
      </w:rPr>
      <w:t>2</w:t>
    </w:r>
    <w:r w:rsidRPr="002B7A1F">
      <w:fldChar w:fldCharType="end"/>
    </w:r>
    <w:r w:rsidRPr="002B7A1F">
      <w:t>/</w:t>
    </w:r>
    <w:r>
      <w:fldChar w:fldCharType="begin"/>
    </w:r>
    <w:r>
      <w:instrText xml:space="preserve"> NUMPAGES  \* MERGEFORMAT </w:instrText>
    </w:r>
    <w:r>
      <w:fldChar w:fldCharType="separate"/>
    </w:r>
    <w:r w:rsidRPr="002B7A1F">
      <w:rPr>
        <w:noProof/>
      </w:rPr>
      <w:t>20</w:t>
    </w:r>
    <w:r w:rsidRPr="002B7A1F">
      <w:rPr>
        <w:noProof/>
      </w:rPr>
      <w:fldChar w:fldCharType="end"/>
    </w:r>
    <w:r w:rsidRPr="002B7A1F">
      <w:tab/>
    </w:r>
    <w:r w:rsidRPr="002B7A1F">
      <w:rPr>
        <w:rStyle w:val="HideTWBExt"/>
      </w:rPr>
      <w:t>&lt;PathFdR&gt;</w:t>
    </w:r>
    <w:r w:rsidRPr="002B7A1F">
      <w:t>RR\1345097BG.docx</w:t>
    </w:r>
    <w:r w:rsidRPr="002B7A1F">
      <w:rPr>
        <w:rStyle w:val="HideTWBExt"/>
      </w:rPr>
      <w:t>&lt;/</w:t>
    </w:r>
    <w:r w:rsidRPr="002B7A1F">
      <w:rPr>
        <w:rStyle w:val="HideTWBExt"/>
      </w:rPr>
      <w:t>PathFdR</w:t>
    </w:r>
    <w:r w:rsidRPr="002B7A1F">
      <w:rPr>
        <w:rStyle w:val="HideTWBExt"/>
      </w:rPr>
      <w:t>&gt;</w:t>
    </w:r>
  </w:p>
  <w:p w:rsidR="003A54E5" w:rsidRPr="002B7A1F" w:rsidP="003A477D" w14:paraId="2A26F3E1" w14:textId="77777777">
    <w:pPr>
      <w:pStyle w:val="EPFooter2"/>
    </w:pPr>
    <w:r w:rsidRPr="002B7A1F">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A54E5" w:rsidRPr="002B7A1F" w:rsidP="003A477D" w14:paraId="7A60E480" w14:textId="77777777">
    <w:pPr>
      <w:pStyle w:val="EPFooter"/>
    </w:pPr>
    <w:r w:rsidRPr="002B7A1F">
      <w:rPr>
        <w:rStyle w:val="HideTWBExt"/>
      </w:rPr>
      <w:t>&lt;PathFdR&gt;</w:t>
    </w:r>
    <w:r w:rsidRPr="002B7A1F">
      <w:t>RR\1345097BG.docx</w:t>
    </w:r>
    <w:r w:rsidRPr="002B7A1F">
      <w:rPr>
        <w:rStyle w:val="HideTWBExt"/>
      </w:rPr>
      <w:t>&lt;/</w:t>
    </w:r>
    <w:r w:rsidRPr="002B7A1F">
      <w:rPr>
        <w:rStyle w:val="HideTWBExt"/>
      </w:rPr>
      <w:t>PathFdR</w:t>
    </w:r>
    <w:r w:rsidRPr="002B7A1F">
      <w:rPr>
        <w:rStyle w:val="HideTWBExt"/>
      </w:rPr>
      <w:t>&gt;</w:t>
    </w:r>
    <w:r w:rsidRPr="002B7A1F">
      <w:tab/>
    </w:r>
    <w:r w:rsidRPr="002B7A1F">
      <w:tab/>
      <w:t>PE</w:t>
    </w:r>
    <w:r w:rsidRPr="002B7A1F">
      <w:rPr>
        <w:rStyle w:val="HideTWBExt"/>
      </w:rPr>
      <w:t>&lt;</w:t>
    </w:r>
    <w:r w:rsidRPr="002B7A1F">
      <w:rPr>
        <w:rStyle w:val="HideTWBExt"/>
      </w:rPr>
      <w:t>NoPE</w:t>
    </w:r>
    <w:r w:rsidRPr="002B7A1F">
      <w:rPr>
        <w:rStyle w:val="HideTWBExt"/>
      </w:rPr>
      <w:t>&gt;</w:t>
    </w:r>
    <w:r w:rsidRPr="002B7A1F">
      <w:t>787.923</w:t>
    </w:r>
    <w:r w:rsidRPr="002B7A1F">
      <w:rPr>
        <w:rStyle w:val="HideTWBExt"/>
      </w:rPr>
      <w:t>&lt;/</w:t>
    </w:r>
    <w:r w:rsidRPr="002B7A1F">
      <w:rPr>
        <w:rStyle w:val="HideTWBExt"/>
      </w:rPr>
      <w:t>NoPE</w:t>
    </w:r>
    <w:r w:rsidRPr="002B7A1F">
      <w:rPr>
        <w:rStyle w:val="HideTWBExt"/>
      </w:rPr>
      <w:t>&gt;&lt;Version&gt;</w:t>
    </w:r>
    <w:r w:rsidRPr="002B7A1F">
      <w:t>v02-00</w:t>
    </w:r>
    <w:r w:rsidRPr="002B7A1F">
      <w:rPr>
        <w:rStyle w:val="HideTWBExt"/>
      </w:rPr>
      <w:t>&lt;/</w:t>
    </w:r>
    <w:r w:rsidRPr="002B7A1F">
      <w:rPr>
        <w:rStyle w:val="HideTWBExt"/>
      </w:rPr>
      <w:t>Version</w:t>
    </w:r>
    <w:r w:rsidRPr="002B7A1F">
      <w:rPr>
        <w:rStyle w:val="HideTWBExt"/>
      </w:rPr>
      <w:t>&gt;</w:t>
    </w:r>
  </w:p>
  <w:p w:rsidR="003A54E5" w:rsidRPr="002B7A1F" w:rsidP="003A477D" w14:paraId="722B089E" w14:textId="77777777">
    <w:pPr>
      <w:pStyle w:val="EPFooter2"/>
    </w:pPr>
    <w:r w:rsidRPr="002B7A1F">
      <w:t>BG</w:t>
    </w:r>
    <w:r w:rsidRPr="002B7A1F">
      <w:tab/>
    </w:r>
    <w:r w:rsidRPr="002B7A1F">
      <w:rPr>
        <w:b w:val="0"/>
        <w:i/>
        <w:color w:val="C0C0C0"/>
        <w:sz w:val="22"/>
      </w:rPr>
      <w:t>Единство в многообразието</w:t>
    </w:r>
    <w:r w:rsidRPr="002B7A1F">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7A1F" w14:paraId="3D7066AC"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7A1F" w14:paraId="06A6155F"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7A1F" w14:paraId="19B64338"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26ED4" w:rsidRPr="002B7A1F" w14:paraId="304E605F" w14:textId="77777777">
      <w:r w:rsidRPr="002B7A1F">
        <w:separator/>
      </w:r>
    </w:p>
  </w:footnote>
  <w:footnote w:type="continuationSeparator" w:id="1">
    <w:p w:rsidR="00226ED4" w:rsidRPr="002B7A1F" w14:paraId="5F34FF31" w14:textId="77777777">
      <w:r w:rsidRPr="002B7A1F">
        <w:continuationSeparator/>
      </w:r>
    </w:p>
  </w:footnote>
  <w:footnote w:id="2">
    <w:p w:rsidR="003A54E5" w:rsidRPr="002B7A1F" w:rsidP="002B7A1F" w14:paraId="45FB2C4C" w14:textId="5C7AF6A0">
      <w:pPr>
        <w:pStyle w:val="FootnoteText"/>
        <w:ind w:left="567" w:hanging="567"/>
        <w:rPr>
          <w:sz w:val="24"/>
          <w:lang w:val="bg-BG"/>
        </w:rPr>
      </w:pPr>
      <w:r w:rsidRPr="002B7A1F">
        <w:rPr>
          <w:rStyle w:val="FootnoteReference"/>
          <w:sz w:val="24"/>
          <w:lang w:val="bg-BG"/>
        </w:rPr>
        <w:footnoteRef/>
      </w:r>
      <w:r w:rsidRPr="002B7A1F" w:rsidR="002B7A1F">
        <w:rPr>
          <w:sz w:val="24"/>
          <w:lang w:val="bg-BG"/>
        </w:rPr>
        <w:t xml:space="preserve"> </w:t>
      </w:r>
      <w:r w:rsidRPr="002B7A1F" w:rsidR="002B7A1F">
        <w:rPr>
          <w:sz w:val="24"/>
          <w:lang w:val="bg-BG"/>
        </w:rPr>
        <w:tab/>
      </w:r>
      <w:r w:rsidRPr="002B7A1F">
        <w:rPr>
          <w:sz w:val="24"/>
          <w:lang w:val="bg-BG"/>
        </w:rPr>
        <w:t xml:space="preserve">OВ L 153, 3.5.2021 г., стр. 48, ELI: </w:t>
      </w:r>
      <w:hyperlink r:id="rId1" w:history="1">
        <w:r w:rsidRPr="002B7A1F">
          <w:rPr>
            <w:rStyle w:val="Hyperlink"/>
            <w:sz w:val="24"/>
            <w:lang w:val="bg-BG"/>
          </w:rPr>
          <w:t>http://data.europa.eu/eli/reg/2021/691/oj</w:t>
        </w:r>
      </w:hyperlink>
      <w:r w:rsidRPr="002B7A1F">
        <w:rPr>
          <w:sz w:val="24"/>
          <w:lang w:val="bg-BG"/>
        </w:rPr>
        <w:t>.</w:t>
      </w:r>
    </w:p>
  </w:footnote>
  <w:footnote w:id="3">
    <w:p w:rsidR="003A54E5" w:rsidRPr="002B7A1F" w:rsidP="002B7A1F" w14:paraId="4FDF3E65" w14:textId="5F3B4950">
      <w:pPr>
        <w:pStyle w:val="FootnoteText"/>
        <w:ind w:left="567" w:hanging="567"/>
        <w:rPr>
          <w:sz w:val="24"/>
          <w:lang w:val="bg-BG"/>
        </w:rPr>
      </w:pPr>
      <w:r w:rsidRPr="002B7A1F">
        <w:rPr>
          <w:rStyle w:val="FootnoteReference"/>
          <w:sz w:val="24"/>
          <w:lang w:val="bg-BG"/>
        </w:rPr>
        <w:footnoteRef/>
      </w:r>
      <w:r w:rsidRPr="002B7A1F" w:rsidR="002B7A1F">
        <w:rPr>
          <w:sz w:val="24"/>
          <w:lang w:val="bg-BG"/>
        </w:rPr>
        <w:t xml:space="preserve"> </w:t>
      </w:r>
      <w:r w:rsidRPr="002B7A1F" w:rsidR="002B7A1F">
        <w:rPr>
          <w:sz w:val="24"/>
          <w:lang w:val="bg-BG"/>
        </w:rPr>
        <w:tab/>
      </w:r>
      <w:r w:rsidRPr="002B7A1F">
        <w:rPr>
          <w:sz w:val="24"/>
          <w:lang w:val="bg-BG"/>
        </w:rPr>
        <w:t>ОВ L, 2026/1139, 20.5.2026 г., ELI: </w:t>
      </w:r>
      <w:hyperlink r:id="rId2" w:tgtFrame="_blank" w:tooltip="Достъп до този документ чрез неговия идентификатор ELI URI." w:history="1">
        <w:r w:rsidRPr="002B7A1F">
          <w:rPr>
            <w:rStyle w:val="Hyperlink"/>
            <w:color w:val="0070C0"/>
            <w:sz w:val="24"/>
            <w:lang w:val="bg-BG"/>
          </w:rPr>
          <w:t>http://data.europa.eu/eli/reg/2026/1139/oj</w:t>
        </w:r>
      </w:hyperlink>
      <w:r w:rsidRPr="002B7A1F">
        <w:rPr>
          <w:color w:val="0070C0"/>
          <w:sz w:val="24"/>
          <w:lang w:val="bg-BG"/>
        </w:rPr>
        <w:t>.</w:t>
      </w:r>
    </w:p>
  </w:footnote>
  <w:footnote w:id="4">
    <w:p w:rsidR="003A54E5" w:rsidRPr="002B7A1F" w:rsidP="002B7A1F" w14:paraId="426979EA" w14:textId="2544F4C3">
      <w:pPr>
        <w:pStyle w:val="FootnoteText"/>
        <w:ind w:left="567" w:hanging="567"/>
        <w:rPr>
          <w:sz w:val="24"/>
          <w:lang w:val="bg-BG"/>
        </w:rPr>
      </w:pPr>
      <w:r w:rsidRPr="002B7A1F">
        <w:rPr>
          <w:rStyle w:val="FootnoteReference"/>
          <w:sz w:val="24"/>
          <w:lang w:val="bg-BG"/>
        </w:rPr>
        <w:footnoteRef/>
      </w:r>
      <w:r w:rsidRPr="002B7A1F" w:rsidR="002B7A1F">
        <w:rPr>
          <w:sz w:val="24"/>
          <w:lang w:val="bg-BG"/>
        </w:rPr>
        <w:t xml:space="preserve"> </w:t>
      </w:r>
      <w:r w:rsidRPr="002B7A1F" w:rsidR="002B7A1F">
        <w:rPr>
          <w:sz w:val="24"/>
          <w:lang w:val="bg-BG"/>
        </w:rPr>
        <w:tab/>
      </w:r>
      <w:r w:rsidRPr="002B7A1F">
        <w:rPr>
          <w:sz w:val="24"/>
          <w:lang w:val="bg-BG"/>
        </w:rPr>
        <w:t xml:space="preserve">ОВ L 433 I, 22.12.2020 г., стр. 11, ELI: </w:t>
      </w:r>
      <w:hyperlink r:id="rId3" w:history="1">
        <w:r w:rsidRPr="002B7A1F">
          <w:rPr>
            <w:rStyle w:val="Hyperlink"/>
            <w:sz w:val="24"/>
            <w:lang w:val="bg-BG"/>
          </w:rPr>
          <w:t>http://data.europa.eu/eli/reg/2020/2093/oj</w:t>
        </w:r>
      </w:hyperlink>
      <w:r w:rsidRPr="002B7A1F">
        <w:rPr>
          <w:sz w:val="24"/>
          <w:lang w:val="bg-BG"/>
        </w:rPr>
        <w:t>.</w:t>
      </w:r>
    </w:p>
  </w:footnote>
  <w:footnote w:id="5">
    <w:p w:rsidR="003A54E5" w:rsidRPr="002B7A1F" w:rsidP="002B7A1F" w14:paraId="6376DBF3" w14:textId="6E605A05">
      <w:pPr>
        <w:pStyle w:val="FootnoteText"/>
        <w:ind w:left="567" w:hanging="567"/>
        <w:rPr>
          <w:sz w:val="24"/>
          <w:lang w:val="bg-BG"/>
        </w:rPr>
      </w:pPr>
      <w:r w:rsidRPr="002B7A1F">
        <w:rPr>
          <w:rStyle w:val="FootnoteReference"/>
          <w:sz w:val="24"/>
          <w:lang w:val="bg-BG"/>
        </w:rPr>
        <w:footnoteRef/>
      </w:r>
      <w:r w:rsidRPr="002B7A1F" w:rsidR="002B7A1F">
        <w:rPr>
          <w:sz w:val="24"/>
          <w:shd w:val="clear" w:color="auto" w:fill="FFFFFF"/>
          <w:lang w:val="bg-BG"/>
        </w:rPr>
        <w:t xml:space="preserve"> </w:t>
      </w:r>
      <w:r w:rsidRPr="002B7A1F" w:rsidR="002B7A1F">
        <w:rPr>
          <w:sz w:val="24"/>
          <w:shd w:val="clear" w:color="auto" w:fill="FFFFFF"/>
          <w:lang w:val="bg-BG"/>
        </w:rPr>
        <w:tab/>
      </w:r>
      <w:r w:rsidRPr="002B7A1F">
        <w:rPr>
          <w:sz w:val="24"/>
          <w:shd w:val="clear" w:color="auto" w:fill="FFFFFF"/>
          <w:lang w:val="bg-BG"/>
        </w:rPr>
        <w:t>Регламент (ЕС, Евратом) 2024/765 на Съвета от 29 февруари 2024 г. за изменение на Регламент (EC, Евратом) 2020/2093 за определяне на многогодишната финансова рамка за годините 2021 – 2027 (ОВ L, 2024/765, 29.2.2024 г., ELI:</w:t>
      </w:r>
      <w:r w:rsidRPr="002B7A1F">
        <w:rPr>
          <w:color w:val="333333"/>
          <w:sz w:val="24"/>
          <w:shd w:val="clear" w:color="auto" w:fill="FFFFFF"/>
          <w:lang w:val="bg-BG"/>
        </w:rPr>
        <w:t xml:space="preserve"> </w:t>
      </w:r>
      <w:hyperlink r:id="rId4" w:history="1">
        <w:r w:rsidRPr="002B7A1F">
          <w:rPr>
            <w:rStyle w:val="Hyperlink"/>
            <w:sz w:val="24"/>
            <w:shd w:val="clear" w:color="auto" w:fill="FFFFFF"/>
            <w:lang w:val="bg-BG"/>
          </w:rPr>
          <w:t>http://data.europa.eu/eli/reg/2024/765/oj</w:t>
        </w:r>
      </w:hyperlink>
      <w:r w:rsidRPr="002B7A1F">
        <w:rPr>
          <w:i/>
          <w:color w:val="333333"/>
          <w:sz w:val="24"/>
          <w:shd w:val="clear" w:color="auto" w:fill="FFFFFF"/>
          <w:lang w:val="bg-BG"/>
        </w:rPr>
        <w:t>).</w:t>
      </w:r>
    </w:p>
  </w:footnote>
  <w:footnote w:id="6">
    <w:p w:rsidR="003A54E5" w:rsidRPr="002B7A1F" w:rsidP="002B7A1F" w14:paraId="61E0E03A" w14:textId="6BDB992E">
      <w:pPr>
        <w:pStyle w:val="FootnoteText"/>
        <w:ind w:left="567" w:hanging="567"/>
        <w:rPr>
          <w:sz w:val="24"/>
          <w:lang w:val="bg-BG"/>
        </w:rPr>
      </w:pPr>
      <w:r w:rsidRPr="002B7A1F">
        <w:rPr>
          <w:rStyle w:val="FootnoteReference"/>
          <w:sz w:val="24"/>
          <w:lang w:val="bg-BG"/>
        </w:rPr>
        <w:footnoteRef/>
      </w:r>
      <w:r w:rsidRPr="002B7A1F" w:rsidR="002B7A1F">
        <w:rPr>
          <w:sz w:val="24"/>
          <w:lang w:val="bg-BG"/>
        </w:rPr>
        <w:t xml:space="preserve"> </w:t>
      </w:r>
      <w:r w:rsidRPr="002B7A1F" w:rsidR="002B7A1F">
        <w:rPr>
          <w:sz w:val="24"/>
          <w:lang w:val="bg-BG"/>
        </w:rPr>
        <w:tab/>
      </w:r>
      <w:r w:rsidRPr="002B7A1F">
        <w:rPr>
          <w:sz w:val="24"/>
          <w:lang w:val="bg-BG"/>
        </w:rPr>
        <w:t xml:space="preserve">OВ L 433 I, 22.12.2020 г., стр. 28, ELI: </w:t>
      </w:r>
      <w:hyperlink r:id="rId5" w:history="1">
        <w:r w:rsidRPr="002B7A1F">
          <w:rPr>
            <w:rStyle w:val="Hyperlink"/>
            <w:sz w:val="24"/>
            <w:lang w:val="bg-BG"/>
          </w:rPr>
          <w:t>http://data.europa.eu/eli/agree_interinstit/2020/1222/oj</w:t>
        </w:r>
      </w:hyperlink>
      <w:r w:rsidRPr="002B7A1F">
        <w:rPr>
          <w:sz w:val="24"/>
          <w:lang w:val="bg-BG"/>
        </w:rPr>
        <w:t>.</w:t>
      </w:r>
    </w:p>
  </w:footnote>
  <w:footnote w:id="7">
    <w:p w:rsidR="003A54E5" w:rsidRPr="002B7A1F" w:rsidP="002B7A1F" w14:paraId="0B0700F1" w14:textId="57AB30DF">
      <w:pPr>
        <w:pStyle w:val="FootnoteText"/>
        <w:ind w:left="567" w:hanging="567"/>
        <w:rPr>
          <w:sz w:val="24"/>
          <w:lang w:val="bg-BG"/>
        </w:rPr>
      </w:pPr>
      <w:r w:rsidRPr="002B7A1F">
        <w:rPr>
          <w:rStyle w:val="FootnoteReference"/>
          <w:sz w:val="24"/>
          <w:lang w:val="bg-BG"/>
        </w:rPr>
        <w:footnoteRef/>
      </w:r>
      <w:r w:rsidRPr="002B7A1F" w:rsidR="002B7A1F">
        <w:rPr>
          <w:sz w:val="24"/>
          <w:lang w:val="bg-BG"/>
        </w:rPr>
        <w:t xml:space="preserve"> </w:t>
      </w:r>
      <w:r w:rsidRPr="002B7A1F" w:rsidR="002B7A1F">
        <w:rPr>
          <w:sz w:val="24"/>
          <w:lang w:val="bg-BG"/>
        </w:rPr>
        <w:tab/>
      </w:r>
      <w:r w:rsidRPr="002B7A1F">
        <w:rPr>
          <w:sz w:val="24"/>
          <w:lang w:val="bg-BG"/>
        </w:rPr>
        <w:t>По смисъла на член 3 от Регламента за ЕФПГ.</w:t>
      </w:r>
    </w:p>
  </w:footnote>
  <w:footnote w:id="8">
    <w:p w:rsidR="003A54E5" w:rsidRPr="002B7A1F" w:rsidP="002B7A1F" w14:paraId="26BBD84C" w14:textId="603D88C1">
      <w:pPr>
        <w:pStyle w:val="FootnoteText"/>
        <w:ind w:left="567" w:hanging="567"/>
        <w:rPr>
          <w:sz w:val="24"/>
          <w:lang w:val="bg-BG"/>
        </w:rPr>
      </w:pPr>
      <w:r w:rsidRPr="002B7A1F">
        <w:rPr>
          <w:rStyle w:val="FootnoteReference"/>
          <w:sz w:val="24"/>
          <w:lang w:val="bg-BG"/>
        </w:rPr>
        <w:footnoteRef/>
      </w:r>
      <w:r w:rsidRPr="002B7A1F" w:rsidR="002B7A1F">
        <w:rPr>
          <w:sz w:val="24"/>
          <w:lang w:val="bg-BG"/>
        </w:rPr>
        <w:t xml:space="preserve"> </w:t>
      </w:r>
      <w:r w:rsidRPr="002B7A1F" w:rsidR="002B7A1F">
        <w:rPr>
          <w:sz w:val="24"/>
          <w:lang w:val="bg-BG"/>
        </w:rPr>
        <w:tab/>
      </w:r>
      <w:r w:rsidRPr="002B7A1F">
        <w:rPr>
          <w:sz w:val="24"/>
          <w:lang w:val="bg-BG"/>
        </w:rPr>
        <w:t>Член 8 от Регламента за МФР.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7A1F" w14:paraId="2D48B20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7A1F" w14:paraId="6BD427C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7A1F" w14:paraId="740F6F1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035392">
    <w:abstractNumId w:val="9"/>
  </w:num>
  <w:num w:numId="2" w16cid:durableId="389840804">
    <w:abstractNumId w:val="9"/>
  </w:num>
  <w:num w:numId="3" w16cid:durableId="1117337012">
    <w:abstractNumId w:val="7"/>
  </w:num>
  <w:num w:numId="4" w16cid:durableId="260727128">
    <w:abstractNumId w:val="7"/>
  </w:num>
  <w:num w:numId="5" w16cid:durableId="687682330">
    <w:abstractNumId w:val="6"/>
  </w:num>
  <w:num w:numId="6" w16cid:durableId="1975063476">
    <w:abstractNumId w:val="6"/>
  </w:num>
  <w:num w:numId="7" w16cid:durableId="1440300620">
    <w:abstractNumId w:val="5"/>
  </w:num>
  <w:num w:numId="8" w16cid:durableId="2049062671">
    <w:abstractNumId w:val="5"/>
  </w:num>
  <w:num w:numId="9" w16cid:durableId="1267495264">
    <w:abstractNumId w:val="4"/>
  </w:num>
  <w:num w:numId="10" w16cid:durableId="1031229492">
    <w:abstractNumId w:val="4"/>
  </w:num>
  <w:num w:numId="11" w16cid:durableId="1334257840">
    <w:abstractNumId w:val="8"/>
  </w:num>
  <w:num w:numId="12" w16cid:durableId="1852446453">
    <w:abstractNumId w:val="8"/>
  </w:num>
  <w:num w:numId="13" w16cid:durableId="648363507">
    <w:abstractNumId w:val="3"/>
  </w:num>
  <w:num w:numId="14" w16cid:durableId="1789618619">
    <w:abstractNumId w:val="3"/>
  </w:num>
  <w:num w:numId="15" w16cid:durableId="1800764522">
    <w:abstractNumId w:val="2"/>
  </w:num>
  <w:num w:numId="16" w16cid:durableId="2098554999">
    <w:abstractNumId w:val="2"/>
  </w:num>
  <w:num w:numId="17" w16cid:durableId="1119838819">
    <w:abstractNumId w:val="1"/>
  </w:num>
  <w:num w:numId="18" w16cid:durableId="1233200476">
    <w:abstractNumId w:val="1"/>
  </w:num>
  <w:num w:numId="19" w16cid:durableId="1043139452">
    <w:abstractNumId w:val="0"/>
  </w:num>
  <w:num w:numId="20" w16cid:durableId="40715943">
    <w:abstractNumId w:val="0"/>
  </w:num>
  <w:num w:numId="21" w16cid:durableId="1250696859">
    <w:abstractNumId w:val="9"/>
  </w:num>
  <w:num w:numId="22" w16cid:durableId="379936327">
    <w:abstractNumId w:val="7"/>
  </w:num>
  <w:num w:numId="23" w16cid:durableId="1633097054">
    <w:abstractNumId w:val="6"/>
  </w:num>
  <w:num w:numId="24" w16cid:durableId="1770420636">
    <w:abstractNumId w:val="5"/>
  </w:num>
  <w:num w:numId="25" w16cid:durableId="1435052421">
    <w:abstractNumId w:val="4"/>
  </w:num>
  <w:num w:numId="26" w16cid:durableId="1919094492">
    <w:abstractNumId w:val="8"/>
  </w:num>
  <w:num w:numId="27" w16cid:durableId="920719904">
    <w:abstractNumId w:val="3"/>
  </w:num>
  <w:num w:numId="28" w16cid:durableId="1912275305">
    <w:abstractNumId w:val="2"/>
  </w:num>
  <w:num w:numId="29" w16cid:durableId="1507817609">
    <w:abstractNumId w:val="1"/>
  </w:num>
  <w:num w:numId="30" w16cid:durableId="1677221713">
    <w:abstractNumId w:val="0"/>
  </w:num>
  <w:num w:numId="31" w16cid:durableId="1315257065">
    <w:abstractNumId w:val="9"/>
  </w:num>
  <w:num w:numId="32" w16cid:durableId="285621513">
    <w:abstractNumId w:val="7"/>
  </w:num>
  <w:num w:numId="33" w16cid:durableId="1467239416">
    <w:abstractNumId w:val="6"/>
  </w:num>
  <w:num w:numId="34" w16cid:durableId="384960520">
    <w:abstractNumId w:val="5"/>
  </w:num>
  <w:num w:numId="35" w16cid:durableId="1880818965">
    <w:abstractNumId w:val="4"/>
  </w:num>
  <w:num w:numId="36" w16cid:durableId="643779679">
    <w:abstractNumId w:val="8"/>
  </w:num>
  <w:num w:numId="37" w16cid:durableId="152376758">
    <w:abstractNumId w:val="3"/>
  </w:num>
  <w:num w:numId="38" w16cid:durableId="1894656461">
    <w:abstractNumId w:val="2"/>
  </w:num>
  <w:num w:numId="39" w16cid:durableId="872961755">
    <w:abstractNumId w:val="1"/>
  </w:num>
  <w:num w:numId="40" w16cid:durableId="1019426341">
    <w:abstractNumId w:val="0"/>
  </w:num>
  <w:num w:numId="41" w16cid:durableId="1985156292">
    <w:abstractNumId w:val="10"/>
  </w:num>
  <w:num w:numId="42" w16cid:durableId="790050790">
    <w:abstractNumId w:val="10"/>
  </w:num>
  <w:num w:numId="43" w16cid:durableId="3627586">
    <w:abstractNumId w:val="10"/>
  </w:num>
  <w:num w:numId="44" w16cid:durableId="18955054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ED4"/>
    <w:rsid w:val="00002272"/>
    <w:rsid w:val="00064002"/>
    <w:rsid w:val="000677B9"/>
    <w:rsid w:val="000831BA"/>
    <w:rsid w:val="000A42CC"/>
    <w:rsid w:val="000E7DD9"/>
    <w:rsid w:val="0010095E"/>
    <w:rsid w:val="00125B37"/>
    <w:rsid w:val="00187494"/>
    <w:rsid w:val="001F32AE"/>
    <w:rsid w:val="00202052"/>
    <w:rsid w:val="00226ED4"/>
    <w:rsid w:val="002767FF"/>
    <w:rsid w:val="002B18FE"/>
    <w:rsid w:val="002B5493"/>
    <w:rsid w:val="002B7A1F"/>
    <w:rsid w:val="00317230"/>
    <w:rsid w:val="00343214"/>
    <w:rsid w:val="00361C00"/>
    <w:rsid w:val="00395FA1"/>
    <w:rsid w:val="003A477D"/>
    <w:rsid w:val="003A54E5"/>
    <w:rsid w:val="003E15D4"/>
    <w:rsid w:val="00411CCE"/>
    <w:rsid w:val="00412156"/>
    <w:rsid w:val="0041666E"/>
    <w:rsid w:val="00421060"/>
    <w:rsid w:val="00471C19"/>
    <w:rsid w:val="004867E3"/>
    <w:rsid w:val="00494A28"/>
    <w:rsid w:val="004C0004"/>
    <w:rsid w:val="004C5D52"/>
    <w:rsid w:val="0050519A"/>
    <w:rsid w:val="005072A1"/>
    <w:rsid w:val="00514517"/>
    <w:rsid w:val="0051470D"/>
    <w:rsid w:val="00545827"/>
    <w:rsid w:val="00560270"/>
    <w:rsid w:val="005C2568"/>
    <w:rsid w:val="005F1B17"/>
    <w:rsid w:val="006037C0"/>
    <w:rsid w:val="006631B6"/>
    <w:rsid w:val="00665008"/>
    <w:rsid w:val="00680577"/>
    <w:rsid w:val="006F74FA"/>
    <w:rsid w:val="00731ADD"/>
    <w:rsid w:val="00734777"/>
    <w:rsid w:val="00747932"/>
    <w:rsid w:val="00751A4A"/>
    <w:rsid w:val="00756632"/>
    <w:rsid w:val="00762C74"/>
    <w:rsid w:val="00786EC0"/>
    <w:rsid w:val="007D1690"/>
    <w:rsid w:val="007D21A4"/>
    <w:rsid w:val="007E22AD"/>
    <w:rsid w:val="00817416"/>
    <w:rsid w:val="0084045B"/>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4871"/>
    <w:rsid w:val="00D56C11"/>
    <w:rsid w:val="00D834A0"/>
    <w:rsid w:val="00D872DF"/>
    <w:rsid w:val="00D905D2"/>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9/2026"/>
    <w:docVar w:name="dvlangue" w:val="BG"/>
    <w:docVar w:name="dvnumam" w:val="0"/>
    <w:docVar w:name="dvpe" w:val="787.923"/>
    <w:docVar w:name="dvrapporteur" w:val="Докладчик: "/>
    <w:docVar w:name="dvtitre" w:val="Законодателна резолюция на Европейския парламент от ... 2026 г. относно предложението за решение на Европейския парламент и на Съвета за мобилизиране на средства от Европейския фонд за приспособяване към глобализацията за съкратени работници във връзка със заявление от Белгия – EGF/2025/009 BE/Soliver(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A269BFA"/>
  <w15:chartTrackingRefBased/>
  <w15:docId w15:val="{4E36B076-AA70-44EB-BF2D-6FDF961F5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A54E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3A54E5"/>
    <w:pPr>
      <w:keepNext/>
      <w:spacing w:after="480"/>
      <w:jc w:val="center"/>
    </w:pPr>
    <w:rPr>
      <w:rFonts w:ascii="Arial" w:hAnsi="Arial" w:cs="Arial"/>
      <w:b/>
    </w:rPr>
  </w:style>
  <w:style w:type="paragraph" w:customStyle="1" w:styleId="NormalHanging12a">
    <w:name w:val="NormalHanging12a"/>
    <w:basedOn w:val="Normal"/>
    <w:link w:val="NormalHanging12aChar"/>
    <w:rsid w:val="003A54E5"/>
    <w:pPr>
      <w:spacing w:after="240"/>
      <w:ind w:left="567" w:hanging="567"/>
    </w:pPr>
  </w:style>
  <w:style w:type="paragraph" w:styleId="Header">
    <w:name w:val="header"/>
    <w:basedOn w:val="Normal"/>
    <w:link w:val="HeaderChar"/>
    <w:rsid w:val="003A54E5"/>
    <w:pPr>
      <w:tabs>
        <w:tab w:val="center" w:pos="4513"/>
        <w:tab w:val="right" w:pos="9026"/>
      </w:tabs>
    </w:pPr>
  </w:style>
  <w:style w:type="character" w:customStyle="1" w:styleId="HeaderChar">
    <w:name w:val="Header Char"/>
    <w:basedOn w:val="DefaultParagraphFont"/>
    <w:link w:val="Header"/>
    <w:rsid w:val="003A54E5"/>
    <w:rPr>
      <w:sz w:val="24"/>
      <w:lang w:val="bg-BG"/>
    </w:rPr>
  </w:style>
  <w:style w:type="paragraph" w:customStyle="1" w:styleId="EPFooter">
    <w:name w:val="EPFooter"/>
    <w:basedOn w:val="Normal"/>
    <w:rsid w:val="003A54E5"/>
    <w:pPr>
      <w:tabs>
        <w:tab w:val="center" w:pos="4535"/>
        <w:tab w:val="right" w:pos="9071"/>
      </w:tabs>
      <w:spacing w:before="240" w:after="240"/>
    </w:pPr>
    <w:rPr>
      <w:color w:val="010000"/>
      <w:sz w:val="22"/>
    </w:rPr>
  </w:style>
  <w:style w:type="paragraph" w:customStyle="1" w:styleId="EPComma">
    <w:name w:val="EPComma"/>
    <w:basedOn w:val="Normal"/>
    <w:rsid w:val="003A54E5"/>
    <w:pPr>
      <w:spacing w:before="480" w:after="240"/>
    </w:pPr>
  </w:style>
  <w:style w:type="character" w:styleId="Hyperlink">
    <w:name w:val="Hyperlink"/>
    <w:basedOn w:val="DefaultParagraphFont"/>
    <w:uiPriority w:val="99"/>
    <w:rsid w:val="003A54E5"/>
    <w:rPr>
      <w:color w:val="0563C1" w:themeColor="hyperlink"/>
      <w:u w:val="single"/>
    </w:rPr>
  </w:style>
  <w:style w:type="character" w:customStyle="1" w:styleId="NormalHanging12aChar">
    <w:name w:val="NormalHanging12a Char"/>
    <w:basedOn w:val="DefaultParagraphFont"/>
    <w:link w:val="NormalHanging12a"/>
    <w:locked/>
    <w:rsid w:val="003A54E5"/>
    <w:rPr>
      <w:sz w:val="24"/>
      <w:lang w:val="bg-BG"/>
    </w:rPr>
  </w:style>
  <w:style w:type="paragraph" w:customStyle="1" w:styleId="Titreobjet">
    <w:name w:val="Titre objet"/>
    <w:basedOn w:val="Normal"/>
    <w:next w:val="Normal"/>
    <w:rsid w:val="003A54E5"/>
    <w:pPr>
      <w:widowControl/>
      <w:spacing w:before="360" w:after="360"/>
      <w:jc w:val="center"/>
    </w:pPr>
    <w:rPr>
      <w:rFonts w:eastAsiaTheme="minorHAnsi"/>
      <w:b/>
      <w:szCs w:val="22"/>
      <w:lang w:eastAsia="en-US"/>
    </w:rPr>
  </w:style>
  <w:style w:type="paragraph" w:customStyle="1" w:styleId="Personnequisigne">
    <w:name w:val="Personne qui signe"/>
    <w:basedOn w:val="Normal"/>
    <w:next w:val="Institutionquisigne"/>
    <w:rsid w:val="003A54E5"/>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3A54E5"/>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3A54E5"/>
    <w:rPr>
      <w:rFonts w:ascii="Arial" w:hAnsi="Arial" w:cs="Arial"/>
      <w:b/>
      <w:sz w:val="24"/>
      <w:lang w:val="bg-BG"/>
    </w:rPr>
  </w:style>
  <w:style w:type="paragraph" w:styleId="Revision">
    <w:name w:val="Revision"/>
    <w:hidden/>
    <w:uiPriority w:val="99"/>
    <w:semiHidden/>
    <w:rsid w:val="00202052"/>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1904</Words>
  <Characters>11596</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2026-09-02T08:56:00Z</dcterms:created>
  <dcterms:modified xsi:type="dcterms:W3CDTF">2026-09-02T08:56:00Z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P10_TA(2026)0201_</vt:lpwstr>
  </property>
  <property fmtid="{D5CDD505-2E9C-101B-9397-08002B2CF9AE}" pid="4" name="&lt;Type&gt;">
    <vt:lpwstr>RR</vt:lpwstr>
  </property>
</Properties>
</file>