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C194F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1B80" w:rsidP="0010095E" w14:paraId="683DCE68" w14:textId="77777777">
            <w:pPr>
              <w:pStyle w:val="EPName"/>
            </w:pPr>
            <w:r w:rsidRPr="00961B80">
              <w:t>Evropský parlament</w:t>
            </w:r>
          </w:p>
          <w:p w:rsidR="00751A4A" w:rsidRPr="00961B80" w:rsidP="005F1B17" w14:paraId="26245EC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1B80">
              <w:t>2024</w:t>
            </w:r>
            <w:r w:rsidRPr="00961B80" w:rsidR="00817416">
              <w:t>-202</w:t>
            </w:r>
            <w:r w:rsidRPr="00961B8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1B80" w:rsidP="0010095E" w14:paraId="5C558AFB" w14:textId="77777777">
            <w:pPr>
              <w:pStyle w:val="EPLogo"/>
            </w:pPr>
            <w:r w:rsidRPr="00961B8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1B80" w:rsidP="004C5D52" w14:paraId="157D13D7" w14:textId="77777777">
      <w:pPr>
        <w:pStyle w:val="LineTop"/>
      </w:pPr>
    </w:p>
    <w:p w:rsidR="00680577" w:rsidRPr="00961B80" w:rsidP="00680577" w14:paraId="7A6ECA7C" w14:textId="77777777">
      <w:pPr>
        <w:pStyle w:val="EPBodyTA1"/>
      </w:pPr>
      <w:r w:rsidRPr="00961B80">
        <w:t>PŘIJATÉ TEXTY</w:t>
      </w:r>
    </w:p>
    <w:p w:rsidR="00D058B8" w:rsidRPr="00961B80" w:rsidP="00D058B8" w14:paraId="075AFDC6" w14:textId="77777777">
      <w:pPr>
        <w:pStyle w:val="LineBottom"/>
      </w:pPr>
    </w:p>
    <w:p w:rsidR="00F60FCC" w:rsidRPr="007C1EB5" w:rsidP="00F60FCC" w14:paraId="48C638D2" w14:textId="71FCE655">
      <w:pPr>
        <w:pStyle w:val="ATHeading1"/>
      </w:pPr>
      <w:bookmarkStart w:id="0" w:name="TANumber"/>
      <w:r w:rsidRPr="007C1EB5">
        <w:t>P10_TA(2026)0</w:t>
      </w:r>
      <w:r w:rsidR="001A375B">
        <w:t>2</w:t>
      </w:r>
      <w:r w:rsidRPr="007C1EB5">
        <w:t>0</w:t>
      </w:r>
      <w:r w:rsidR="001A375B">
        <w:t>1</w:t>
      </w:r>
      <w:bookmarkEnd w:id="0"/>
    </w:p>
    <w:p w:rsidR="00F60FCC" w:rsidRPr="007C1EB5" w:rsidP="00F60FCC" w14:paraId="777EAA5A" w14:textId="77777777">
      <w:pPr>
        <w:pStyle w:val="ATHeading2"/>
      </w:pPr>
      <w:bookmarkStart w:id="1" w:name="title"/>
      <w:r w:rsidRPr="007C1EB5">
        <w:t>Uvolnění prostředků z Evropského fondu pro přizpůsobení se globalizaci na pomoc propuštěným pracovníkům na základě žádosti Belgie – EGF/2025/009 BE/</w:t>
      </w:r>
      <w:r w:rsidRPr="007C1EB5">
        <w:t>Soliver</w:t>
      </w:r>
      <w:bookmarkEnd w:id="1"/>
    </w:p>
    <w:p w:rsidR="00F60FCC" w:rsidRPr="00961B80" w:rsidP="00F60FCC" w14:paraId="515A2545" w14:textId="77777777">
      <w:pPr>
        <w:rPr>
          <w:i/>
          <w:vanish/>
        </w:rPr>
      </w:pPr>
      <w:r>
        <w:rPr>
          <w:i/>
        </w:rPr>
        <w:fldChar w:fldCharType="begin"/>
      </w:r>
      <w:r w:rsidRPr="00961B80">
        <w:rPr>
          <w:i/>
        </w:rPr>
        <w:instrText xml:space="preserve"> TC"(</w:instrText>
      </w:r>
      <w:bookmarkStart w:id="2" w:name="DocNumber"/>
      <w:r w:rsidRPr="00961B80">
        <w:rPr>
          <w:i/>
        </w:rPr>
        <w:instrText>A10-0149/2026</w:instrText>
      </w:r>
      <w:bookmarkEnd w:id="2"/>
      <w:r w:rsidRPr="00961B80">
        <w:rPr>
          <w:i/>
        </w:rPr>
        <w:instrText xml:space="preserve"> - Zpravodaj: Bogdan </w:instrText>
      </w:r>
      <w:r w:rsidRPr="00961B80">
        <w:rPr>
          <w:i/>
        </w:rPr>
        <w:instrText>Rzońca</w:instrText>
      </w:r>
      <w:r w:rsidRPr="00961B80">
        <w:rPr>
          <w:i/>
        </w:rPr>
        <w:instrText xml:space="preserve"> )</w:instrText>
      </w:r>
      <w:r w:rsidRPr="00961B80">
        <w:rPr>
          <w:i/>
        </w:rPr>
        <w:instrText xml:space="preserve">"\l3 \n&gt; \* MERGEFORMAT </w:instrText>
      </w:r>
      <w:r>
        <w:rPr>
          <w:i/>
        </w:rPr>
        <w:fldChar w:fldCharType="end"/>
      </w:r>
    </w:p>
    <w:p w:rsidR="00F60FCC" w:rsidRPr="00961B80" w:rsidP="00F60FCC" w14:paraId="0A54BB89" w14:textId="77777777">
      <w:pPr>
        <w:rPr>
          <w:vanish/>
        </w:rPr>
      </w:pPr>
      <w:bookmarkStart w:id="3" w:name="Commission"/>
      <w:r w:rsidRPr="00961B80">
        <w:rPr>
          <w:vanish/>
        </w:rPr>
        <w:t>Rozpočtový výbor</w:t>
      </w:r>
      <w:bookmarkEnd w:id="3"/>
    </w:p>
    <w:p w:rsidR="00F60FCC" w:rsidRPr="00961B80" w:rsidP="00F60FCC" w14:paraId="6FAB26B9" w14:textId="77777777">
      <w:pPr>
        <w:rPr>
          <w:vanish/>
        </w:rPr>
      </w:pPr>
      <w:bookmarkStart w:id="4" w:name="PE"/>
      <w:r w:rsidRPr="00961B80">
        <w:rPr>
          <w:vanish/>
        </w:rPr>
        <w:t>PE787.923</w:t>
      </w:r>
      <w:bookmarkEnd w:id="4"/>
    </w:p>
    <w:p w:rsidR="00F60FCC" w:rsidRPr="007C1EB5" w:rsidP="00F60FCC" w14:paraId="13F96AA4" w14:textId="77777777">
      <w:pPr>
        <w:pStyle w:val="ATHeading3"/>
      </w:pPr>
      <w:bookmarkStart w:id="5" w:name="Sujet"/>
      <w:r w:rsidRPr="007C1EB5">
        <w:t>Usnesení Evropského parlamentu ze dne 16. června 2026 o návrhu rozhodnutí Evropského parlamentu a Rady o uvolnění prostředků z Evropského fondu pro přizpůsobení se globalizaci na pomoc propuštěným pracovníkům na základě žádosti Belgie – EGF/2025/009 BE/</w:t>
      </w:r>
      <w:r w:rsidRPr="007C1EB5">
        <w:t>Soliver</w:t>
      </w:r>
      <w:bookmarkEnd w:id="5"/>
      <w:r w:rsidRPr="007C1EB5">
        <w:t xml:space="preserve"> </w:t>
      </w:r>
      <w:bookmarkStart w:id="6" w:name="References"/>
      <w:r w:rsidRPr="007C1EB5">
        <w:t>(</w:t>
      </w:r>
      <w:r w:rsidRPr="007C1EB5">
        <w:t>COM(</w:t>
      </w:r>
      <w:r w:rsidRPr="007C1EB5">
        <w:t>2026)0050 – C10-0111/2026 – 2026/0097(BUD))</w:t>
      </w:r>
      <w:bookmarkEnd w:id="6"/>
    </w:p>
    <w:p w:rsidR="00CA7334" w:rsidRPr="00961B80" w:rsidP="00CA7334" w14:paraId="29829341" w14:textId="77777777">
      <w:pPr>
        <w:pStyle w:val="EPComma"/>
        <w:rPr>
          <w:noProof/>
        </w:rPr>
      </w:pPr>
      <w:r w:rsidRPr="00961B80">
        <w:rPr>
          <w:i/>
        </w:rPr>
        <w:t>Evropský parlament</w:t>
      </w:r>
      <w:r w:rsidRPr="00961B80">
        <w:t>,</w:t>
      </w:r>
    </w:p>
    <w:p w:rsidR="00CA7334" w:rsidRPr="00961B80" w:rsidP="00CA7334" w14:paraId="1157DED6" w14:textId="77777777">
      <w:pPr>
        <w:pStyle w:val="NormalHanging12a"/>
        <w:rPr>
          <w:noProof/>
        </w:rPr>
      </w:pPr>
      <w:r w:rsidRPr="00961B80">
        <w:t>–</w:t>
      </w:r>
      <w:r w:rsidRPr="00961B80">
        <w:tab/>
        <w:t>s ohledem na návrh Komise předložený Evropskému parlamentu a Radě (</w:t>
      </w:r>
      <w:r w:rsidRPr="00961B80">
        <w:t>COM(</w:t>
      </w:r>
      <w:r w:rsidRPr="00961B80">
        <w:t>2026)0050 – C10</w:t>
      </w:r>
      <w:r w:rsidRPr="00961B80">
        <w:noBreakHyphen/>
        <w:t>0111/2026),</w:t>
      </w:r>
    </w:p>
    <w:p w:rsidR="00CA7334" w:rsidRPr="00961B80" w:rsidP="00CA7334" w14:paraId="730C7063" w14:textId="77777777">
      <w:pPr>
        <w:pStyle w:val="NormalHanging12a"/>
      </w:pPr>
      <w:r w:rsidRPr="00961B80">
        <w:t>–</w:t>
      </w:r>
      <w:r w:rsidRPr="00961B80">
        <w:tab/>
        <w:t>s ohledem na nařízení Evropského parlamentu a Rady (EU) 2021/691 ze dne 28. dubna 2021 o Evropském fondu pro přizpůsobení se globalizaci na pomoc propuštěným pracovníkům (EFG) a o zrušení nařízení (EU) č. 1309/2013</w:t>
      </w:r>
      <w:r>
        <w:rPr>
          <w:vertAlign w:val="superscript"/>
        </w:rPr>
        <w:footnoteReference w:id="2"/>
      </w:r>
      <w:r w:rsidRPr="00961B80">
        <w:t xml:space="preserve"> (dále jen „nařízení o EFG“), ve znění nařízení (EU) 2026/1139</w:t>
      </w:r>
      <w:r>
        <w:rPr>
          <w:vertAlign w:val="superscript"/>
        </w:rPr>
        <w:footnoteReference w:id="3"/>
      </w:r>
      <w:r w:rsidRPr="00961B80">
        <w:t xml:space="preserve">, </w:t>
      </w:r>
    </w:p>
    <w:p w:rsidR="00CA7334" w:rsidRPr="00961B80" w:rsidP="00CA7334" w14:paraId="3F406C18" w14:textId="77777777">
      <w:pPr>
        <w:pStyle w:val="NormalHanging12a"/>
        <w:rPr>
          <w:noProof/>
        </w:rPr>
      </w:pPr>
      <w:r w:rsidRPr="00961B80">
        <w:t>–</w:t>
      </w:r>
      <w:r w:rsidRPr="00961B80">
        <w:tab/>
        <w:t>s ohledem na nařízení Rady (EU, Euratom) 2020/2093 ze dne 17. prosince 2020, kterým se stanoví víceletý finanční rámec na období 2021–2027 (dále jen „nařízení o VFR“)</w:t>
      </w:r>
      <w:r>
        <w:rPr>
          <w:noProof/>
          <w:vertAlign w:val="superscript"/>
        </w:rPr>
        <w:footnoteReference w:id="4"/>
      </w:r>
      <w:r w:rsidRPr="00961B80">
        <w:t>, ve znění nařízení (EU, Euratom) 2024/765</w:t>
      </w:r>
      <w:r>
        <w:rPr>
          <w:noProof/>
          <w:vertAlign w:val="superscript"/>
        </w:rPr>
        <w:footnoteReference w:id="5"/>
      </w:r>
      <w:r w:rsidRPr="00961B80">
        <w:t>, a zejména na článek 8 tohoto nařízení,</w:t>
      </w:r>
    </w:p>
    <w:p w:rsidR="00CA7334" w:rsidRPr="00961B80" w:rsidP="00CA7334" w14:paraId="257F9E60" w14:textId="77777777">
      <w:pPr>
        <w:pStyle w:val="NormalHanging12a"/>
        <w:rPr>
          <w:noProof/>
        </w:rPr>
      </w:pPr>
      <w:r w:rsidRPr="00961B80">
        <w:t>–</w:t>
      </w:r>
      <w:r w:rsidRPr="00961B80">
        <w:tab/>
        <w:t>s ohledem na interinstitucionální dohodu ze dne 16. prosince 2020 mezi Evropským parlamentem, Radou Evropské unie a Evropskou komisí o rozpočtové kázni, spolupráci v rozpočtových záležitostech a řádném finančním řízení, jakož i o nových vlastních zdrojích, včetně plánu zavádění nových vlastních zdrojů</w:t>
      </w:r>
      <w:r>
        <w:rPr>
          <w:rStyle w:val="FootnoteReference"/>
          <w:noProof/>
        </w:rPr>
        <w:footnoteReference w:id="6"/>
      </w:r>
      <w:r w:rsidRPr="00961B80">
        <w:t xml:space="preserve">, a zejména na bod 9 této </w:t>
      </w:r>
      <w:r w:rsidRPr="00961B80">
        <w:t>dohody,</w:t>
      </w:r>
    </w:p>
    <w:p w:rsidR="00CA7334" w:rsidRPr="00961B80" w:rsidP="00CA7334" w14:paraId="2BEB918F" w14:textId="77777777">
      <w:pPr>
        <w:pStyle w:val="NormalHanging12a"/>
      </w:pPr>
      <w:r w:rsidRPr="00961B80">
        <w:t>–</w:t>
      </w:r>
      <w:r w:rsidRPr="00961B80">
        <w:tab/>
        <w:t>s ohledem na evropský pilíř sociálních práv,</w:t>
      </w:r>
    </w:p>
    <w:p w:rsidR="00CA7334" w:rsidRPr="00961B80" w:rsidP="00CA7334" w14:paraId="073BD5C6" w14:textId="77777777">
      <w:pPr>
        <w:pStyle w:val="NormalHanging12a"/>
      </w:pPr>
      <w:r w:rsidRPr="00961B80">
        <w:t>–</w:t>
      </w:r>
      <w:r w:rsidRPr="00961B80">
        <w:tab/>
        <w:t>s ohledem na stanovisko Výboru pro zaměstnanost a sociální věci,</w:t>
      </w:r>
    </w:p>
    <w:p w:rsidR="00CA7334" w:rsidRPr="00961B80" w:rsidP="00CA7334" w14:paraId="1D84B099" w14:textId="77777777">
      <w:pPr>
        <w:pStyle w:val="NormalHanging12a"/>
      </w:pPr>
      <w:r w:rsidRPr="00961B80">
        <w:t>–</w:t>
      </w:r>
      <w:r w:rsidRPr="00961B80">
        <w:tab/>
        <w:t>s ohledem na zprávu Rozpočtového výboru (A10-0149/2026),</w:t>
      </w:r>
    </w:p>
    <w:p w:rsidR="00CA7334" w:rsidRPr="00961B80" w:rsidP="00CA7334" w14:paraId="0677A2BF" w14:textId="77777777">
      <w:pPr>
        <w:pStyle w:val="NormalHanging12a"/>
      </w:pPr>
      <w:r w:rsidRPr="00961B80">
        <w:t>A.</w:t>
      </w:r>
      <w:r w:rsidRPr="00961B80">
        <w:tab/>
        <w:t>vzhledem k tomu, že Unie vytvořila legislativní a rozpočtové nástroje s cílem poskytovat dodatečnou podporu pracovníkům, kteří jsou postiženi důsledky významných strukturálních událostí a změn ve schématu světového obchodu, a pomáhat jim při opětovném začleňování na trh práce; vzhledem k tomu, že tato pomoc jim je poskytována v podobě finanční podpory; vzhledem k tomu, že zachování konkurenceschopnosti evropského průmyslu a posílení investic do inovací a dovedností má zásadní význam, pokud se má v celé Unii zabránit dalšímu úpadku průmyslu a ztrátě pracovních míst;</w:t>
      </w:r>
    </w:p>
    <w:p w:rsidR="00CA7334" w:rsidRPr="00961B80" w:rsidP="00CA7334" w14:paraId="36AB1F9A" w14:textId="77777777">
      <w:pPr>
        <w:pStyle w:val="NormalHanging12a"/>
      </w:pPr>
      <w:r w:rsidRPr="00961B80">
        <w:t>B.</w:t>
      </w:r>
      <w:r w:rsidRPr="00961B80">
        <w:tab/>
        <w:t>vzhledem k tomu, že Belgie předložila žádost EGF/2025/009 BE/</w:t>
      </w:r>
      <w:r w:rsidRPr="00961B80">
        <w:t>Soliver</w:t>
      </w:r>
      <w:r w:rsidRPr="00961B80">
        <w:t xml:space="preserve"> o finanční příspěvek z EFG v souvislosti s propuštěním 803 pracovníků</w:t>
      </w:r>
      <w:r>
        <w:rPr>
          <w:vertAlign w:val="superscript"/>
        </w:rPr>
        <w:footnoteReference w:id="7"/>
      </w:r>
      <w:r w:rsidRPr="00961B80">
        <w:t xml:space="preserve"> v podniku </w:t>
      </w:r>
      <w:r w:rsidRPr="00961B80">
        <w:t>Soliver</w:t>
      </w:r>
      <w:r w:rsidRPr="00961B80">
        <w:t xml:space="preserve"> NV (</w:t>
      </w:r>
      <w:r w:rsidRPr="00961B80">
        <w:t>Soliver</w:t>
      </w:r>
      <w:r w:rsidRPr="00961B80">
        <w:t xml:space="preserve">) v hospodářském odvětví, které je v rámci klasifikace NACE Revize 2 zařazeno do oddílu 46 (Velkoobchod), v regionech provincie </w:t>
      </w:r>
      <w:r w:rsidRPr="00961B80">
        <w:t>Oost-Vlaanderen</w:t>
      </w:r>
      <w:r w:rsidRPr="00961B80">
        <w:t xml:space="preserve"> (BE23), Vlámsko, během referenčního období od 1. července 2025 do 1. listopadu 2025;</w:t>
      </w:r>
    </w:p>
    <w:p w:rsidR="00CA7334" w:rsidRPr="00961B80" w:rsidP="00CA7334" w14:paraId="5DE822D9" w14:textId="77777777">
      <w:pPr>
        <w:pStyle w:val="NormalHanging12a"/>
      </w:pPr>
      <w:r w:rsidRPr="00961B80">
        <w:t>C.</w:t>
      </w:r>
      <w:r w:rsidRPr="00961B80">
        <w:tab/>
        <w:t>vzhledem k tomu, že žádost je založena na kritériích pro pomoc stanovených v čl. 4 odst. 2 písm. a) nařízení o EFG;</w:t>
      </w:r>
    </w:p>
    <w:p w:rsidR="00CA7334" w:rsidRPr="00961B80" w:rsidP="00CA7334" w14:paraId="2D8DB8BF" w14:textId="77777777">
      <w:pPr>
        <w:pStyle w:val="NormalHanging12a"/>
        <w:rPr>
          <w:noProof/>
        </w:rPr>
      </w:pPr>
      <w:r w:rsidRPr="00961B80">
        <w:t>D.</w:t>
      </w:r>
      <w:r w:rsidRPr="00961B80">
        <w:tab/>
        <w:t xml:space="preserve">vzhledem k tomu, že společnost </w:t>
      </w:r>
      <w:r w:rsidRPr="00961B80">
        <w:t>Soliver</w:t>
      </w:r>
      <w:r w:rsidRPr="00961B80">
        <w:t xml:space="preserve"> podala v prosinci 2024 návrh na vyhlášení úpadku; vzhledem k tomu, že v Belgii úpadky od roku 2022 narůstají a nezaměstnanost vážně postihuje několik regionů ve Vlámsku;</w:t>
      </w:r>
    </w:p>
    <w:p w:rsidR="00CA7334" w:rsidRPr="00961B80" w:rsidP="00CA7334" w14:paraId="30F55007" w14:textId="77777777">
      <w:pPr>
        <w:pStyle w:val="NormalHanging12a"/>
        <w:rPr>
          <w:bCs/>
          <w:iCs/>
          <w:noProof/>
        </w:rPr>
      </w:pPr>
      <w:r w:rsidRPr="00961B80">
        <w:t>E.</w:t>
      </w:r>
      <w:r w:rsidRPr="00961B80">
        <w:tab/>
        <w:t xml:space="preserve">vzhledem k tomu, že pracovní síla postižená uzavřením podniku </w:t>
      </w:r>
      <w:r w:rsidRPr="00961B80">
        <w:t>Soliver</w:t>
      </w:r>
      <w:r w:rsidRPr="00961B80">
        <w:t xml:space="preserve"> zahrnuje významný podíl starších pracovníků, kteří čelí specifickým a kombinovaným překážkám při opětovném začleňování na trh práce, včetně diskriminace na základě věku, nesouladu mezi nabízenými a požadovanými dovednostmi a omezeného přístupu k rekvalifikačním příležitostem; vzhledem k tomu, že je třeba zavést cílená opatření k řešení specifických potřeb starších pracovníků, včetně formátů odborné přípravy přiměřených věku, mentorství a spolupráce se zaměstnavateli, kteří se zavázali k náboru pracovníků různého věku;</w:t>
      </w:r>
    </w:p>
    <w:p w:rsidR="00CA7334" w:rsidRPr="00961B80" w:rsidP="00CA7334" w14:paraId="4E0BF1D0" w14:textId="77777777">
      <w:pPr>
        <w:pStyle w:val="NormalHanging12a"/>
      </w:pPr>
      <w:r w:rsidRPr="00961B80">
        <w:t>F.</w:t>
      </w:r>
      <w:r w:rsidRPr="00961B80">
        <w:tab/>
        <w:t>vzhledem k tomu, že vnitrostátní předběžné financování a spolufinancování příslušných opatření zajišťuje úřad VDAB;</w:t>
      </w:r>
    </w:p>
    <w:p w:rsidR="00CA7334" w:rsidRPr="00961B80" w:rsidP="00CA7334" w14:paraId="3B48872A" w14:textId="77777777">
      <w:pPr>
        <w:pStyle w:val="NormalHanging12a"/>
      </w:pPr>
      <w:r w:rsidRPr="00961B80">
        <w:t>G.</w:t>
      </w:r>
      <w:r w:rsidRPr="00961B80">
        <w:tab/>
        <w:t>vzhledem k tomu, že byly splněny požadavky stanovené v unijních a vnitrostátních právních předpisech, které se týkají hromadného propouštění;</w:t>
      </w:r>
    </w:p>
    <w:p w:rsidR="00CA7334" w:rsidRPr="00961B80" w:rsidP="00CA7334" w14:paraId="68761E7D" w14:textId="77777777">
      <w:pPr>
        <w:pStyle w:val="NormalHanging12a"/>
      </w:pPr>
      <w:r w:rsidRPr="00961B80">
        <w:t>H.</w:t>
      </w:r>
      <w:r w:rsidRPr="00961B80">
        <w:tab/>
        <w:t xml:space="preserve">vzhledem k tomu, že finanční příspěvky z EFG by měly být primárně zaměřeny na aktivní opatření politiky v oblasti trhu práce a na individualizované služby, jejichž cílem je stabilně a znovu začlenit příjemce pomoci na trh práce a zajistit kvalitní pracovní podmínky a zároveň jim umožnit získat dovednosti, které jim </w:t>
      </w:r>
      <w:r w:rsidRPr="00961B80">
        <w:t>znovuzačlenění</w:t>
      </w:r>
      <w:r w:rsidRPr="00961B80">
        <w:t xml:space="preserve"> do trhu práce usnadní;</w:t>
      </w:r>
    </w:p>
    <w:p w:rsidR="00CA7334" w:rsidRPr="00961B80" w:rsidP="00CA7334" w14:paraId="167C7F26" w14:textId="77777777">
      <w:pPr>
        <w:pStyle w:val="NormalHanging12a"/>
      </w:pPr>
      <w:r w:rsidRPr="00961B80">
        <w:t>I.</w:t>
      </w:r>
      <w:r w:rsidRPr="00961B80">
        <w:tab/>
        <w:t>vzhledem k tomu, že fond EFG nesmí překročit maximální roční částku 30 milionů EUR (v cenách roku 2018)</w:t>
      </w:r>
      <w:r>
        <w:rPr>
          <w:rStyle w:val="FootnoteReference"/>
        </w:rPr>
        <w:footnoteReference w:id="8"/>
      </w:r>
      <w:r w:rsidRPr="00961B80">
        <w:t>;</w:t>
      </w:r>
    </w:p>
    <w:p w:rsidR="00CA7334" w:rsidRPr="00961B80" w:rsidP="00CA7334" w14:paraId="41269132" w14:textId="77777777">
      <w:pPr>
        <w:pStyle w:val="NormalHanging12a"/>
      </w:pPr>
      <w:r w:rsidRPr="00961B80">
        <w:t>1.</w:t>
      </w:r>
      <w:r w:rsidRPr="00961B80">
        <w:tab/>
        <w:t>souhlasí s Komisí, že podmínky stanovené v nařízení o EFG, a zejména v čl. 4 odst. 2 písm. a) tohoto nařízení byly splněny, a Belgie má proto podle uvedeného nařízení nárok na finanční příspěvek ve výši 2 132 535 EUR, což představuje 85 % celkových nákladů, které činí 2 508 865 EUR a zahrnují výdaje na individualizované služby ve výši 2 412 465 EUR a výdaje na přípravné, řídicí, informační, propagační, kontrolní a vykazovací činnosti ve výši 96 400 EUR;</w:t>
      </w:r>
    </w:p>
    <w:p w:rsidR="00CA7334" w:rsidRPr="00961B80" w:rsidP="00CA7334" w14:paraId="7F9D146F" w14:textId="77777777">
      <w:pPr>
        <w:pStyle w:val="NormalHanging12a"/>
      </w:pPr>
      <w:r w:rsidRPr="00961B80">
        <w:t>2.</w:t>
      </w:r>
      <w:r w:rsidRPr="00961B80">
        <w:tab/>
        <w:t>bere na vědomí, že belgické orgány podaly žádost dne 22. prosince 2025 a že po obdržení doplňujících informací od Belgie Komise dokončila své posouzení dne 30. dubna 2026, tedy téměř měsíc před uplynutím lhůty, a téhož dne o něm informovala Parlament; zdůrazňuje, že je důležité zkrátit dobu mezi podáním žádosti o pomoc z fondu EFG a rozhodnutím o financování a zároveň v plné míře ochránit práva Evropského parlamentu jako složky rozpočtového orgánu;</w:t>
      </w:r>
    </w:p>
    <w:p w:rsidR="00CA7334" w:rsidRPr="00961B80" w:rsidP="00CA7334" w14:paraId="4825EE65" w14:textId="77777777">
      <w:pPr>
        <w:pStyle w:val="NormalHanging12a"/>
        <w:rPr>
          <w:noProof/>
        </w:rPr>
      </w:pPr>
      <w:r w:rsidRPr="00961B80">
        <w:t>3.</w:t>
      </w:r>
      <w:r w:rsidRPr="00961B80">
        <w:tab/>
        <w:t xml:space="preserve">bere na vědomí, že žádost se týká 803 cílových příjemců, kteří byli propuštěni ze společnosti </w:t>
      </w:r>
      <w:r w:rsidRPr="00961B80">
        <w:t>Soliver</w:t>
      </w:r>
      <w:r w:rsidRPr="00961B80">
        <w:t>;</w:t>
      </w:r>
    </w:p>
    <w:p w:rsidR="00CA7334" w:rsidRPr="00961B80" w:rsidP="00CA7334" w14:paraId="72376D22" w14:textId="77777777">
      <w:pPr>
        <w:pStyle w:val="NormalHanging12a"/>
      </w:pPr>
      <w:r w:rsidRPr="00961B80">
        <w:t>4.</w:t>
      </w:r>
      <w:r w:rsidRPr="00961B80">
        <w:tab/>
        <w:t xml:space="preserve">bere na vědomí, že společnost </w:t>
      </w:r>
      <w:r w:rsidRPr="00961B80">
        <w:t>Soliver</w:t>
      </w:r>
      <w:r w:rsidRPr="00961B80">
        <w:t xml:space="preserve">, výrobce skleněných výrobků pro stavebnictví a automobilový průmysl, se poté, co ji v roce 2018 koupila společnost </w:t>
      </w:r>
      <w:r w:rsidRPr="00961B80">
        <w:t>American</w:t>
      </w:r>
      <w:r w:rsidRPr="00961B80">
        <w:t xml:space="preserve"> </w:t>
      </w:r>
      <w:r w:rsidRPr="00961B80">
        <w:t>Glass</w:t>
      </w:r>
      <w:r w:rsidRPr="00961B80">
        <w:t xml:space="preserve"> </w:t>
      </w:r>
      <w:r w:rsidRPr="00961B80">
        <w:t>Products</w:t>
      </w:r>
      <w:r w:rsidRPr="00961B80">
        <w:t xml:space="preserve"> Holding (AGP), zaměřila výhradně na technologicky vyspělé automobilové sklo; konstatuje, že se společnost začala potýkat s obtížemi, které souvisely především s poklesem v automobilovém průmyslu, jenž byl způsoben opožděnou výrobou modelů automobilů, pro něž byly její výrobky určeny, což nakonec vedlo k výraznému snížení ziskovosti a vyústilo v úpadek;</w:t>
      </w:r>
    </w:p>
    <w:p w:rsidR="00CA7334" w:rsidRPr="00961B80" w:rsidP="00CA7334" w14:paraId="5362A664" w14:textId="77777777">
      <w:pPr>
        <w:pStyle w:val="NormalHanging12a"/>
        <w:rPr>
          <w:bCs/>
          <w:iCs/>
        </w:rPr>
      </w:pPr>
      <w:r w:rsidRPr="00961B80">
        <w:t>5.</w:t>
      </w:r>
      <w:r w:rsidRPr="00961B80">
        <w:tab/>
        <w:t>konstatuje, že sklářský průmysl je energeticky náročným odvětvím a byl vážně zasažen trvale vysokými cenami energie, které výrazně oslabily jeho konkurenceschopnost; zdůrazňuje, že dosažení konkurenceschopných cen energie v dlouhodobém horizontu vyžaduje podstatné zvýšení spolehlivých a cenově dostupných dodávek energie, mimo jiné pomocí diverzifikace zdrojů energie a dodavatelských tras, rozvoje domácí výroby energie a úplného dokončení energetické unie;</w:t>
      </w:r>
    </w:p>
    <w:p w:rsidR="00CA7334" w:rsidRPr="00961B80" w:rsidP="00CA7334" w14:paraId="0A9619AE" w14:textId="77777777">
      <w:pPr>
        <w:pStyle w:val="NormalHanging12a"/>
        <w:rPr>
          <w:bCs/>
          <w:iCs/>
        </w:rPr>
      </w:pPr>
      <w:r w:rsidRPr="00961B80">
        <w:t>6.</w:t>
      </w:r>
      <w:r w:rsidRPr="00961B80">
        <w:tab/>
        <w:t>konstatuje, že ačkoli mají technicky kvalifikovaní pracovníci nebo ti, kteří jsou ochotni se rekvalifikovat, nejvýhodnější vyhlídky na zaměstnání, je to způsobeno nedostatkem technických odborníků, jenž pramení z nízkého zájmu mladých lidí o odborné vzdělávání a stárnoucí pracovní síly; zdůrazňuje, že opětovné začlenění propuštěných pracovníků a zajištění rovného přístupu ke kvalitním příležitostem odborného vzdělávání je klíčem k evropskému hospodářství se silnou průmyslovou základnou, které obstojí i v budoucnu; zdůrazňuje, že v této souvislosti je důležité posílit konkurenceschopnost průmyslu Unie;</w:t>
      </w:r>
    </w:p>
    <w:p w:rsidR="00CA7334" w:rsidRPr="00961B80" w:rsidP="00CA7334" w14:paraId="3B63E966" w14:textId="77777777">
      <w:pPr>
        <w:pStyle w:val="NormalHanging12a"/>
        <w:rPr>
          <w:noProof/>
        </w:rPr>
      </w:pPr>
      <w:r w:rsidRPr="00961B80">
        <w:t>7.</w:t>
      </w:r>
      <w:r w:rsidRPr="00961B80">
        <w:tab/>
        <w:t xml:space="preserve">lituje, že nárůst počtu úpadků v posledních několika letech měl v některých regionech Belgie, zejména v regionu Vlámsko, negativní dopad na míru zaměstnanosti; zdůrazňuje, že ve Vlámsku čelí starší propuštění pracovníci větším překážkám při návratu na trh práce; vyzývá belgické orgány, aby těmto pracovníkům poskytly cílenou, individualizovanou podporu, která jim pomůže dále rozvíjet potřebné dovednosti, jež jim umožní najít nová kvalitní místa, a aby zároveň přijaly opatření, která omezí úpadky </w:t>
      </w:r>
      <w:r w:rsidRPr="00961B80">
        <w:t>a zmírní sociální rozdíly, kvůli nimž hrozí, že pracovníci budou vyloučeni z trhu práce;</w:t>
      </w:r>
    </w:p>
    <w:p w:rsidR="00CA7334" w:rsidRPr="00961B80" w:rsidP="00CA7334" w14:paraId="02FDC8F2" w14:textId="77777777">
      <w:pPr>
        <w:pStyle w:val="NormalHanging12a"/>
      </w:pPr>
      <w:r w:rsidRPr="00961B80">
        <w:t>8.</w:t>
      </w:r>
      <w:r w:rsidRPr="00961B80">
        <w:tab/>
        <w:t xml:space="preserve">připomíná, že po dohodě s odborníky a sociálními partnery budou pracovníkům poskytovány individualizované služby, které budou zahrnovat tato opatření: pracovní skupina zkušených konzultantů a manažerů účtů poskytujících individualizované poradenské služby; služby </w:t>
      </w:r>
      <w:r w:rsidRPr="00961B80">
        <w:t>outplacementu</w:t>
      </w:r>
      <w:r w:rsidRPr="00961B80">
        <w:t xml:space="preserve"> poskytující individuální poradenství; pomoc při hledání zaměstnání; pomoc při aktivním vyhledávání pracovních příležitostí; odborná příprava a rekvalifikace, včetně odborné přípravy na pracovišti; účast na veletrzích pracovních příležitostí; zdůrazňuje, jak důležité je podporovat kvalitní a na budoucnost zaměřená pracovní místa, která posilují konkurenceschopnost a podporují digitální transformaci;</w:t>
      </w:r>
    </w:p>
    <w:p w:rsidR="00CA7334" w:rsidRPr="00961B80" w:rsidP="00CA7334" w14:paraId="5D12AC0D" w14:textId="77777777">
      <w:pPr>
        <w:pStyle w:val="NormalHanging12a"/>
      </w:pPr>
      <w:r w:rsidRPr="00961B80">
        <w:t>9.</w:t>
      </w:r>
      <w:r w:rsidRPr="00961B80">
        <w:tab/>
        <w:t>připomíná, že EFG je nástrojem solidarity a spravedlivé transformace, a přestože poskytuje podporu po ztrátě pracovních míst, nemůže nahradit proaktivní průmyslovou politiku; domnívá se, že uvolnění prostředků z EFG musí být součástí širší politické reakce na všech politických úrovních, aby se zajistilo, že dotyční pracovníci najdou odpovídající příležitosti v souladu se svou kvalifikací a dovednostmi; zdůrazňuje, že prvořadým úkolem Unie musí být zejména předcházet uzavírání podniků tím, že vytvoří podmínky, aby byla průmyslová výroba i nadále konkurenceschopná a systémy sociálního zabezpečení finančně udržitelné, a zároveň bude investovat do rozvoje dovedností vysoce kvalifikovaných pracovníků i pracovníků v průmyslu; zdůrazňuje, že je třeba pracovníkům poskytovat individuální podporu přizpůsobenou jejich profilům a zároveň přijímat opatření ke snížení počtu úpadků a k řešení sociálních nerovností, které mají za následek vyloučení z pracovního trhu; zdůrazňuje, že snížení zbytečné regulační a administrativní zátěže má zásadní význam pro podporu konkurenceschopnosti průmyslu, přilákání investic a zachování kvalitních pracovních míst v Unii;</w:t>
      </w:r>
    </w:p>
    <w:p w:rsidR="00CA7334" w:rsidRPr="00961B80" w:rsidP="00CA7334" w14:paraId="305F5B26" w14:textId="77777777">
      <w:pPr>
        <w:pStyle w:val="NormalHanging12a"/>
        <w:rPr>
          <w:bCs/>
          <w:iCs/>
        </w:rPr>
      </w:pPr>
      <w:r w:rsidRPr="00961B80">
        <w:t>10.</w:t>
      </w:r>
      <w:r w:rsidRPr="00961B80">
        <w:tab/>
        <w:t>zdůrazňuje, že belgické orgány musí zajistit viditelnost finančních prostředků Unie a poukazovat na jejich přínos tím, že příjemcům, regionálním a místním orgánům, sociálním partnerům a širší veřejnosti poskytnou účinné a cílené informace;</w:t>
      </w:r>
    </w:p>
    <w:p w:rsidR="00CA7334" w:rsidRPr="00961B80" w:rsidP="00CA7334" w14:paraId="553884EA" w14:textId="77777777">
      <w:pPr>
        <w:pStyle w:val="NormalHanging12a"/>
      </w:pPr>
      <w:r w:rsidRPr="00961B80">
        <w:t>11.</w:t>
      </w:r>
      <w:r w:rsidRPr="00961B80">
        <w:tab/>
        <w:t>vyzývá Komisi, aby ve všech členských státech zajistila stejnou viditelnost tohoto nástroje a podporovala jeho přidanou hodnotu poskytováním cílených informací vnitrostátním orgánům, které by je měly dále předávat společnostem postiženým propouštěním, regionálním a místním orgánům, sociálním partnerům a širší veřejnosti;</w:t>
      </w:r>
    </w:p>
    <w:p w:rsidR="00CA7334" w:rsidRPr="00961B80" w:rsidP="00CA7334" w14:paraId="744FE31D" w14:textId="77777777">
      <w:pPr>
        <w:pStyle w:val="NormalHanging12a"/>
        <w:rPr>
          <w:bCs/>
          <w:iCs/>
        </w:rPr>
      </w:pPr>
      <w:r w:rsidRPr="00961B80">
        <w:t>12.</w:t>
      </w:r>
      <w:r w:rsidRPr="00961B80">
        <w:tab/>
        <w:t>vyzývá, aby byla ve spolupráci se sociálními partnery na závěr důkladně zhodnocena provedená opatření, včetně uvedení jasných a transparentních informací o tom, jak byly finanční prostředky využity, zda byli pracovníci opětovně začleněni na trh práce a zda bylo dosaženo cílů EFG; v této souvislosti upozorňuje, že je třeba opatření financovaná z fondu EFG pravidelně monitorovat, aby bylo možné posoudit, nakolik jsou účinná;</w:t>
      </w:r>
    </w:p>
    <w:p w:rsidR="00CA7334" w:rsidRPr="00961B80" w:rsidP="00CA7334" w14:paraId="37C8D522" w14:textId="77777777">
      <w:pPr>
        <w:pStyle w:val="NormalHanging12a"/>
      </w:pPr>
      <w:r w:rsidRPr="00961B80">
        <w:t>13.</w:t>
      </w:r>
      <w:r w:rsidRPr="00961B80">
        <w:tab/>
        <w:t>konstatuje, že dne 11. června 2025 Belgie začala poskytovat individualizované služby cílovým příjemcům a od tohoto data jí začaly vznikat i správní výdaje spojené s prováděním EFG, a že období způsobilosti pro finanční příspěvek z EFG tudíž začíná tímto dnem a končí 24, respektive 31 měsíců ode dne vstupu rozhodnutí o financování v platnost;</w:t>
      </w:r>
    </w:p>
    <w:p w:rsidR="00CA7334" w:rsidRPr="00961B80" w:rsidP="00CA7334" w14:paraId="2EA54E19" w14:textId="77777777">
      <w:pPr>
        <w:pStyle w:val="NormalHanging12a"/>
      </w:pPr>
      <w:r w:rsidRPr="00961B80">
        <w:t>14.</w:t>
      </w:r>
      <w:r w:rsidRPr="00961B80">
        <w:tab/>
        <w:t>konstatuje, že belgické orgány potvrdily, že při přístupu k navrhovaným opatřením a při jejich provádění budou dodržovat zásady rovného zacházení a nediskriminace a že zamezí dvojímu financování;</w:t>
      </w:r>
    </w:p>
    <w:p w:rsidR="00CA7334" w:rsidRPr="00961B80" w:rsidP="00CA7334" w14:paraId="16B1D945" w14:textId="77777777">
      <w:pPr>
        <w:pStyle w:val="NormalHanging12a"/>
      </w:pPr>
      <w:r w:rsidRPr="00961B80">
        <w:t>15.</w:t>
      </w:r>
      <w:r w:rsidRPr="00961B80">
        <w:tab/>
        <w:t>opakuje, že pomoc z EFG nesmí nahrazovat opatření, za něž na základě vnitrostátních právních předpisů nebo kolektivních smluv odpovídají veřejné orgány nebo podniky; připomíná, že EFG je omezeným, cíleným a doplňkovým mechanismem;</w:t>
      </w:r>
    </w:p>
    <w:p w:rsidR="00CA7334" w:rsidRPr="00961B80" w:rsidP="00CA7334" w14:paraId="3FE8EAC8" w14:textId="77777777">
      <w:pPr>
        <w:pStyle w:val="NormalHanging12a"/>
      </w:pPr>
      <w:r w:rsidRPr="00961B80">
        <w:t>16.</w:t>
      </w:r>
      <w:r w:rsidRPr="00961B80">
        <w:tab/>
        <w:t>schvaluje rozhodnutí uvedené v příloze k tomuto usnesení;</w:t>
      </w:r>
    </w:p>
    <w:p w:rsidR="00CA7334" w:rsidRPr="00961B80" w:rsidP="00CA7334" w14:paraId="6583D5C4" w14:textId="77777777">
      <w:pPr>
        <w:pStyle w:val="NormalHanging12a"/>
      </w:pPr>
      <w:r w:rsidRPr="00961B80">
        <w:t>17.</w:t>
      </w:r>
      <w:r w:rsidRPr="00961B80">
        <w:tab/>
        <w:t>pověřuje svou předsedkyni, aby podepsala toto rozhodnutí společně s předsedou Rady a aby zajistila jeho zveřejnění v </w:t>
      </w:r>
      <w:r w:rsidRPr="00961B80">
        <w:rPr>
          <w:i/>
        </w:rPr>
        <w:t>Úředním věstníku Evropské unie</w:t>
      </w:r>
      <w:r w:rsidRPr="00961B80">
        <w:t>;</w:t>
      </w:r>
    </w:p>
    <w:p w:rsidR="00CA7334" w:rsidRPr="00961B80" w:rsidP="00CA7334" w14:paraId="0DACBB9D" w14:textId="77777777">
      <w:pPr>
        <w:pStyle w:val="NormalHanging12a"/>
      </w:pPr>
      <w:r w:rsidRPr="00961B80">
        <w:t>18.</w:t>
      </w:r>
      <w:r w:rsidRPr="00961B80">
        <w:tab/>
        <w:t>pověřuje svou předsedkyni, aby předala toto usnesení včetně přílohy Radě a Komisi.</w:t>
      </w:r>
    </w:p>
    <w:p w:rsidR="00CA7334" w:rsidRPr="00961B80" w:rsidP="00CA7334" w14:paraId="2081ED88" w14:textId="77777777">
      <w:pPr>
        <w:rPr>
          <w:noProof/>
        </w:rPr>
      </w:pPr>
    </w:p>
    <w:p w:rsidR="00CA7334" w:rsidRPr="00961B80" w:rsidP="00CA7334" w14:paraId="338230A8" w14:textId="77777777">
      <w:pPr>
        <w:pStyle w:val="PageHeading"/>
        <w:rPr>
          <w:noProof/>
        </w:rPr>
        <w:sectPr w:rsidSect="00617B18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9618A" w:rsidRPr="0069618A" w:rsidP="00CA7334" w14:paraId="391A8564" w14:textId="77777777">
      <w:pPr>
        <w:pStyle w:val="PageHeading"/>
        <w:rPr>
          <w:rFonts w:ascii="Times New Roman" w:hAnsi="Times New Roman" w:cs="Times New Roman"/>
        </w:rPr>
      </w:pPr>
      <w:bookmarkStart w:id="7" w:name="_Toc232155600"/>
      <w:r w:rsidRPr="0069618A">
        <w:rPr>
          <w:rFonts w:ascii="Times New Roman" w:hAnsi="Times New Roman" w:cs="Times New Roman"/>
        </w:rPr>
        <w:t>PŘÍLOHA</w:t>
      </w:r>
    </w:p>
    <w:p w:rsidR="00CA7334" w:rsidRPr="0069618A" w:rsidP="00CA7334" w14:paraId="249163FE" w14:textId="3DEC9B9C">
      <w:pPr>
        <w:pStyle w:val="PageHeading"/>
        <w:rPr>
          <w:rFonts w:ascii="Times New Roman" w:hAnsi="Times New Roman" w:cs="Times New Roman"/>
          <w:noProof/>
        </w:rPr>
      </w:pPr>
      <w:r w:rsidRPr="0069618A">
        <w:rPr>
          <w:rFonts w:ascii="Times New Roman" w:hAnsi="Times New Roman" w:cs="Times New Roman"/>
        </w:rPr>
        <w:t>ROZHODNUTÍ EVROPSKÉHO PARLAMENTU A RADY</w:t>
      </w:r>
      <w:bookmarkEnd w:id="7"/>
    </w:p>
    <w:p w:rsidR="00CA7334" w:rsidP="00CA7334" w14:paraId="78B5BB45" w14:textId="77777777">
      <w:pPr>
        <w:pStyle w:val="Titreobjet"/>
        <w:jc w:val="left"/>
      </w:pPr>
      <w:r w:rsidRPr="00961B80">
        <w:t>o uvolnění prostředků z Evropského fondu pro přizpůsobení se globalizaci na pomoc propuštěným pracovníkům na základě žádosti Belgie – EGF/2025/009 BE/</w:t>
      </w:r>
      <w:r w:rsidRPr="00961B80">
        <w:t>Soliver</w:t>
      </w:r>
    </w:p>
    <w:p w:rsidR="0069618A" w:rsidRPr="0069618A" w:rsidP="0069618A" w14:paraId="447924F3" w14:textId="2A5F3DE1">
      <w:pPr>
        <w:rPr>
          <w:i/>
          <w:lang w:eastAsia="de-DE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2026/</w:t>
      </w:r>
      <w:r>
        <w:rPr>
          <w:i/>
          <w:lang w:eastAsia="de-DE"/>
        </w:rPr>
        <w:t>1</w:t>
      </w:r>
      <w:r>
        <w:rPr>
          <w:i/>
          <w:lang w:eastAsia="de-DE"/>
        </w:rPr>
        <w:t>5</w:t>
      </w:r>
      <w:r>
        <w:rPr>
          <w:i/>
          <w:lang w:eastAsia="de-DE"/>
        </w:rPr>
        <w:t>43</w:t>
      </w:r>
      <w:r w:rsidRPr="00A6138D">
        <w:rPr>
          <w:i/>
          <w:lang w:eastAsia="de-DE"/>
        </w:rPr>
        <w:t>.)</w:t>
      </w:r>
    </w:p>
    <w:sectPr w:rsidSect="00617B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A7334" w:rsidRPr="00617B18" w:rsidP="00E34ECB" w14:paraId="79300F48" w14:textId="77777777">
    <w:pPr>
      <w:pStyle w:val="EPFooter"/>
    </w:pPr>
    <w:r w:rsidRPr="00617B18">
      <w:t>PE</w:t>
    </w:r>
    <w:r w:rsidRPr="00617B18">
      <w:rPr>
        <w:rStyle w:val="HideTWBExt"/>
      </w:rPr>
      <w:t>&lt;</w:t>
    </w:r>
    <w:r w:rsidRPr="00617B18">
      <w:rPr>
        <w:rStyle w:val="HideTWBExt"/>
      </w:rPr>
      <w:t>NoPE</w:t>
    </w:r>
    <w:r w:rsidRPr="00617B18">
      <w:rPr>
        <w:rStyle w:val="HideTWBExt"/>
      </w:rPr>
      <w:t>&gt;</w:t>
    </w:r>
    <w:r w:rsidRPr="00617B18">
      <w:t>787.923</w:t>
    </w:r>
    <w:r w:rsidRPr="00617B18">
      <w:rPr>
        <w:rStyle w:val="HideTWBExt"/>
      </w:rPr>
      <w:t>&lt;/</w:t>
    </w:r>
    <w:r w:rsidRPr="00617B18">
      <w:rPr>
        <w:rStyle w:val="HideTWBExt"/>
      </w:rPr>
      <w:t>NoPE</w:t>
    </w:r>
    <w:r w:rsidRPr="00617B18">
      <w:rPr>
        <w:rStyle w:val="HideTWBExt"/>
      </w:rPr>
      <w:t>&gt;&lt;Version&gt;</w:t>
    </w:r>
    <w:r w:rsidRPr="00617B18">
      <w:t>v02-00</w:t>
    </w:r>
    <w:r w:rsidRPr="00617B18">
      <w:rPr>
        <w:rStyle w:val="HideTWBExt"/>
      </w:rPr>
      <w:t>&lt;/</w:t>
    </w:r>
    <w:r w:rsidRPr="00617B18">
      <w:rPr>
        <w:rStyle w:val="HideTWBExt"/>
      </w:rPr>
      <w:t>Version</w:t>
    </w:r>
    <w:r w:rsidRPr="00617B18">
      <w:rPr>
        <w:rStyle w:val="HideTWBExt"/>
      </w:rPr>
      <w:t>&gt;</w:t>
    </w:r>
    <w:r w:rsidRPr="00617B18">
      <w:tab/>
    </w:r>
    <w:r w:rsidRPr="00617B18">
      <w:fldChar w:fldCharType="begin"/>
    </w:r>
    <w:r w:rsidRPr="00617B18">
      <w:instrText xml:space="preserve"> PAGE  \* MERGEFORMAT </w:instrText>
    </w:r>
    <w:r w:rsidRPr="00617B18">
      <w:fldChar w:fldCharType="separate"/>
    </w:r>
    <w:r w:rsidRPr="00617B18">
      <w:rPr>
        <w:noProof/>
      </w:rPr>
      <w:t>2</w:t>
    </w:r>
    <w:r w:rsidRPr="00617B18">
      <w:fldChar w:fldCharType="end"/>
    </w:r>
    <w:r w:rsidRPr="00617B18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617B18">
      <w:rPr>
        <w:noProof/>
      </w:rPr>
      <w:t>3</w:t>
    </w:r>
    <w:r w:rsidRPr="00617B18">
      <w:rPr>
        <w:noProof/>
      </w:rPr>
      <w:fldChar w:fldCharType="end"/>
    </w:r>
    <w:r w:rsidRPr="00617B18">
      <w:tab/>
    </w:r>
    <w:r w:rsidRPr="00617B18">
      <w:rPr>
        <w:rStyle w:val="HideTWBExt"/>
      </w:rPr>
      <w:t>&lt;PathFdR&gt;</w:t>
    </w:r>
    <w:r w:rsidRPr="00617B18">
      <w:t>RR\1345097CS.docx</w:t>
    </w:r>
    <w:r w:rsidRPr="00617B18">
      <w:rPr>
        <w:rStyle w:val="HideTWBExt"/>
      </w:rPr>
      <w:t>&lt;/</w:t>
    </w:r>
    <w:r w:rsidRPr="00617B18">
      <w:rPr>
        <w:rStyle w:val="HideTWBExt"/>
      </w:rPr>
      <w:t>PathFdR</w:t>
    </w:r>
    <w:r w:rsidRPr="00617B18">
      <w:rPr>
        <w:rStyle w:val="HideTWBExt"/>
      </w:rPr>
      <w:t>&gt;</w:t>
    </w:r>
  </w:p>
  <w:p w:rsidR="00CA7334" w:rsidRPr="00617B18" w:rsidP="00E34ECB" w14:paraId="43C730B2" w14:textId="77777777">
    <w:pPr>
      <w:pStyle w:val="EPFooter2"/>
    </w:pPr>
    <w:r w:rsidRPr="00617B18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A7334" w:rsidRPr="00617B18" w:rsidP="00E34ECB" w14:paraId="3B544276" w14:textId="77777777">
    <w:pPr>
      <w:pStyle w:val="EPFooter"/>
    </w:pPr>
    <w:r w:rsidRPr="00617B18">
      <w:rPr>
        <w:rStyle w:val="HideTWBExt"/>
      </w:rPr>
      <w:t>&lt;PathFdR&gt;</w:t>
    </w:r>
    <w:r w:rsidRPr="00617B18">
      <w:t>RR\1345097CS.docx</w:t>
    </w:r>
    <w:r w:rsidRPr="00617B18">
      <w:rPr>
        <w:rStyle w:val="HideTWBExt"/>
      </w:rPr>
      <w:t>&lt;/</w:t>
    </w:r>
    <w:r w:rsidRPr="00617B18">
      <w:rPr>
        <w:rStyle w:val="HideTWBExt"/>
      </w:rPr>
      <w:t>PathFdR</w:t>
    </w:r>
    <w:r w:rsidRPr="00617B18">
      <w:rPr>
        <w:rStyle w:val="HideTWBExt"/>
      </w:rPr>
      <w:t>&gt;</w:t>
    </w:r>
    <w:r w:rsidRPr="00617B18">
      <w:tab/>
    </w:r>
    <w:r w:rsidRPr="00617B18">
      <w:tab/>
      <w:t>PE</w:t>
    </w:r>
    <w:r w:rsidRPr="00617B18">
      <w:rPr>
        <w:rStyle w:val="HideTWBExt"/>
      </w:rPr>
      <w:t>&lt;</w:t>
    </w:r>
    <w:r w:rsidRPr="00617B18">
      <w:rPr>
        <w:rStyle w:val="HideTWBExt"/>
      </w:rPr>
      <w:t>NoPE</w:t>
    </w:r>
    <w:r w:rsidRPr="00617B18">
      <w:rPr>
        <w:rStyle w:val="HideTWBExt"/>
      </w:rPr>
      <w:t>&gt;</w:t>
    </w:r>
    <w:r w:rsidRPr="00617B18">
      <w:t>787.923</w:t>
    </w:r>
    <w:r w:rsidRPr="00617B18">
      <w:rPr>
        <w:rStyle w:val="HideTWBExt"/>
      </w:rPr>
      <w:t>&lt;/</w:t>
    </w:r>
    <w:r w:rsidRPr="00617B18">
      <w:rPr>
        <w:rStyle w:val="HideTWBExt"/>
      </w:rPr>
      <w:t>NoPE</w:t>
    </w:r>
    <w:r w:rsidRPr="00617B18">
      <w:rPr>
        <w:rStyle w:val="HideTWBExt"/>
      </w:rPr>
      <w:t>&gt;&lt;Version&gt;</w:t>
    </w:r>
    <w:r w:rsidRPr="00617B18">
      <w:t>v02-00</w:t>
    </w:r>
    <w:r w:rsidRPr="00617B18">
      <w:rPr>
        <w:rStyle w:val="HideTWBExt"/>
      </w:rPr>
      <w:t>&lt;/</w:t>
    </w:r>
    <w:r w:rsidRPr="00617B18">
      <w:rPr>
        <w:rStyle w:val="HideTWBExt"/>
      </w:rPr>
      <w:t>Version</w:t>
    </w:r>
    <w:r w:rsidRPr="00617B18">
      <w:rPr>
        <w:rStyle w:val="HideTWBExt"/>
      </w:rPr>
      <w:t>&gt;</w:t>
    </w:r>
  </w:p>
  <w:p w:rsidR="00CA7334" w:rsidRPr="00617B18" w:rsidP="00E34ECB" w14:paraId="2A8678AB" w14:textId="77777777">
    <w:pPr>
      <w:pStyle w:val="EPFooter2"/>
    </w:pPr>
    <w:r w:rsidRPr="00617B18">
      <w:t>CS</w:t>
    </w:r>
    <w:r w:rsidRPr="00617B18">
      <w:tab/>
    </w:r>
    <w:r w:rsidRPr="00617B18">
      <w:rPr>
        <w:b w:val="0"/>
        <w:i/>
        <w:color w:val="C0C0C0"/>
        <w:sz w:val="22"/>
      </w:rPr>
      <w:t>Jednotná v rozmanitosti</w:t>
    </w:r>
    <w:r w:rsidRPr="00617B18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7B18" w14:paraId="74FE1A4F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7B18" w14:paraId="7E123336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7B18" w14:paraId="1CE8BF1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60FCC" w:rsidRPr="00617B18" w14:paraId="085328AE" w14:textId="77777777">
      <w:r w:rsidRPr="00617B18">
        <w:separator/>
      </w:r>
    </w:p>
  </w:footnote>
  <w:footnote w:type="continuationSeparator" w:id="1">
    <w:p w:rsidR="00F60FCC" w:rsidRPr="00617B18" w14:paraId="7F84C6D4" w14:textId="77777777">
      <w:r w:rsidRPr="00617B18">
        <w:continuationSeparator/>
      </w:r>
    </w:p>
  </w:footnote>
  <w:footnote w:id="2">
    <w:p w:rsidR="00CA7334" w:rsidRPr="00617B18" w:rsidP="00617B18" w14:paraId="5611577C" w14:textId="5AF26269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lang w:val="cs-CZ"/>
        </w:rPr>
        <w:t xml:space="preserve"> </w:t>
      </w:r>
      <w:r w:rsidRPr="00617B18" w:rsidR="00617B18">
        <w:rPr>
          <w:sz w:val="24"/>
          <w:lang w:val="cs-CZ"/>
        </w:rPr>
        <w:tab/>
      </w:r>
      <w:r w:rsidRPr="00617B18">
        <w:rPr>
          <w:sz w:val="24"/>
          <w:lang w:val="cs-CZ"/>
        </w:rPr>
        <w:t>Úř</w:t>
      </w:r>
      <w:r w:rsidRPr="00617B18">
        <w:rPr>
          <w:sz w:val="24"/>
          <w:lang w:val="cs-CZ"/>
        </w:rPr>
        <w:t xml:space="preserve">. </w:t>
      </w:r>
      <w:r w:rsidRPr="00617B18">
        <w:rPr>
          <w:sz w:val="24"/>
          <w:lang w:val="cs-CZ"/>
        </w:rPr>
        <w:t>věst</w:t>
      </w:r>
      <w:r w:rsidRPr="00617B18">
        <w:rPr>
          <w:sz w:val="24"/>
          <w:lang w:val="cs-CZ"/>
        </w:rPr>
        <w:t xml:space="preserve">. L 153, 3.5.2021, s. 48, ELI: </w:t>
      </w:r>
      <w:hyperlink r:id="rId1" w:history="1">
        <w:r w:rsidRPr="00617B18">
          <w:rPr>
            <w:rStyle w:val="Hyperlink"/>
            <w:sz w:val="24"/>
            <w:lang w:val="cs-CZ"/>
          </w:rPr>
          <w:t>http://data.europa.eu/eli/reg/2021/691/oj</w:t>
        </w:r>
      </w:hyperlink>
      <w:r w:rsidRPr="00617B18">
        <w:rPr>
          <w:sz w:val="24"/>
          <w:lang w:val="cs-CZ"/>
        </w:rPr>
        <w:t>.</w:t>
      </w:r>
    </w:p>
  </w:footnote>
  <w:footnote w:id="3">
    <w:p w:rsidR="00CA7334" w:rsidRPr="00617B18" w:rsidP="00617B18" w14:paraId="725613C6" w14:textId="2F273C82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lang w:val="cs-CZ"/>
        </w:rPr>
        <w:t xml:space="preserve"> </w:t>
      </w:r>
      <w:r w:rsidRPr="00617B18" w:rsidR="00617B18">
        <w:rPr>
          <w:sz w:val="24"/>
          <w:lang w:val="cs-CZ"/>
        </w:rPr>
        <w:tab/>
      </w:r>
      <w:r w:rsidRPr="00617B18">
        <w:rPr>
          <w:sz w:val="24"/>
          <w:lang w:val="cs-CZ"/>
        </w:rPr>
        <w:t>Úř</w:t>
      </w:r>
      <w:r w:rsidRPr="00617B18">
        <w:rPr>
          <w:sz w:val="24"/>
          <w:lang w:val="cs-CZ"/>
        </w:rPr>
        <w:t xml:space="preserve">. </w:t>
      </w:r>
      <w:r w:rsidRPr="00617B18">
        <w:rPr>
          <w:sz w:val="24"/>
          <w:lang w:val="cs-CZ"/>
        </w:rPr>
        <w:t>věst</w:t>
      </w:r>
      <w:r w:rsidRPr="00617B18">
        <w:rPr>
          <w:sz w:val="24"/>
          <w:lang w:val="cs-CZ"/>
        </w:rPr>
        <w:t>. L, 2026/1139, 20.5.2026, ELI: </w:t>
      </w:r>
      <w:hyperlink r:id="rId2" w:tgtFrame="_blank" w:tooltip="Umožňuje přístup k dokumentu prostřednictvím identifikátoru ELI URI." w:history="1">
        <w:r w:rsidRPr="00617B18">
          <w:rPr>
            <w:rStyle w:val="Hyperlink"/>
            <w:color w:val="0070C0"/>
            <w:sz w:val="24"/>
            <w:lang w:val="cs-CZ"/>
          </w:rPr>
          <w:t>http://data.europa.eu/eli/reg/2026/1139/oj</w:t>
        </w:r>
      </w:hyperlink>
      <w:r w:rsidRPr="00617B18">
        <w:rPr>
          <w:color w:val="0070C0"/>
          <w:sz w:val="24"/>
          <w:lang w:val="cs-CZ"/>
        </w:rPr>
        <w:t>.</w:t>
      </w:r>
    </w:p>
  </w:footnote>
  <w:footnote w:id="4">
    <w:p w:rsidR="00CA7334" w:rsidRPr="00617B18" w:rsidP="00617B18" w14:paraId="6B418A10" w14:textId="01AEF010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lang w:val="cs-CZ"/>
        </w:rPr>
        <w:t xml:space="preserve"> </w:t>
      </w:r>
      <w:r w:rsidRPr="00617B18" w:rsidR="00617B18">
        <w:rPr>
          <w:sz w:val="24"/>
          <w:lang w:val="cs-CZ"/>
        </w:rPr>
        <w:tab/>
      </w:r>
      <w:r w:rsidRPr="00617B18">
        <w:rPr>
          <w:sz w:val="24"/>
          <w:lang w:val="cs-CZ"/>
        </w:rPr>
        <w:t>Úř</w:t>
      </w:r>
      <w:r w:rsidRPr="00617B18">
        <w:rPr>
          <w:sz w:val="24"/>
          <w:lang w:val="cs-CZ"/>
        </w:rPr>
        <w:t xml:space="preserve">. </w:t>
      </w:r>
      <w:r w:rsidRPr="00617B18">
        <w:rPr>
          <w:sz w:val="24"/>
          <w:lang w:val="cs-CZ"/>
        </w:rPr>
        <w:t>věst</w:t>
      </w:r>
      <w:r w:rsidRPr="00617B18">
        <w:rPr>
          <w:sz w:val="24"/>
          <w:lang w:val="cs-CZ"/>
        </w:rPr>
        <w:t xml:space="preserve">. L 433 I, 22.12.2020, s. 11, ELI: </w:t>
      </w:r>
      <w:hyperlink r:id="rId3" w:history="1">
        <w:r w:rsidRPr="00617B18">
          <w:rPr>
            <w:rStyle w:val="Hyperlink"/>
            <w:sz w:val="24"/>
            <w:lang w:val="cs-CZ"/>
          </w:rPr>
          <w:t>http://data.europa.eu/eli/reg/2020/2093/oj</w:t>
        </w:r>
      </w:hyperlink>
      <w:r w:rsidRPr="00617B18">
        <w:rPr>
          <w:sz w:val="24"/>
          <w:lang w:val="cs-CZ"/>
        </w:rPr>
        <w:t>.</w:t>
      </w:r>
    </w:p>
  </w:footnote>
  <w:footnote w:id="5">
    <w:p w:rsidR="00CA7334" w:rsidRPr="00617B18" w:rsidP="00617B18" w14:paraId="4C5A80D2" w14:textId="348FC7AF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shd w:val="clear" w:color="auto" w:fill="FFFFFF"/>
          <w:lang w:val="cs-CZ"/>
        </w:rPr>
        <w:t xml:space="preserve"> </w:t>
      </w:r>
      <w:r w:rsidRPr="00617B18" w:rsidR="00617B18">
        <w:rPr>
          <w:sz w:val="24"/>
          <w:shd w:val="clear" w:color="auto" w:fill="FFFFFF"/>
          <w:lang w:val="cs-CZ"/>
        </w:rPr>
        <w:tab/>
      </w:r>
      <w:r w:rsidRPr="00617B18">
        <w:rPr>
          <w:sz w:val="24"/>
          <w:shd w:val="clear" w:color="auto" w:fill="FFFFFF"/>
          <w:lang w:val="cs-CZ"/>
        </w:rPr>
        <w:t>Nařízení Rady (EU, Euratom) 2024/765 ze dne 29. února 2024, kterým se mění nařízení (EU, Euratom) 2020/2093, kterým se stanoví víceletý finanční rámec na období 2021–2027 (</w:t>
      </w:r>
      <w:r w:rsidRPr="00617B18">
        <w:rPr>
          <w:sz w:val="24"/>
          <w:shd w:val="clear" w:color="auto" w:fill="FFFFFF"/>
          <w:lang w:val="cs-CZ"/>
        </w:rPr>
        <w:t>Úř</w:t>
      </w:r>
      <w:r w:rsidRPr="00617B18">
        <w:rPr>
          <w:sz w:val="24"/>
          <w:shd w:val="clear" w:color="auto" w:fill="FFFFFF"/>
          <w:lang w:val="cs-CZ"/>
        </w:rPr>
        <w:t xml:space="preserve">. </w:t>
      </w:r>
      <w:r w:rsidRPr="00617B18">
        <w:rPr>
          <w:sz w:val="24"/>
          <w:shd w:val="clear" w:color="auto" w:fill="FFFFFF"/>
          <w:lang w:val="cs-CZ"/>
        </w:rPr>
        <w:t>věst</w:t>
      </w:r>
      <w:r w:rsidRPr="00617B18">
        <w:rPr>
          <w:sz w:val="24"/>
          <w:shd w:val="clear" w:color="auto" w:fill="FFFFFF"/>
          <w:lang w:val="cs-CZ"/>
        </w:rPr>
        <w:t>. L, 2024/765, 29.2.2024, ELI:</w:t>
      </w:r>
      <w:r w:rsidRPr="00617B18">
        <w:rPr>
          <w:color w:val="333333"/>
          <w:sz w:val="24"/>
          <w:shd w:val="clear" w:color="auto" w:fill="FFFFFF"/>
          <w:lang w:val="cs-CZ"/>
        </w:rPr>
        <w:t xml:space="preserve"> </w:t>
      </w:r>
      <w:hyperlink r:id="rId4" w:history="1">
        <w:r w:rsidRPr="00617B18">
          <w:rPr>
            <w:rStyle w:val="Hyperlink"/>
            <w:sz w:val="24"/>
            <w:shd w:val="clear" w:color="auto" w:fill="FFFFFF"/>
            <w:lang w:val="cs-CZ"/>
          </w:rPr>
          <w:t>http://data.europa.eu/eli/reg/2024/765/oj</w:t>
        </w:r>
      </w:hyperlink>
      <w:r w:rsidRPr="00617B18">
        <w:rPr>
          <w:i/>
          <w:color w:val="333333"/>
          <w:sz w:val="24"/>
          <w:shd w:val="clear" w:color="auto" w:fill="FFFFFF"/>
          <w:lang w:val="cs-CZ"/>
        </w:rPr>
        <w:t>).</w:t>
      </w:r>
    </w:p>
  </w:footnote>
  <w:footnote w:id="6">
    <w:p w:rsidR="00CA7334" w:rsidRPr="00617B18" w:rsidP="00617B18" w14:paraId="470CDF9D" w14:textId="24D5A963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lang w:val="cs-CZ"/>
        </w:rPr>
        <w:t xml:space="preserve"> </w:t>
      </w:r>
      <w:r w:rsidRPr="00617B18" w:rsidR="00617B18">
        <w:rPr>
          <w:sz w:val="24"/>
          <w:lang w:val="cs-CZ"/>
        </w:rPr>
        <w:tab/>
      </w:r>
      <w:r w:rsidRPr="00617B18">
        <w:rPr>
          <w:sz w:val="24"/>
          <w:lang w:val="cs-CZ"/>
        </w:rPr>
        <w:t>Úř</w:t>
      </w:r>
      <w:r w:rsidRPr="00617B18">
        <w:rPr>
          <w:sz w:val="24"/>
          <w:lang w:val="cs-CZ"/>
        </w:rPr>
        <w:t>. </w:t>
      </w:r>
      <w:r w:rsidRPr="00617B18">
        <w:rPr>
          <w:sz w:val="24"/>
          <w:lang w:val="cs-CZ"/>
        </w:rPr>
        <w:t>věst</w:t>
      </w:r>
      <w:r w:rsidRPr="00617B18">
        <w:rPr>
          <w:sz w:val="24"/>
          <w:lang w:val="cs-CZ"/>
        </w:rPr>
        <w:t xml:space="preserve">. L 433 I, 22.12.2020, s. 28, ELI: </w:t>
      </w:r>
      <w:hyperlink r:id="rId5" w:history="1">
        <w:r w:rsidRPr="00617B18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617B18">
        <w:rPr>
          <w:sz w:val="24"/>
          <w:lang w:val="cs-CZ"/>
        </w:rPr>
        <w:t>.</w:t>
      </w:r>
    </w:p>
  </w:footnote>
  <w:footnote w:id="7">
    <w:p w:rsidR="00CA7334" w:rsidRPr="00617B18" w:rsidP="00617B18" w14:paraId="53EB7661" w14:textId="4C1D89A9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lang w:val="cs-CZ"/>
        </w:rPr>
        <w:t xml:space="preserve"> </w:t>
      </w:r>
      <w:r w:rsidRPr="00617B18" w:rsidR="00617B18">
        <w:rPr>
          <w:sz w:val="24"/>
          <w:lang w:val="cs-CZ"/>
        </w:rPr>
        <w:tab/>
      </w:r>
      <w:r w:rsidRPr="00617B18">
        <w:rPr>
          <w:sz w:val="24"/>
          <w:lang w:val="cs-CZ"/>
        </w:rPr>
        <w:t>Ve smyslu článku 3 nařízení o EFG.</w:t>
      </w:r>
    </w:p>
  </w:footnote>
  <w:footnote w:id="8">
    <w:p w:rsidR="00CA7334" w:rsidRPr="00617B18" w:rsidP="00617B18" w14:paraId="0B295A1B" w14:textId="6BC3D049">
      <w:pPr>
        <w:pStyle w:val="FootnoteText"/>
        <w:ind w:left="567" w:hanging="567"/>
        <w:rPr>
          <w:sz w:val="24"/>
          <w:lang w:val="cs-CZ"/>
        </w:rPr>
      </w:pPr>
      <w:r w:rsidRPr="00617B18">
        <w:rPr>
          <w:rStyle w:val="FootnoteReference"/>
          <w:sz w:val="24"/>
          <w:lang w:val="cs-CZ"/>
        </w:rPr>
        <w:footnoteRef/>
      </w:r>
      <w:r w:rsidRPr="00617B18" w:rsidR="00617B18">
        <w:rPr>
          <w:sz w:val="24"/>
          <w:lang w:val="cs-CZ"/>
        </w:rPr>
        <w:t xml:space="preserve"> </w:t>
      </w:r>
      <w:r w:rsidRPr="00617B18" w:rsidR="00617B18">
        <w:rPr>
          <w:sz w:val="24"/>
          <w:lang w:val="cs-CZ"/>
        </w:rPr>
        <w:tab/>
      </w:r>
      <w:r w:rsidRPr="00617B18">
        <w:rPr>
          <w:sz w:val="24"/>
          <w:lang w:val="cs-CZ"/>
        </w:rPr>
        <w:t>Článek 8 nařízení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7B18" w14:paraId="2C3312F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7B18" w14:paraId="104A17B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7B18" w14:paraId="09D7EB2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8323614">
    <w:abstractNumId w:val="9"/>
  </w:num>
  <w:num w:numId="2" w16cid:durableId="1552499620">
    <w:abstractNumId w:val="9"/>
  </w:num>
  <w:num w:numId="3" w16cid:durableId="1079059768">
    <w:abstractNumId w:val="7"/>
  </w:num>
  <w:num w:numId="4" w16cid:durableId="1555502787">
    <w:abstractNumId w:val="7"/>
  </w:num>
  <w:num w:numId="5" w16cid:durableId="1937052733">
    <w:abstractNumId w:val="6"/>
  </w:num>
  <w:num w:numId="6" w16cid:durableId="264577421">
    <w:abstractNumId w:val="6"/>
  </w:num>
  <w:num w:numId="7" w16cid:durableId="1024019760">
    <w:abstractNumId w:val="5"/>
  </w:num>
  <w:num w:numId="8" w16cid:durableId="2030983220">
    <w:abstractNumId w:val="5"/>
  </w:num>
  <w:num w:numId="9" w16cid:durableId="1877159412">
    <w:abstractNumId w:val="4"/>
  </w:num>
  <w:num w:numId="10" w16cid:durableId="432674957">
    <w:abstractNumId w:val="4"/>
  </w:num>
  <w:num w:numId="11" w16cid:durableId="1183206537">
    <w:abstractNumId w:val="8"/>
  </w:num>
  <w:num w:numId="12" w16cid:durableId="1616446809">
    <w:abstractNumId w:val="8"/>
  </w:num>
  <w:num w:numId="13" w16cid:durableId="555514181">
    <w:abstractNumId w:val="3"/>
  </w:num>
  <w:num w:numId="14" w16cid:durableId="816068147">
    <w:abstractNumId w:val="3"/>
  </w:num>
  <w:num w:numId="15" w16cid:durableId="1779252896">
    <w:abstractNumId w:val="2"/>
  </w:num>
  <w:num w:numId="16" w16cid:durableId="73362243">
    <w:abstractNumId w:val="2"/>
  </w:num>
  <w:num w:numId="17" w16cid:durableId="869956975">
    <w:abstractNumId w:val="1"/>
  </w:num>
  <w:num w:numId="18" w16cid:durableId="1398669503">
    <w:abstractNumId w:val="1"/>
  </w:num>
  <w:num w:numId="19" w16cid:durableId="523254763">
    <w:abstractNumId w:val="0"/>
  </w:num>
  <w:num w:numId="20" w16cid:durableId="1736704003">
    <w:abstractNumId w:val="0"/>
  </w:num>
  <w:num w:numId="21" w16cid:durableId="357121225">
    <w:abstractNumId w:val="9"/>
  </w:num>
  <w:num w:numId="22" w16cid:durableId="883758522">
    <w:abstractNumId w:val="7"/>
  </w:num>
  <w:num w:numId="23" w16cid:durableId="592588497">
    <w:abstractNumId w:val="6"/>
  </w:num>
  <w:num w:numId="24" w16cid:durableId="1911227220">
    <w:abstractNumId w:val="5"/>
  </w:num>
  <w:num w:numId="25" w16cid:durableId="564296740">
    <w:abstractNumId w:val="4"/>
  </w:num>
  <w:num w:numId="26" w16cid:durableId="1348798879">
    <w:abstractNumId w:val="8"/>
  </w:num>
  <w:num w:numId="27" w16cid:durableId="1741439620">
    <w:abstractNumId w:val="3"/>
  </w:num>
  <w:num w:numId="28" w16cid:durableId="1191600875">
    <w:abstractNumId w:val="2"/>
  </w:num>
  <w:num w:numId="29" w16cid:durableId="1718968661">
    <w:abstractNumId w:val="1"/>
  </w:num>
  <w:num w:numId="30" w16cid:durableId="685526284">
    <w:abstractNumId w:val="0"/>
  </w:num>
  <w:num w:numId="31" w16cid:durableId="76564238">
    <w:abstractNumId w:val="9"/>
  </w:num>
  <w:num w:numId="32" w16cid:durableId="2052262357">
    <w:abstractNumId w:val="7"/>
  </w:num>
  <w:num w:numId="33" w16cid:durableId="1262378722">
    <w:abstractNumId w:val="6"/>
  </w:num>
  <w:num w:numId="34" w16cid:durableId="1108157478">
    <w:abstractNumId w:val="5"/>
  </w:num>
  <w:num w:numId="35" w16cid:durableId="396630397">
    <w:abstractNumId w:val="4"/>
  </w:num>
  <w:num w:numId="36" w16cid:durableId="320282711">
    <w:abstractNumId w:val="8"/>
  </w:num>
  <w:num w:numId="37" w16cid:durableId="604076173">
    <w:abstractNumId w:val="3"/>
  </w:num>
  <w:num w:numId="38" w16cid:durableId="62803184">
    <w:abstractNumId w:val="2"/>
  </w:num>
  <w:num w:numId="39" w16cid:durableId="545409780">
    <w:abstractNumId w:val="1"/>
  </w:num>
  <w:num w:numId="40" w16cid:durableId="999968653">
    <w:abstractNumId w:val="0"/>
  </w:num>
  <w:num w:numId="41" w16cid:durableId="1149175740">
    <w:abstractNumId w:val="10"/>
  </w:num>
  <w:num w:numId="42" w16cid:durableId="1293826836">
    <w:abstractNumId w:val="10"/>
  </w:num>
  <w:num w:numId="43" w16cid:durableId="1859157303">
    <w:abstractNumId w:val="10"/>
  </w:num>
  <w:num w:numId="44" w16cid:durableId="553809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75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B18"/>
    <w:rsid w:val="006631B6"/>
    <w:rsid w:val="00680577"/>
    <w:rsid w:val="00686D6B"/>
    <w:rsid w:val="0069618A"/>
    <w:rsid w:val="006F74FA"/>
    <w:rsid w:val="00731ADD"/>
    <w:rsid w:val="00734777"/>
    <w:rsid w:val="00747932"/>
    <w:rsid w:val="00751A4A"/>
    <w:rsid w:val="00756632"/>
    <w:rsid w:val="00762C74"/>
    <w:rsid w:val="00786EC0"/>
    <w:rsid w:val="007C1EB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B80"/>
    <w:rsid w:val="00981893"/>
    <w:rsid w:val="00A1687D"/>
    <w:rsid w:val="00A36E13"/>
    <w:rsid w:val="00A43E52"/>
    <w:rsid w:val="00A4678D"/>
    <w:rsid w:val="00A613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334"/>
    <w:rsid w:val="00CC2357"/>
    <w:rsid w:val="00CF071A"/>
    <w:rsid w:val="00D058B8"/>
    <w:rsid w:val="00D548F3"/>
    <w:rsid w:val="00D56C11"/>
    <w:rsid w:val="00D834A0"/>
    <w:rsid w:val="00D872DF"/>
    <w:rsid w:val="00D91E21"/>
    <w:rsid w:val="00DA7FCD"/>
    <w:rsid w:val="00DE73E1"/>
    <w:rsid w:val="00E34ECB"/>
    <w:rsid w:val="00E365E1"/>
    <w:rsid w:val="00E820A4"/>
    <w:rsid w:val="00EB006A"/>
    <w:rsid w:val="00EB4772"/>
    <w:rsid w:val="00ED169E"/>
    <w:rsid w:val="00ED4235"/>
    <w:rsid w:val="00EF2B2C"/>
    <w:rsid w:val="00F04346"/>
    <w:rsid w:val="00F075DC"/>
    <w:rsid w:val="00F149E9"/>
    <w:rsid w:val="00F5134D"/>
    <w:rsid w:val="00F60FCC"/>
    <w:rsid w:val="00F74202"/>
    <w:rsid w:val="00F87713"/>
    <w:rsid w:val="00FB4360"/>
    <w:rsid w:val="00FD0C70"/>
  </w:rsids>
  <w:docVars>
    <w:docVar w:name="dvdocse" w:val="A10-0149/2026"/>
    <w:docVar w:name="dvlangue" w:val="CS"/>
    <w:docVar w:name="dvnumam" w:val="0"/>
    <w:docVar w:name="dvpe" w:val="787.923"/>
    <w:docVar w:name="dvrapporteur" w:val="Zpravodaj: "/>
    <w:docVar w:name="dvtitre" w:val="Usnesení Evropského parlamentu ze dne 16. června 2026 o návrhu rozhodnutí Evropského parlamentu a Rady o uvolnění prostředků z Evropského fondu pro přizpůsobení se globalizaci na pomoc propuštěným pracovníkům na základě žádosti Belgie – EGF/2025/009 BE/Soliver(COM(2026)0050 – C10-0111/2026 – 2026/0097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8E25455"/>
  <w15:chartTrackingRefBased/>
  <w15:docId w15:val="{CED3CF58-3D48-40BA-AACB-AAE37081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A73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A73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A733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A73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7334"/>
    <w:rPr>
      <w:sz w:val="24"/>
      <w:lang w:val="cs-CZ"/>
    </w:rPr>
  </w:style>
  <w:style w:type="paragraph" w:customStyle="1" w:styleId="EPFooter">
    <w:name w:val="EPFooter"/>
    <w:basedOn w:val="Normal"/>
    <w:rsid w:val="00CA73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A7334"/>
    <w:pPr>
      <w:spacing w:before="480" w:after="240"/>
    </w:pPr>
  </w:style>
  <w:style w:type="character" w:styleId="Hyperlink">
    <w:name w:val="Hyperlink"/>
    <w:basedOn w:val="DefaultParagraphFont"/>
    <w:uiPriority w:val="99"/>
    <w:rsid w:val="00CA733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A7334"/>
    <w:rPr>
      <w:sz w:val="24"/>
      <w:lang w:val="cs-CZ"/>
    </w:rPr>
  </w:style>
  <w:style w:type="paragraph" w:customStyle="1" w:styleId="Titreobjet">
    <w:name w:val="Titre objet"/>
    <w:basedOn w:val="Normal"/>
    <w:next w:val="Normal"/>
    <w:rsid w:val="00CA733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A733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A733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CA7334"/>
    <w:rPr>
      <w:rFonts w:ascii="Arial" w:hAnsi="Arial" w:cs="Arial"/>
      <w:b/>
      <w:sz w:val="24"/>
      <w:lang w:val="cs-CZ"/>
    </w:rPr>
  </w:style>
  <w:style w:type="paragraph" w:customStyle="1" w:styleId="ManualConsidrant">
    <w:name w:val="Manual Considérant"/>
    <w:basedOn w:val="Normal"/>
    <w:rsid w:val="00CA733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cs-CZ" w:bidi="cs-CZ"/>
    </w:rPr>
  </w:style>
  <w:style w:type="paragraph" w:styleId="Footer">
    <w:name w:val="footer"/>
    <w:basedOn w:val="Normal"/>
    <w:link w:val="FooterChar"/>
    <w:rsid w:val="00A36E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36E13"/>
    <w:rPr>
      <w:sz w:val="24"/>
      <w:lang w:val="cs-CZ"/>
    </w:rPr>
  </w:style>
  <w:style w:type="paragraph" w:styleId="Revision">
    <w:name w:val="Revision"/>
    <w:hidden/>
    <w:uiPriority w:val="99"/>
    <w:semiHidden/>
    <w:rsid w:val="00961B80"/>
    <w:rPr>
      <w:sz w:val="24"/>
      <w:lang w:val="cs-CZ"/>
    </w:rPr>
  </w:style>
  <w:style w:type="character" w:styleId="CommentReference">
    <w:name w:val="annotation reference"/>
    <w:basedOn w:val="DefaultParagraphFont"/>
    <w:rsid w:val="00961B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1B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1B8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61B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1B80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DE7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6/1139/oj" TargetMode="External" /><Relationship Id="rId3" Type="http://schemas.openxmlformats.org/officeDocument/2006/relationships/hyperlink" Target="http://data.europa.eu/eli/reg/2020/2093/oj" TargetMode="External" /><Relationship Id="rId4" Type="http://schemas.openxmlformats.org/officeDocument/2006/relationships/hyperlink" Target="http://data.europa.eu/eli/reg/2024/765/oj" TargetMode="External" /><Relationship Id="rId5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1668</Words>
  <Characters>10237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2026-08-31T13:45:00Z</dcterms:created>
  <dcterms:modified xsi:type="dcterms:W3CDTF">2026-08-31T13:45:00Z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P10_TA(2026)0201_</vt:lpwstr>
  </property>
  <property fmtid="{D5CDD505-2E9C-101B-9397-08002B2CF9AE}" pid="4" name="&lt;Type&gt;">
    <vt:lpwstr>RR</vt:lpwstr>
  </property>
</Properties>
</file>