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EA7EC2A" w14:textId="77777777" w:rsidTr="0010095E">
        <w:tblPrEx>
          <w:tblW w:w="9072" w:type="dxa"/>
          <w:tblLook w:val="01E0"/>
        </w:tblPrEx>
        <w:trPr>
          <w:trHeight w:hRule="exact" w:val="1418"/>
        </w:trPr>
        <w:tc>
          <w:tcPr>
            <w:tcW w:w="6804" w:type="dxa"/>
            <w:shd w:val="clear" w:color="auto" w:fill="auto"/>
            <w:vAlign w:val="center"/>
          </w:tcPr>
          <w:p w:rsidR="00751A4A" w:rsidRPr="001F5878" w:rsidP="0010095E" w14:paraId="463CF189" w14:textId="77777777">
            <w:pPr>
              <w:pStyle w:val="EPName"/>
            </w:pPr>
            <w:r w:rsidRPr="001F5878">
              <w:t>Europa-Parlamentet</w:t>
            </w:r>
          </w:p>
          <w:p w:rsidR="00751A4A" w:rsidRPr="001F5878" w:rsidP="005F1B17" w14:paraId="2B0AE1B9" w14:textId="77777777">
            <w:pPr>
              <w:pStyle w:val="EPTerm"/>
              <w:rPr>
                <w:rStyle w:val="HideTWBExt"/>
                <w:noProof w:val="0"/>
                <w:vanish w:val="0"/>
                <w:color w:val="auto"/>
              </w:rPr>
            </w:pPr>
            <w:r w:rsidRPr="001F5878">
              <w:t>2024</w:t>
            </w:r>
            <w:r w:rsidRPr="001F5878" w:rsidR="00817416">
              <w:t>-202</w:t>
            </w:r>
            <w:r w:rsidRPr="001F5878">
              <w:t>9</w:t>
            </w:r>
          </w:p>
        </w:tc>
        <w:tc>
          <w:tcPr>
            <w:tcW w:w="2268" w:type="dxa"/>
            <w:shd w:val="clear" w:color="auto" w:fill="auto"/>
          </w:tcPr>
          <w:p w:rsidR="00751A4A" w:rsidRPr="001F5878" w:rsidP="0010095E" w14:paraId="5B823E96" w14:textId="77777777">
            <w:pPr>
              <w:pStyle w:val="EPLogo"/>
            </w:pPr>
            <w:r w:rsidRPr="001F587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F5878" w:rsidP="004C5D52" w14:paraId="7B1BE1C5" w14:textId="77777777">
      <w:pPr>
        <w:pStyle w:val="LineTop"/>
      </w:pPr>
    </w:p>
    <w:p w:rsidR="00680577" w:rsidRPr="001F5878" w:rsidP="00680577" w14:paraId="77B12C96" w14:textId="77777777">
      <w:pPr>
        <w:pStyle w:val="EPBodyTA1"/>
      </w:pPr>
      <w:r w:rsidRPr="001F5878">
        <w:t>VEDTAGNE TEKSTER</w:t>
      </w:r>
    </w:p>
    <w:p w:rsidR="00D058B8" w:rsidRPr="001F5878" w:rsidP="00D058B8" w14:paraId="63087798" w14:textId="77777777">
      <w:pPr>
        <w:pStyle w:val="LineBottom"/>
      </w:pPr>
    </w:p>
    <w:p w:rsidR="005231CF" w:rsidRPr="001F5878" w:rsidP="005231CF" w14:paraId="56E0DADC" w14:textId="27B62ECD">
      <w:pPr>
        <w:pStyle w:val="ATHeading1"/>
      </w:pPr>
      <w:bookmarkStart w:id="0" w:name="TANumber"/>
      <w:r w:rsidRPr="001F5878">
        <w:t>P10_</w:t>
      </w:r>
      <w:r w:rsidRPr="001F5878">
        <w:t>TA(</w:t>
      </w:r>
      <w:r w:rsidRPr="001F5878">
        <w:t>2026)0</w:t>
      </w:r>
      <w:bookmarkEnd w:id="0"/>
      <w:r w:rsidR="00AB290C">
        <w:t>201</w:t>
      </w:r>
    </w:p>
    <w:p w:rsidR="005231CF" w:rsidRPr="001F5878" w:rsidP="00A56130" w14:paraId="0B38FF32" w14:textId="0ED4DEAA">
      <w:pPr>
        <w:pStyle w:val="ATHeading2"/>
      </w:pPr>
      <w:r>
        <w:t>Mobilisering af Den Europæiske Fond for Tilpasning til Globaliseringen for Afskedigede Arbejdstagere på baggrund af en ansøgning fra Belgien — EGF/2025/009 BE/Soliver</w:t>
      </w:r>
    </w:p>
    <w:p w:rsidR="005231CF" w:rsidRPr="001F5878" w:rsidP="005231CF" w14:paraId="24A2C967" w14:textId="77777777">
      <w:pPr>
        <w:rPr>
          <w:i/>
          <w:vanish/>
        </w:rPr>
      </w:pPr>
      <w:r>
        <w:rPr>
          <w:i/>
        </w:rPr>
        <w:fldChar w:fldCharType="begin"/>
      </w:r>
      <w:r w:rsidRPr="001F5878">
        <w:rPr>
          <w:i/>
        </w:rPr>
        <w:instrText xml:space="preserve"> TC"(</w:instrText>
      </w:r>
      <w:bookmarkStart w:id="1" w:name="DocNumber"/>
      <w:r w:rsidRPr="001F5878">
        <w:rPr>
          <w:i/>
        </w:rPr>
        <w:instrText>A10-0149/2026</w:instrText>
      </w:r>
      <w:bookmarkEnd w:id="1"/>
      <w:r w:rsidRPr="001F5878">
        <w:rPr>
          <w:i/>
        </w:rPr>
        <w:instrText xml:space="preserve"> - Ordfører: Bogdan </w:instrText>
      </w:r>
      <w:r w:rsidRPr="001F5878">
        <w:rPr>
          <w:i/>
        </w:rPr>
        <w:instrText>Rzońca</w:instrText>
      </w:r>
      <w:r w:rsidRPr="001F5878">
        <w:rPr>
          <w:i/>
        </w:rPr>
        <w:instrText xml:space="preserve">)"\l3 \n&gt; \* MERGEFORMAT </w:instrText>
      </w:r>
      <w:r>
        <w:rPr>
          <w:i/>
        </w:rPr>
        <w:fldChar w:fldCharType="end"/>
      </w:r>
    </w:p>
    <w:p w:rsidR="005231CF" w:rsidRPr="001F5878" w:rsidP="005231CF" w14:paraId="14153CA7" w14:textId="77777777">
      <w:pPr>
        <w:rPr>
          <w:vanish/>
        </w:rPr>
      </w:pPr>
      <w:bookmarkStart w:id="2" w:name="Commission"/>
      <w:r w:rsidRPr="001F5878">
        <w:rPr>
          <w:vanish/>
        </w:rPr>
        <w:t>Budgetudvalget</w:t>
      </w:r>
      <w:bookmarkEnd w:id="2"/>
    </w:p>
    <w:p w:rsidR="005231CF" w:rsidRPr="001F5878" w:rsidP="005231CF" w14:paraId="0DC48A0B" w14:textId="77777777">
      <w:pPr>
        <w:rPr>
          <w:vanish/>
        </w:rPr>
      </w:pPr>
      <w:bookmarkStart w:id="3" w:name="PE"/>
      <w:r w:rsidRPr="001F5878">
        <w:rPr>
          <w:vanish/>
        </w:rPr>
        <w:t>PE787.923</w:t>
      </w:r>
      <w:bookmarkEnd w:id="3"/>
    </w:p>
    <w:p w:rsidR="005231CF" w:rsidRPr="001F5878" w:rsidP="005231CF" w14:paraId="47F08463" w14:textId="4958B0D3">
      <w:pPr>
        <w:pStyle w:val="ATHeading3"/>
      </w:pPr>
      <w:bookmarkStart w:id="4" w:name="Sujet"/>
      <w:r w:rsidRPr="001F5878">
        <w:t xml:space="preserve">Europa-Parlamentets beslutning af </w:t>
      </w:r>
      <w:r w:rsidR="00A56130">
        <w:t>16</w:t>
      </w:r>
      <w:r w:rsidRPr="001F5878">
        <w:t>.</w:t>
      </w:r>
      <w:r w:rsidR="00ED695D">
        <w:t xml:space="preserve"> juni</w:t>
      </w:r>
      <w:r w:rsidRPr="001F5878">
        <w:t xml:space="preserve"> 2026 om forslag til Europa-Parlamentets og Rådets afgørelse om mobilisering af Den Europæiske Fond for Tilpasning til Globaliseringen for Afskedigede Arbejdstagere på baggrund af en ansøgning fra Belgien – EGF/2025/009 BE/Soliver</w:t>
      </w:r>
      <w:bookmarkEnd w:id="4"/>
      <w:r w:rsidRPr="001F5878">
        <w:t xml:space="preserve"> </w:t>
      </w:r>
      <w:bookmarkStart w:id="5" w:name="References"/>
      <w:r w:rsidRPr="001F5878">
        <w:t>(</w:t>
      </w:r>
      <w:r w:rsidRPr="001F5878">
        <w:t>COM(</w:t>
      </w:r>
      <w:r w:rsidRPr="001F5878">
        <w:t>2026)0050 – C10-0111/2026 – 2026/0097(BUD))</w:t>
      </w:r>
      <w:bookmarkEnd w:id="5"/>
    </w:p>
    <w:p w:rsidR="003F5894" w:rsidRPr="001F5878" w:rsidP="003F5894" w14:paraId="77709CE0" w14:textId="77777777">
      <w:pPr>
        <w:pStyle w:val="EPComma"/>
        <w:rPr>
          <w:noProof/>
        </w:rPr>
      </w:pPr>
      <w:r w:rsidRPr="001F5878">
        <w:rPr>
          <w:i/>
          <w:iCs/>
        </w:rPr>
        <w:t>Europa-Parlamentet</w:t>
      </w:r>
      <w:r w:rsidRPr="001F5878">
        <w:t>,</w:t>
      </w:r>
    </w:p>
    <w:p w:rsidR="003F5894" w:rsidRPr="001F5878" w:rsidP="003F5894" w14:paraId="363F22FB" w14:textId="77777777">
      <w:pPr>
        <w:pStyle w:val="NormalHanging12a"/>
        <w:rPr>
          <w:noProof/>
        </w:rPr>
      </w:pPr>
      <w:r w:rsidRPr="001F5878">
        <w:t>–</w:t>
      </w:r>
      <w:r w:rsidRPr="001F5878">
        <w:tab/>
        <w:t>der henviser til Kommissionens forslag til Europa-Parlamentet og Rådet (</w:t>
      </w:r>
      <w:r w:rsidRPr="001F5878">
        <w:t>COM(</w:t>
      </w:r>
      <w:r w:rsidRPr="001F5878">
        <w:t>2026)0050 – C10</w:t>
      </w:r>
      <w:r w:rsidRPr="001F5878">
        <w:noBreakHyphen/>
        <w:t>0111/2026),</w:t>
      </w:r>
    </w:p>
    <w:p w:rsidR="003F5894" w:rsidRPr="001F5878" w:rsidP="003F5894" w14:paraId="2F2DB659" w14:textId="77777777">
      <w:pPr>
        <w:pStyle w:val="NormalHanging12a"/>
      </w:pPr>
      <w:r w:rsidRPr="001F5878">
        <w:t>–</w:t>
      </w:r>
      <w:r w:rsidRPr="001F5878">
        <w:tab/>
        <w:t>der henviser til Europa-Parlamentets og Rådets forordning (EU) 2021/691 af 28. april 2021 om Den Europæiske Fond for Tilpasning til Globaliseringen for Afskedigede Arbejdstagere (EGF) og om ophævelse af forordning (EU) nr. 1309/2013</w:t>
      </w:r>
      <w:r>
        <w:rPr>
          <w:vertAlign w:val="superscript"/>
        </w:rPr>
        <w:footnoteReference w:id="2"/>
      </w:r>
      <w:r w:rsidRPr="001F5878">
        <w:t xml:space="preserve"> (EGF-forordningen), som ændret ved forordning (EU) 2026/1139</w:t>
      </w:r>
      <w:r>
        <w:rPr>
          <w:vertAlign w:val="superscript"/>
        </w:rPr>
        <w:footnoteReference w:id="3"/>
      </w:r>
      <w:r w:rsidRPr="001F5878">
        <w:t xml:space="preserve">, </w:t>
      </w:r>
    </w:p>
    <w:p w:rsidR="003F5894" w:rsidRPr="001F5878" w:rsidP="003F5894" w14:paraId="07B952E5" w14:textId="77777777">
      <w:pPr>
        <w:pStyle w:val="NormalHanging12a"/>
        <w:rPr>
          <w:noProof/>
        </w:rPr>
      </w:pPr>
      <w:r w:rsidRPr="001F5878">
        <w:t>–</w:t>
      </w:r>
      <w:r w:rsidRPr="001F5878">
        <w:tab/>
        <w:t xml:space="preserve">der henviser til Rådets forordning (EU, </w:t>
      </w:r>
      <w:r w:rsidRPr="001F5878">
        <w:t>Euratom</w:t>
      </w:r>
      <w:r w:rsidRPr="001F5878">
        <w:t>) 2020/2093 af 17. december 2020 om fastlæggelse af den flerårige finansielle ramme for årene 2021-2027 (FFR-forordningen)</w:t>
      </w:r>
      <w:r>
        <w:rPr>
          <w:noProof/>
          <w:vertAlign w:val="superscript"/>
        </w:rPr>
        <w:footnoteReference w:id="4"/>
      </w:r>
      <w:r w:rsidRPr="001F5878">
        <w:t xml:space="preserve"> som ændret ved forordning (EU, </w:t>
      </w:r>
      <w:r w:rsidRPr="001F5878">
        <w:t>Euratom</w:t>
      </w:r>
      <w:r w:rsidRPr="001F5878">
        <w:t>) 2024/765</w:t>
      </w:r>
      <w:r>
        <w:rPr>
          <w:noProof/>
          <w:vertAlign w:val="superscript"/>
        </w:rPr>
        <w:footnoteReference w:id="5"/>
      </w:r>
      <w:r w:rsidRPr="001F5878">
        <w:t>, særlig artikel 8,</w:t>
      </w:r>
    </w:p>
    <w:p w:rsidR="003F5894" w:rsidRPr="001F5878" w:rsidP="003F5894" w14:paraId="6BADD782" w14:textId="77777777">
      <w:pPr>
        <w:pStyle w:val="NormalHanging12a"/>
        <w:rPr>
          <w:noProof/>
        </w:rPr>
      </w:pPr>
      <w:r w:rsidRPr="001F5878">
        <w:t>–</w:t>
      </w:r>
      <w:r w:rsidRPr="001F5878">
        <w:tab/>
        <w:t xml:space="preserve">der henviser til den </w:t>
      </w:r>
      <w:r w:rsidRPr="001F5878">
        <w:t>interinstitutionelle</w:t>
      </w:r>
      <w:r w:rsidRPr="001F5878">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w:t>
      </w:r>
      <w:r w:rsidRPr="001F5878">
        <w:t>nye egne indtægter</w:t>
      </w:r>
      <w:r>
        <w:rPr>
          <w:rStyle w:val="FootnoteReference"/>
          <w:noProof/>
        </w:rPr>
        <w:footnoteReference w:id="6"/>
      </w:r>
      <w:r w:rsidRPr="001F5878">
        <w:t>, særlig punkt 9,</w:t>
      </w:r>
    </w:p>
    <w:p w:rsidR="003F5894" w:rsidRPr="001F5878" w:rsidP="003F5894" w14:paraId="07317889" w14:textId="77777777">
      <w:pPr>
        <w:pStyle w:val="NormalHanging12a"/>
      </w:pPr>
      <w:r w:rsidRPr="001F5878">
        <w:t>–</w:t>
      </w:r>
      <w:r w:rsidRPr="001F5878">
        <w:tab/>
        <w:t>der henviser til den europæiske søjle for sociale rettigheder,</w:t>
      </w:r>
    </w:p>
    <w:p w:rsidR="003F5894" w:rsidRPr="001F5878" w:rsidP="003F5894" w14:paraId="0FE9DF3D" w14:textId="77777777">
      <w:pPr>
        <w:pStyle w:val="NormalHanging12a"/>
      </w:pPr>
      <w:r w:rsidRPr="001F5878">
        <w:t>–</w:t>
      </w:r>
      <w:r w:rsidRPr="001F5878">
        <w:tab/>
        <w:t>der henviser til skrivelse fra Udvalget om Beskæftigelse og Sociale Anliggender,</w:t>
      </w:r>
    </w:p>
    <w:p w:rsidR="003F5894" w:rsidRPr="001F5878" w:rsidP="003F5894" w14:paraId="1A25D4DE" w14:textId="77777777">
      <w:pPr>
        <w:pStyle w:val="NormalHanging12a"/>
      </w:pPr>
      <w:r w:rsidRPr="001F5878">
        <w:t>–</w:t>
      </w:r>
      <w:r w:rsidRPr="001F5878">
        <w:tab/>
        <w:t>der henviser til betænkning fra Budgetudvalget (A10-0149/2026),</w:t>
      </w:r>
    </w:p>
    <w:p w:rsidR="003F5894" w:rsidRPr="001F5878" w:rsidP="003F5894" w14:paraId="38641AD8" w14:textId="77777777">
      <w:pPr>
        <w:pStyle w:val="NormalHanging12a"/>
      </w:pPr>
      <w:r w:rsidRPr="001F5878">
        <w:t>A.</w:t>
      </w:r>
      <w:r w:rsidRPr="001F5878">
        <w:tab/>
        <w:t>der henviser til, at Unionen har indført lovgivnings- og budgetinstrumenter for at yde supplerende støtte til arbejdstagere, der er ramt af følgerne af gennemgribende strukturelle begivenheder og ændringer i verdenshandelsmønstrene, med henblik på at hjælpe dem med at vende tilbage til arbejdsmarkedet; der henviser til, at denne bistand ydes gennem økonomisk støtte til arbejdstagere; der henviser til, at det er afgørende at bevare den europæiske industris konkurrenceevne og styrke investeringerne i innovation og færdigheder for at forhindre yderligere industriel tilbagegang og tab af arbejdspladser i hele Unionen;</w:t>
      </w:r>
    </w:p>
    <w:p w:rsidR="003F5894" w:rsidRPr="001F5878" w:rsidP="003F5894" w14:paraId="7366B445" w14:textId="77777777">
      <w:pPr>
        <w:pStyle w:val="NormalHanging12a"/>
      </w:pPr>
      <w:r w:rsidRPr="001F5878">
        <w:t>B.</w:t>
      </w:r>
      <w:r w:rsidRPr="001F5878">
        <w:tab/>
        <w:t>der henviser til, at Belgien indgav ansøgning EGF/2025/009 BE/Soliver om økonomisk støtte fra EGF som følge af 803 afskedigelser</w:t>
      </w:r>
      <w:r>
        <w:rPr>
          <w:vertAlign w:val="superscript"/>
        </w:rPr>
        <w:footnoteReference w:id="7"/>
      </w:r>
      <w:r w:rsidRPr="001F5878">
        <w:t xml:space="preserve"> i Soliver NV (Soliver) i Belgien i den økonomiske sektor, som er klassificeret under NACE (rev. </w:t>
      </w:r>
      <w:r w:rsidRPr="001F5878">
        <w:t>2)-</w:t>
      </w:r>
      <w:r w:rsidRPr="001F5878">
        <w:t xml:space="preserve">hovedgruppe 46 (Engroshandel), i regionerne </w:t>
      </w:r>
      <w:r w:rsidRPr="001F5878">
        <w:t>Provincie</w:t>
      </w:r>
      <w:r w:rsidRPr="001F5878">
        <w:t xml:space="preserve"> </w:t>
      </w:r>
      <w:r w:rsidRPr="001F5878">
        <w:t>Oost</w:t>
      </w:r>
      <w:r w:rsidRPr="001F5878">
        <w:t xml:space="preserve">-Vlaanderen (BE23) og </w:t>
      </w:r>
      <w:r w:rsidRPr="001F5878">
        <w:t>Provincie</w:t>
      </w:r>
      <w:r w:rsidRPr="001F5878">
        <w:t xml:space="preserve"> West-Vlaanderen (BE25), Flandern, inden for en referenceperiode fra den 1. juli 2025 til den 1. november 2025;</w:t>
      </w:r>
    </w:p>
    <w:p w:rsidR="003F5894" w:rsidRPr="001F5878" w:rsidP="003F5894" w14:paraId="461EB92C" w14:textId="77777777">
      <w:pPr>
        <w:pStyle w:val="NormalHanging12a"/>
      </w:pPr>
      <w:r w:rsidRPr="001F5878">
        <w:t>C.</w:t>
      </w:r>
      <w:r w:rsidRPr="001F5878">
        <w:tab/>
        <w:t>der henviser til, anvendelsen er baseret på interventionskriterierne i EGF-forordningens artikel 4, stk. 2, litra a);</w:t>
      </w:r>
    </w:p>
    <w:p w:rsidR="003F5894" w:rsidRPr="001F5878" w:rsidP="003F5894" w14:paraId="23B29B70" w14:textId="77777777">
      <w:pPr>
        <w:pStyle w:val="NormalHanging12a"/>
        <w:rPr>
          <w:noProof/>
        </w:rPr>
      </w:pPr>
      <w:r w:rsidRPr="001F5878">
        <w:t>D.</w:t>
      </w:r>
      <w:r w:rsidRPr="001F5878">
        <w:tab/>
        <w:t>der henviser til, at Soliver indgav konkursbegæring i december 2024; der henviser til, at antallet af konkurser i Belgien er steget siden 2022, og at arbejdsløsheden i alvorlig grad påvirker flere regioner i Flandern;</w:t>
      </w:r>
    </w:p>
    <w:p w:rsidR="003F5894" w:rsidRPr="001F5878" w:rsidP="003F5894" w14:paraId="1601D1FC" w14:textId="77777777">
      <w:pPr>
        <w:pStyle w:val="NormalHanging12a"/>
        <w:rPr>
          <w:bCs/>
          <w:iCs/>
          <w:noProof/>
        </w:rPr>
      </w:pPr>
      <w:r w:rsidRPr="001F5878">
        <w:t>E.</w:t>
      </w:r>
      <w:r w:rsidRPr="001F5878">
        <w:tab/>
        <w:t>der henviser til, at den arbejdsstyrke, som er berørt af lukningen af Soliver, omfatter en betydelig andel af ældre arbejdstagere, der står over for specifikke og øgede hindringer for reintegration på arbejdsmarkedet, bl.a. aldersdiskrimination, misforhold mellem udbudte og efterspurgte færdigheder og begrænset adgang til omskolingsmuligheder; der henviser til, at der skal træffes målrettede foranstaltninger for at imødekomme ældre arbejdstageres specifikke behov, bl.a. alderssvarende uddannelsesformater, mentorordninger og samarbejde med arbejdsgivere, der er engageret i aldersdifferentieret rekruttering;</w:t>
      </w:r>
    </w:p>
    <w:p w:rsidR="003F5894" w:rsidRPr="001F5878" w:rsidP="003F5894" w14:paraId="5EE17029" w14:textId="77777777">
      <w:pPr>
        <w:pStyle w:val="NormalHanging12a"/>
      </w:pPr>
      <w:r w:rsidRPr="001F5878">
        <w:t>F.</w:t>
      </w:r>
      <w:r w:rsidRPr="001F5878">
        <w:tab/>
        <w:t xml:space="preserve">der henviser til, at VDAB yder national </w:t>
      </w:r>
      <w:r w:rsidRPr="001F5878">
        <w:t>forfinansiering</w:t>
      </w:r>
      <w:r w:rsidRPr="001F5878">
        <w:t xml:space="preserve"> og medfinansiering af foranstaltningerne;</w:t>
      </w:r>
    </w:p>
    <w:p w:rsidR="003F5894" w:rsidRPr="001F5878" w:rsidP="003F5894" w14:paraId="0998B6E8" w14:textId="77777777">
      <w:pPr>
        <w:pStyle w:val="NormalHanging12a"/>
      </w:pPr>
      <w:r w:rsidRPr="001F5878">
        <w:t>G.</w:t>
      </w:r>
      <w:r w:rsidRPr="001F5878">
        <w:tab/>
        <w:t>der henviser til, at kravene i EU-lovgivningen og den nationale lovgivning vedrørende kollektiv afskedigelse er blevet opfyldt;</w:t>
      </w:r>
    </w:p>
    <w:p w:rsidR="003F5894" w:rsidRPr="001F5878" w:rsidP="003F5894" w14:paraId="42AD85DF" w14:textId="77777777">
      <w:pPr>
        <w:pStyle w:val="NormalHanging12a"/>
      </w:pPr>
      <w:r w:rsidRPr="001F5878">
        <w:t>H.</w:t>
      </w:r>
      <w:r w:rsidRPr="001F5878">
        <w:tab/>
        <w:t xml:space="preserve">der henviser til, at den økonomiske støtte fra EGF primært bør være rettet mod aktive arbejdsmarkedspolitiske foranstaltninger og individualiserede tilbud, som har til formål </w:t>
      </w:r>
      <w:r w:rsidRPr="001F5878">
        <w:t>varigt at reintegrere støttemodtagerne på arbejdsmarkedet under arbejdsvilkår af høj kvalitet og samtidig tilbyde dem uddannelse i færdigheder for at lette deres genindtræden på arbejdsmarkedet;</w:t>
      </w:r>
    </w:p>
    <w:p w:rsidR="003F5894" w:rsidRPr="001F5878" w:rsidP="003F5894" w14:paraId="15F5A092" w14:textId="77777777">
      <w:pPr>
        <w:pStyle w:val="NormalHanging12a"/>
      </w:pPr>
      <w:r w:rsidRPr="001F5878">
        <w:t>I.</w:t>
      </w:r>
      <w:r w:rsidRPr="001F5878">
        <w:tab/>
        <w:t>der henviser til, at EGF ikke må overstige et maksimalt årligt beløb på 30 mio. EUR (i 2018-priser)</w:t>
      </w:r>
      <w:r>
        <w:rPr>
          <w:rStyle w:val="FootnoteReference"/>
        </w:rPr>
        <w:footnoteReference w:id="8"/>
      </w:r>
      <w:r w:rsidRPr="001F5878">
        <w:t>;</w:t>
      </w:r>
    </w:p>
    <w:p w:rsidR="003F5894" w:rsidRPr="001F5878" w:rsidP="003F5894" w14:paraId="0B1DAB61" w14:textId="77777777">
      <w:pPr>
        <w:pStyle w:val="NormalHanging12a"/>
      </w:pPr>
      <w:r w:rsidRPr="001F5878">
        <w:t>1.</w:t>
      </w:r>
      <w:r w:rsidRPr="001F5878">
        <w:tab/>
        <w:t>er enigt med Kommissionen i, at betingelserne i EGF-forordningen og særlig i artikel 4, stk. 2, litra a), er opfyldt, og at Belgien derfor er berettiget til økonomisk støtte på 2 132 535 EUR i henhold til nævnte forordning, hvilket svarer til 85 % af de samlede omkostninger på 2 508 865 EUR og omfatter udgifterne til individualiserede tilbud på 2 412 465 EUR samt udgifter til forberedende arbejde, forvaltning, oplysning, offentlig omtale, kontrol- og rapporteringsaktiviteter på 96 400 EUR;</w:t>
      </w:r>
    </w:p>
    <w:p w:rsidR="003F5894" w:rsidRPr="001F5878" w:rsidP="003F5894" w14:paraId="0C444D68" w14:textId="77777777">
      <w:pPr>
        <w:pStyle w:val="NormalHanging12a"/>
      </w:pPr>
      <w:r w:rsidRPr="001F5878">
        <w:t>2.</w:t>
      </w:r>
      <w:r w:rsidRPr="001F5878">
        <w:tab/>
        <w:t>bemærker, at de belgiske myndigheder indgav ansøgningen den 22. december 2025, og at Kommissionen, efter have modtaget yderligere oplysninger fremsendt af Belgien, den 30. april 2026, næsten en måned inden tidsfristen, afsluttede sin vurdering heraf og fremsendte den til Parlamentet samme dag; understreger vigtigheden af at afkorte tidsrummet mellem indgivelsen af en ansøgning om EGF-støtte og finansieringsafgørelsen, samtidig med at Europa-Parlamentets rettigheder som den ene af budgetmyndighedens to parter beskyttes fuldt ud;</w:t>
      </w:r>
    </w:p>
    <w:p w:rsidR="003F5894" w:rsidRPr="001F5878" w:rsidP="003F5894" w14:paraId="335A45DB" w14:textId="77777777">
      <w:pPr>
        <w:pStyle w:val="NormalHanging12a"/>
        <w:rPr>
          <w:noProof/>
        </w:rPr>
      </w:pPr>
      <w:r w:rsidRPr="001F5878">
        <w:t>3.</w:t>
      </w:r>
      <w:r w:rsidRPr="001F5878">
        <w:tab/>
        <w:t>der henviser til, at ansøgningen vedrører 803 tiltænkte støttemodtagere, der blev afskediget fra virksomheden Soliver;</w:t>
      </w:r>
    </w:p>
    <w:p w:rsidR="003F5894" w:rsidRPr="001F5878" w:rsidP="003F5894" w14:paraId="2936A971" w14:textId="77777777">
      <w:pPr>
        <w:pStyle w:val="NormalHanging12a"/>
      </w:pPr>
      <w:r w:rsidRPr="001F5878">
        <w:t>4.</w:t>
      </w:r>
      <w:r w:rsidRPr="001F5878">
        <w:tab/>
        <w:t xml:space="preserve">noterer sig, at Soliver, en producent af glasprodukter til bygge- og anlægssektoren og bilindustrien, har flyttet sit fokus til udelukkende at fokusere på højteknologisk </w:t>
      </w:r>
      <w:r w:rsidRPr="001F5878">
        <w:t>bilglas</w:t>
      </w:r>
      <w:r w:rsidRPr="001F5878">
        <w:t xml:space="preserve"> efter at være blevet opkøbt af American Glass Products Holding (AGP) i 2018; bemærker, at virksomheden begyndte at opleve vanskeligheder, der hovedsagelig var forbundet med en afmatning i bilindustrien som følge af forsinket produktion af bilmodeller, som dens produkter var beregnet til, og som i sidste ende resulterede i en alvorlig reduktion af rentabiliteten og kumulerede i konkurs;</w:t>
      </w:r>
    </w:p>
    <w:p w:rsidR="003F5894" w:rsidRPr="001F5878" w:rsidP="003F5894" w14:paraId="310F2772" w14:textId="77777777">
      <w:pPr>
        <w:pStyle w:val="NormalHanging12a"/>
        <w:rPr>
          <w:bCs/>
          <w:iCs/>
        </w:rPr>
      </w:pPr>
      <w:r w:rsidRPr="001F5878">
        <w:t>5.</w:t>
      </w:r>
      <w:r w:rsidRPr="001F5878">
        <w:tab/>
        <w:t xml:space="preserve">bemærker, at </w:t>
      </w:r>
      <w:r w:rsidRPr="001F5878">
        <w:t>glasindustrien</w:t>
      </w:r>
      <w:r w:rsidRPr="001F5878">
        <w:t xml:space="preserve"> er en energiintensiv sektor, der er blevet hårdt ramt af vedvarende høje energipriser, som i væsentlig grad har undergravet dens konkurrenceevne; understreger, at opnåelse af konkurrencedygtige energipriser på lang sigt kræver en betydelig forøgelse af en pålidelig og økonomisk overkommelig energiforsyning, bl.a. gennem diversificering af energikilder og forsyningsruter, udvikling af indenlandsk energiproduktion og en fuld gennemførelse af energiunionen;</w:t>
      </w:r>
    </w:p>
    <w:p w:rsidR="003F5894" w:rsidRPr="001F5878" w:rsidP="003F5894" w14:paraId="2D6920A0" w14:textId="77777777">
      <w:pPr>
        <w:pStyle w:val="NormalHanging12a"/>
        <w:rPr>
          <w:bCs/>
          <w:iCs/>
        </w:rPr>
      </w:pPr>
      <w:r w:rsidRPr="001F5878">
        <w:t>6.</w:t>
      </w:r>
      <w:r w:rsidRPr="001F5878">
        <w:tab/>
        <w:t>bemærker, at hvis teknisk kvalificerede arbejdstagere eller dem, der er villige til at omskole sig, har de mest gunstige beskæftigelsesudsigter, er dette resultatet af en mangel på tekniske fagfolk, der skyldes ringe deltagelse blandt unge i erhvervsuddannelser og en aldrende arbejdsstyrke; understreger, at reintegration af afskedigede arbejdstagere og sikring af lige adgang til uddannelsesmuligheder af høj kvalitet er afgørende for en fremtidssikret europæisk økonomi med et stærkt industrigrundlag; understreger vigtigheden af at styrke Unionens industrielle konkurrenceevne i den forbindelse;</w:t>
      </w:r>
    </w:p>
    <w:p w:rsidR="003F5894" w:rsidRPr="001F5878" w:rsidP="003F5894" w14:paraId="3515564B" w14:textId="77777777">
      <w:pPr>
        <w:pStyle w:val="NormalHanging12a"/>
        <w:rPr>
          <w:noProof/>
        </w:rPr>
      </w:pPr>
      <w:r w:rsidRPr="001F5878">
        <w:t>7.</w:t>
      </w:r>
      <w:r w:rsidRPr="001F5878">
        <w:tab/>
        <w:t>beklager, at antallet af konkurser i løbet af de seneste år har haft en negativ indvirkning på beskæftigelsesgraden i visse regioner i Belgien, navnlig i Flandern; understreger, at de ældre arbejdstagere, der afskediges i Flandern, står over for større hindringer for at vende tilbage til arbejdsmarkedet; opfordrer de belgiske myndigheder til at yde specifik støtte, der er skræddersyet til at hjælpe arbejdstagerne med at videreudvikle de nødvendige færdigheder til at finde nye job af høj kvalitet, samtidig med at der træffes foranstaltninger til at mindske konkurser og afhjælpe sociale forskelle, der fører til udelukkelse fra arbejdsstyrken;</w:t>
      </w:r>
    </w:p>
    <w:p w:rsidR="003F5894" w:rsidRPr="001F5878" w:rsidP="003F5894" w14:paraId="0E9C4F9E" w14:textId="77777777">
      <w:pPr>
        <w:pStyle w:val="NormalHanging12a"/>
      </w:pPr>
      <w:r w:rsidRPr="001F5878">
        <w:t>8.</w:t>
      </w:r>
      <w:r w:rsidRPr="001F5878">
        <w:tab/>
        <w:t xml:space="preserve">minder om, at individualiserede tilbud til arbejdstagerne efter aftale med eksperter og arbejdsmarkedets parter består af følgende foranstaltninger: en taskforce af erfarne konsulenter og </w:t>
      </w:r>
      <w:r w:rsidRPr="001F5878">
        <w:t>account</w:t>
      </w:r>
      <w:r w:rsidRPr="001F5878">
        <w:t xml:space="preserve"> managere, der yder individualiserede rådgivningstjenester; genplaceringstjenester, der yder individuel vejledning; hjælp til at finde job; intensiveret hjælp til jobsøgning; uddannelse og omskoling, herunder uddannelse på arbejdspladsen; og deltagelse i jobmesser; understreger betydningen af at fremme fremtidsorienterede job af høj kvalitet, der styrker konkurrenceevnen og støtter den digitale omstilling;</w:t>
      </w:r>
    </w:p>
    <w:p w:rsidR="003F5894" w:rsidRPr="001F5878" w:rsidP="003F5894" w14:paraId="1DA7281B" w14:textId="77777777">
      <w:pPr>
        <w:pStyle w:val="NormalHanging12a"/>
      </w:pPr>
      <w:r w:rsidRPr="001F5878">
        <w:t>9.</w:t>
      </w:r>
      <w:r w:rsidRPr="001F5878">
        <w:tab/>
        <w:t>minder om, at EGF er et instrument til solidaritet og retfærdig omstilling, og selv om den yder støtte efter tab af arbejdspladser, kan den ikke erstatte en proaktiv industripolitik; mener, at mobiliseringen af EGF skal integreres i en større politisk indsats på alle politiske niveauer for at sikre, at de berørte arbejdstagere finder passende muligheder i overensstemmelse med deres kvalifikationer og færdigheder; understreger, at Unionens primære opgave skal være at forhindre sådanne lukninger i første omgang ved at skabe betingelserne for at holde industriproduktionen konkurrencedygtig og sikre økonomisk bæredygtige sociale sikringsordninger, samtidig med at der investeres i færdigheder for både højt kvalificerede arbejdstagere og industriarbejdere; understreger, at det er nødvendigt at yde specifik støtte, der er skræddersyet til arbejdstageres profiler, samtidig med at der træffes foranstaltninger til at mindske konkurser og afhjælpe sociale forskelle, der fører til udelukkelse fra arbejdsstyrken; understreger, at en reduktion af unødvendige reguleringsmæssige og administrative byrder er afgørende for at støtte industriens konkurrenceevne, tiltrække investeringer og bevare job af høj kvalitet i Unionen;</w:t>
      </w:r>
    </w:p>
    <w:p w:rsidR="003F5894" w:rsidRPr="001F5878" w:rsidP="003F5894" w14:paraId="7A13363A" w14:textId="77777777">
      <w:pPr>
        <w:pStyle w:val="NormalHanging12a"/>
        <w:rPr>
          <w:bCs/>
          <w:iCs/>
        </w:rPr>
      </w:pPr>
      <w:r w:rsidRPr="001F5878">
        <w:t>10.</w:t>
      </w:r>
      <w:r w:rsidRPr="001F5878">
        <w:tab/>
        <w:t>understreger, at de belgiske myndigheder skal sikre synligheden af EU-finansieringen og fremhæve dens merværdi ved at give effektive og målrettede oplysninger til støttemodtagere, regionale og lokale myndigheder, arbejdsmarkedets parter og den brede offentlighed;</w:t>
      </w:r>
    </w:p>
    <w:p w:rsidR="003F5894" w:rsidRPr="001F5878" w:rsidP="003F5894" w14:paraId="4E1435B9" w14:textId="77777777">
      <w:pPr>
        <w:pStyle w:val="NormalHanging12a"/>
      </w:pPr>
      <w:r w:rsidRPr="001F5878">
        <w:t>11.</w:t>
      </w:r>
      <w:r w:rsidRPr="001F5878">
        <w:tab/>
        <w:t>opfordrer Kommissionen til at sikre samme synlighed af instrumentet i alle medlemsstaterne og til at fremme dets merværdi ved at formidle målrettede oplysninger til de nationale myndigheder, som yderligere bør formidle sådanne oplysninger til virksomheder, der er berørt af afskedigelser, regionale og lokale myndigheder, arbejdsmarkedets parter og den brede offentlighed;</w:t>
      </w:r>
    </w:p>
    <w:p w:rsidR="003F5894" w:rsidRPr="001F5878" w:rsidP="003F5894" w14:paraId="785DCE59" w14:textId="77777777">
      <w:pPr>
        <w:pStyle w:val="NormalHanging12a"/>
        <w:rPr>
          <w:bCs/>
          <w:iCs/>
        </w:rPr>
      </w:pPr>
      <w:r w:rsidRPr="001F5878">
        <w:t>12.</w:t>
      </w:r>
      <w:r w:rsidRPr="001F5878">
        <w:tab/>
        <w:t xml:space="preserve">opfordrer til grundige endelige evalueringer sammen med arbejdsmarkedets parter af de gennemførte foranstaltninger, herunder klare og gennemsigtige oplysninger om, hvordan midlerne blev anvendt, reintegrationen af arbejdstagere på arbejdsmarkedet, og hvorvidt </w:t>
      </w:r>
      <w:r w:rsidRPr="001F5878">
        <w:t>EGF's</w:t>
      </w:r>
      <w:r w:rsidRPr="001F5878">
        <w:t xml:space="preserve"> mål blev indfriet; fremhæver i den forbindelse betydningen af regelmæssig overvågning af de foranstaltninger, der finansieres af EGF, med henblik på at vurdere deres effektivitet;</w:t>
      </w:r>
    </w:p>
    <w:p w:rsidR="003F5894" w:rsidRPr="001F5878" w:rsidP="003F5894" w14:paraId="41C22BDC" w14:textId="77777777">
      <w:pPr>
        <w:pStyle w:val="NormalHanging12a"/>
      </w:pPr>
      <w:r w:rsidRPr="001F5878">
        <w:t>13.</w:t>
      </w:r>
      <w:r w:rsidRPr="001F5878">
        <w:tab/>
        <w:t>bemærker, at Belgien begyndte at give individualiserede tilbud til de tiltænkte støttemodtagere og afholde de administrative udgifter til gennemførelsen af EGF den 11. juni 2025, og at perioden for berettigelse til økonomisk EGF-støtte derfor vil være fra den dato og indtil henholdsvis 24 måneder og 31 måneder efter datoen for finansieringsafgørelsens ikrafttræden;</w:t>
      </w:r>
    </w:p>
    <w:p w:rsidR="003F5894" w:rsidRPr="001F5878" w:rsidP="003F5894" w14:paraId="511976C1" w14:textId="77777777">
      <w:pPr>
        <w:pStyle w:val="NormalHanging12a"/>
      </w:pPr>
      <w:r w:rsidRPr="001F5878">
        <w:t>14.</w:t>
      </w:r>
      <w:r w:rsidRPr="001F5878">
        <w:tab/>
        <w:t>bemærker, at de belgiske myndigheder har givet garanti for, at principperne om ligebehandling og ikkeforskelsbehandling vil blive overholdt i forbindelse med adgangen til de foreslåede foranstaltninger og deres gennemførelse, og at dobbeltfinansiering vil blive forhindret;</w:t>
      </w:r>
    </w:p>
    <w:p w:rsidR="003F5894" w:rsidRPr="001F5878" w:rsidP="003F5894" w14:paraId="58EDB02A" w14:textId="77777777">
      <w:pPr>
        <w:pStyle w:val="NormalHanging12a"/>
      </w:pPr>
      <w:r w:rsidRPr="001F5878">
        <w:t>15.</w:t>
      </w:r>
      <w:r w:rsidRPr="001F5878">
        <w:tab/>
        <w:t>gentager, at støtte fra EGF ikke må erstatte foranstaltninger, som det påhviler de offentlige myndigheder eller virksomhederne at gennemføre i henhold til national lovgivning eller kollektive overenskomster; minder om, at EGF er en begrænset, målrettet og komplementær mekanisme;</w:t>
      </w:r>
    </w:p>
    <w:p w:rsidR="003F5894" w:rsidRPr="001F5878" w:rsidP="003F5894" w14:paraId="318C243C" w14:textId="77777777">
      <w:pPr>
        <w:pStyle w:val="NormalHanging12a"/>
      </w:pPr>
      <w:r w:rsidRPr="001F5878">
        <w:t>16.</w:t>
      </w:r>
      <w:r w:rsidRPr="001F5878">
        <w:tab/>
        <w:t>godkender den afgørelse, der er vedføjet denne beslutning;</w:t>
      </w:r>
    </w:p>
    <w:p w:rsidR="003F5894" w:rsidRPr="001F5878" w:rsidP="003F5894" w14:paraId="6856D7A1" w14:textId="77777777">
      <w:pPr>
        <w:pStyle w:val="NormalHanging12a"/>
      </w:pPr>
      <w:r w:rsidRPr="001F5878">
        <w:t>17.</w:t>
      </w:r>
      <w:r w:rsidRPr="001F5878">
        <w:tab/>
        <w:t xml:space="preserve">pålægger sin formand at undertegne denne afgørelse sammen med Rådets formand og drage omsorg for, at den offentliggøres i </w:t>
      </w:r>
      <w:r w:rsidRPr="001F5878">
        <w:rPr>
          <w:i/>
          <w:iCs/>
        </w:rPr>
        <w:t>Den Europæiske Unions Tidende</w:t>
      </w:r>
      <w:r w:rsidRPr="001F5878">
        <w:t>;</w:t>
      </w:r>
    </w:p>
    <w:p w:rsidR="003F5894" w:rsidRPr="001F5878" w:rsidP="003F5894" w14:paraId="669B206A" w14:textId="77777777">
      <w:pPr>
        <w:pStyle w:val="NormalHanging12a"/>
      </w:pPr>
      <w:r w:rsidRPr="001F5878">
        <w:t>18.</w:t>
      </w:r>
      <w:r w:rsidRPr="001F5878">
        <w:tab/>
        <w:t>pålægger sin formand at sende denne beslutning sammen med bilaget til Rådet og Kommissionen.</w:t>
      </w:r>
    </w:p>
    <w:p w:rsidR="003F5894" w:rsidRPr="001F5878" w:rsidP="003F5894" w14:paraId="6837760C" w14:textId="77777777">
      <w:pPr>
        <w:pStyle w:val="NormalHanging12a"/>
      </w:pPr>
    </w:p>
    <w:p w:rsidR="003F5894" w:rsidRPr="001F5878" w:rsidP="003F5894" w14:paraId="32B887A5" w14:textId="77777777">
      <w:pPr>
        <w:rPr>
          <w:noProof/>
        </w:rPr>
      </w:pPr>
    </w:p>
    <w:p w:rsidR="003F5894" w:rsidRPr="001F5878" w:rsidP="003F5894" w14:paraId="6C38A43F" w14:textId="77777777">
      <w:pPr>
        <w:pStyle w:val="PageHeading"/>
        <w:rPr>
          <w:noProof/>
        </w:rPr>
        <w:sectPr w:rsidSect="001F587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E7EDF" w:rsidP="003F5894" w14:paraId="0671782F" w14:textId="77777777">
      <w:pPr>
        <w:pStyle w:val="PageHeading"/>
        <w:rPr>
          <w:rFonts w:ascii="Times New Roman" w:hAnsi="Times New Roman" w:cs="Times New Roman"/>
        </w:rPr>
      </w:pPr>
      <w:bookmarkStart w:id="6" w:name="_Toc232150633"/>
      <w:r w:rsidRPr="005E7EDF">
        <w:rPr>
          <w:rFonts w:ascii="Times New Roman" w:hAnsi="Times New Roman" w:cs="Times New Roman"/>
        </w:rPr>
        <w:t>BILAG</w:t>
      </w:r>
    </w:p>
    <w:p w:rsidR="003F5894" w:rsidRPr="005E7EDF" w:rsidP="003F5894" w14:paraId="540206E3" w14:textId="4D86A476">
      <w:pPr>
        <w:pStyle w:val="PageHeading"/>
        <w:rPr>
          <w:rFonts w:ascii="Times New Roman" w:hAnsi="Times New Roman" w:cs="Times New Roman"/>
          <w:noProof/>
        </w:rPr>
      </w:pPr>
      <w:r>
        <w:rPr>
          <w:rFonts w:ascii="Times New Roman" w:hAnsi="Times New Roman" w:cs="Times New Roman"/>
        </w:rPr>
        <w:t>E</w:t>
      </w:r>
      <w:r w:rsidRPr="005E7EDF">
        <w:rPr>
          <w:rFonts w:ascii="Times New Roman" w:hAnsi="Times New Roman" w:cs="Times New Roman"/>
        </w:rPr>
        <w:t>UROPA-PARLAMENTETS OG RÅDETS AFGØRELSE</w:t>
      </w:r>
      <w:bookmarkEnd w:id="6"/>
    </w:p>
    <w:p w:rsidR="003F5894" w:rsidRPr="001F5878" w:rsidP="005E7EDF" w14:paraId="6CCF11FF" w14:textId="77777777">
      <w:pPr>
        <w:pStyle w:val="Titreobjet"/>
        <w:rPr>
          <w:noProof/>
        </w:rPr>
      </w:pPr>
      <w:r w:rsidRPr="001F5878">
        <w:t>om mobilisering af Den Europæiske Fond for Tilpasning til Globaliseringen for Afskedigede Arbejdstagere på baggrund af en ansøgning fra Belgien – EGF/2025/009 BE/Soliver</w:t>
      </w:r>
    </w:p>
    <w:p w:rsidR="005E7EDF" w:rsidP="00FF62A3" w14:paraId="72E775A6" w14:textId="77777777">
      <w:pPr>
        <w:tabs>
          <w:tab w:val="left" w:pos="567"/>
          <w:tab w:val="left" w:pos="851"/>
          <w:tab w:val="left" w:pos="1134"/>
          <w:tab w:val="left" w:pos="1418"/>
          <w:tab w:val="left" w:pos="1701"/>
        </w:tabs>
        <w:ind w:right="-1"/>
      </w:pPr>
      <w:bookmarkStart w:id="7" w:name="_Hlk228802707"/>
      <w:bookmarkEnd w:id="7"/>
    </w:p>
    <w:p w:rsidR="005E7EDF" w:rsidRPr="00F43BBF" w:rsidP="00FF62A3" w14:paraId="34994F4D" w14:textId="47C0E10E">
      <w:pPr>
        <w:rPr>
          <w:i/>
        </w:rPr>
      </w:pPr>
      <w:r w:rsidRPr="00F43BBF">
        <w:rPr>
          <w:i/>
        </w:rPr>
        <w:t xml:space="preserve">(Teksten i bilaget gengives ikke her, eftersom det svarer til den endelige retsakt, </w:t>
      </w:r>
      <w:r>
        <w:rPr>
          <w:i/>
        </w:rPr>
        <w:t>afgørelse (EU) 2026/1543</w:t>
      </w:r>
      <w:r w:rsidRPr="00F43BBF">
        <w:rPr>
          <w:i/>
        </w:rPr>
        <w:t>).</w:t>
      </w:r>
    </w:p>
    <w:p w:rsidR="005E7EDF" w:rsidP="00F95CDF" w14:paraId="4B3B0EBC" w14:textId="469590F9">
      <w:pPr>
        <w:tabs>
          <w:tab w:val="left" w:pos="567"/>
          <w:tab w:val="left" w:pos="851"/>
          <w:tab w:val="left" w:pos="1134"/>
          <w:tab w:val="left" w:pos="1418"/>
          <w:tab w:val="left" w:pos="1701"/>
        </w:tabs>
        <w:ind w:right="-1"/>
      </w:pPr>
    </w:p>
    <w:sectPr w:rsidSect="001F5878">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5894" w:rsidRPr="001F5878" w:rsidP="001A6842" w14:paraId="36C95644" w14:textId="77777777">
    <w:pPr>
      <w:pStyle w:val="EPFooter"/>
    </w:pPr>
    <w:r w:rsidRPr="001F5878">
      <w:t>PE</w:t>
    </w:r>
    <w:r w:rsidRPr="001F5878">
      <w:rPr>
        <w:rStyle w:val="HideTWBExt"/>
      </w:rPr>
      <w:t>&lt;</w:t>
    </w:r>
    <w:r w:rsidRPr="001F5878">
      <w:rPr>
        <w:rStyle w:val="HideTWBExt"/>
      </w:rPr>
      <w:t>NoPE</w:t>
    </w:r>
    <w:r w:rsidRPr="001F5878">
      <w:rPr>
        <w:rStyle w:val="HideTWBExt"/>
      </w:rPr>
      <w:t>&gt;</w:t>
    </w:r>
    <w:r w:rsidRPr="001F5878">
      <w:t>787.923</w:t>
    </w:r>
    <w:r w:rsidRPr="001F5878">
      <w:rPr>
        <w:rStyle w:val="HideTWBExt"/>
      </w:rPr>
      <w:t>&lt;/</w:t>
    </w:r>
    <w:r w:rsidRPr="001F5878">
      <w:rPr>
        <w:rStyle w:val="HideTWBExt"/>
      </w:rPr>
      <w:t>NoPE</w:t>
    </w:r>
    <w:r w:rsidRPr="001F5878">
      <w:rPr>
        <w:rStyle w:val="HideTWBExt"/>
      </w:rPr>
      <w:t>&gt;&lt;Version&gt;</w:t>
    </w:r>
    <w:r w:rsidRPr="001F5878">
      <w:t>v02-00</w:t>
    </w:r>
    <w:r w:rsidRPr="001F5878">
      <w:rPr>
        <w:rStyle w:val="HideTWBExt"/>
      </w:rPr>
      <w:t>&lt;/Version&gt;</w:t>
    </w:r>
    <w:r w:rsidRPr="001F5878">
      <w:tab/>
    </w:r>
    <w:r w:rsidRPr="001F5878">
      <w:fldChar w:fldCharType="begin"/>
    </w:r>
    <w:r w:rsidRPr="001F5878">
      <w:instrText xml:space="preserve"> PAGE  \* MERGEFORMAT </w:instrText>
    </w:r>
    <w:r w:rsidRPr="001F5878">
      <w:fldChar w:fldCharType="separate"/>
    </w:r>
    <w:r w:rsidRPr="001F5878">
      <w:rPr>
        <w:noProof/>
      </w:rPr>
      <w:t>1</w:t>
    </w:r>
    <w:r w:rsidRPr="001F5878">
      <w:fldChar w:fldCharType="end"/>
    </w:r>
    <w:r w:rsidRPr="001F5878">
      <w:t>/</w:t>
    </w:r>
    <w:r>
      <w:fldChar w:fldCharType="begin"/>
    </w:r>
    <w:r>
      <w:instrText xml:space="preserve"> NUMPAGES  \* MERGEFORMAT </w:instrText>
    </w:r>
    <w:r>
      <w:fldChar w:fldCharType="separate"/>
    </w:r>
    <w:r w:rsidRPr="001F5878">
      <w:rPr>
        <w:noProof/>
      </w:rPr>
      <w:t>1</w:t>
    </w:r>
    <w:r w:rsidRPr="001F5878">
      <w:rPr>
        <w:noProof/>
      </w:rPr>
      <w:fldChar w:fldCharType="end"/>
    </w:r>
    <w:r w:rsidRPr="001F5878">
      <w:tab/>
    </w:r>
    <w:r w:rsidRPr="001F5878">
      <w:rPr>
        <w:rStyle w:val="HideTWBExt"/>
      </w:rPr>
      <w:t>&lt;PathFdR&gt;</w:t>
    </w:r>
    <w:r w:rsidRPr="001F5878">
      <w:t>RR\1345097DA.docx</w:t>
    </w:r>
    <w:r w:rsidRPr="001F5878">
      <w:rPr>
        <w:rStyle w:val="HideTWBExt"/>
      </w:rPr>
      <w:t>&lt;/</w:t>
    </w:r>
    <w:r w:rsidRPr="001F5878">
      <w:rPr>
        <w:rStyle w:val="HideTWBExt"/>
      </w:rPr>
      <w:t>PathFdR</w:t>
    </w:r>
    <w:r w:rsidRPr="001F5878">
      <w:rPr>
        <w:rStyle w:val="HideTWBExt"/>
      </w:rPr>
      <w:t>&gt;</w:t>
    </w:r>
  </w:p>
  <w:p w:rsidR="003F5894" w:rsidRPr="001F5878" w:rsidP="001A6842" w14:paraId="64FF4325" w14:textId="77777777">
    <w:pPr>
      <w:pStyle w:val="EPFooter2"/>
    </w:pPr>
    <w:r w:rsidRPr="001F5878">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5894" w:rsidRPr="001F5878" w:rsidP="001A6842" w14:paraId="20F0AFB8" w14:textId="29EAA57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5894" w:rsidRPr="001F5878" w:rsidP="001A6842" w14:paraId="565B6358" w14:textId="77777777">
    <w:pPr>
      <w:pStyle w:val="EPFooter"/>
    </w:pPr>
    <w:r w:rsidRPr="001F5878">
      <w:rPr>
        <w:rStyle w:val="HideTWBExt"/>
      </w:rPr>
      <w:t>&lt;PathFdR&gt;</w:t>
    </w:r>
    <w:r w:rsidRPr="001F5878">
      <w:t>RR\1345097DA.docx</w:t>
    </w:r>
    <w:r w:rsidRPr="001F5878">
      <w:rPr>
        <w:rStyle w:val="HideTWBExt"/>
      </w:rPr>
      <w:t>&lt;/</w:t>
    </w:r>
    <w:r w:rsidRPr="001F5878">
      <w:rPr>
        <w:rStyle w:val="HideTWBExt"/>
      </w:rPr>
      <w:t>PathFdR</w:t>
    </w:r>
    <w:r w:rsidRPr="001F5878">
      <w:rPr>
        <w:rStyle w:val="HideTWBExt"/>
      </w:rPr>
      <w:t>&gt;</w:t>
    </w:r>
    <w:r w:rsidRPr="001F5878">
      <w:tab/>
    </w:r>
    <w:r w:rsidRPr="001F5878">
      <w:tab/>
      <w:t>PE</w:t>
    </w:r>
    <w:r w:rsidRPr="001F5878">
      <w:rPr>
        <w:rStyle w:val="HideTWBExt"/>
      </w:rPr>
      <w:t>&lt;</w:t>
    </w:r>
    <w:r w:rsidRPr="001F5878">
      <w:rPr>
        <w:rStyle w:val="HideTWBExt"/>
      </w:rPr>
      <w:t>NoPE</w:t>
    </w:r>
    <w:r w:rsidRPr="001F5878">
      <w:rPr>
        <w:rStyle w:val="HideTWBExt"/>
      </w:rPr>
      <w:t>&gt;</w:t>
    </w:r>
    <w:r w:rsidRPr="001F5878">
      <w:t>787.923</w:t>
    </w:r>
    <w:r w:rsidRPr="001F5878">
      <w:rPr>
        <w:rStyle w:val="HideTWBExt"/>
      </w:rPr>
      <w:t>&lt;/</w:t>
    </w:r>
    <w:r w:rsidRPr="001F5878">
      <w:rPr>
        <w:rStyle w:val="HideTWBExt"/>
      </w:rPr>
      <w:t>NoPE</w:t>
    </w:r>
    <w:r w:rsidRPr="001F5878">
      <w:rPr>
        <w:rStyle w:val="HideTWBExt"/>
      </w:rPr>
      <w:t>&gt;&lt;Version&gt;</w:t>
    </w:r>
    <w:r w:rsidRPr="001F5878">
      <w:t>v02-00</w:t>
    </w:r>
    <w:r w:rsidRPr="001F5878">
      <w:rPr>
        <w:rStyle w:val="HideTWBExt"/>
      </w:rPr>
      <w:t>&lt;/Version&gt;</w:t>
    </w:r>
  </w:p>
  <w:p w:rsidR="003F5894" w:rsidRPr="001F5878" w:rsidP="001A6842" w14:paraId="0AFF0A67" w14:textId="77777777">
    <w:pPr>
      <w:pStyle w:val="EPFooter2"/>
    </w:pPr>
    <w:r w:rsidRPr="001F5878">
      <w:t>DA</w:t>
    </w:r>
    <w:r w:rsidRPr="001F5878">
      <w:tab/>
    </w:r>
    <w:r w:rsidRPr="001F5878">
      <w:rPr>
        <w:b w:val="0"/>
        <w:i/>
        <w:color w:val="C0C0C0"/>
        <w:sz w:val="22"/>
      </w:rPr>
      <w:t>Forenet i mangfoldighed</w:t>
    </w:r>
    <w:r w:rsidRPr="001F5878">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5878" w14:paraId="485C8DD5"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5878" w14:paraId="77DBD631"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5878" w14:paraId="45D4056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231CF" w:rsidRPr="001F5878" w14:paraId="41AA9789" w14:textId="77777777">
      <w:r w:rsidRPr="001F5878">
        <w:separator/>
      </w:r>
    </w:p>
  </w:footnote>
  <w:footnote w:type="continuationSeparator" w:id="1">
    <w:p w:rsidR="005231CF" w:rsidRPr="001F5878" w14:paraId="12F0CB8A" w14:textId="77777777">
      <w:r w:rsidRPr="001F5878">
        <w:continuationSeparator/>
      </w:r>
    </w:p>
  </w:footnote>
  <w:footnote w:id="2">
    <w:p w:rsidR="003F5894" w:rsidRPr="001F5878" w:rsidP="001F5878" w14:paraId="3AF45BA7" w14:textId="6C6B49D7">
      <w:pPr>
        <w:pStyle w:val="FootnoteText"/>
        <w:ind w:left="567" w:hanging="567"/>
        <w:rPr>
          <w:sz w:val="24"/>
          <w:lang w:val="da-DK"/>
        </w:rPr>
      </w:pPr>
      <w:r w:rsidRPr="001F5878">
        <w:rPr>
          <w:rStyle w:val="FootnoteReference"/>
          <w:sz w:val="24"/>
          <w:lang w:val="da-DK"/>
        </w:rPr>
        <w:footnoteRef/>
      </w:r>
      <w:r w:rsidRPr="001F5878" w:rsidR="001F5878">
        <w:rPr>
          <w:sz w:val="24"/>
          <w:lang w:val="da-DK"/>
        </w:rPr>
        <w:t xml:space="preserve"> </w:t>
      </w:r>
      <w:r w:rsidRPr="001F5878" w:rsidR="001F5878">
        <w:rPr>
          <w:sz w:val="24"/>
          <w:lang w:val="da-DK"/>
        </w:rPr>
        <w:tab/>
      </w:r>
      <w:r w:rsidRPr="001F5878">
        <w:rPr>
          <w:sz w:val="24"/>
          <w:lang w:val="da-DK"/>
        </w:rPr>
        <w:t xml:space="preserve">EUT L 153 af 3.5.2021, s. 48, ELI: </w:t>
      </w:r>
      <w:hyperlink r:id="rId1" w:history="1">
        <w:r w:rsidRPr="001F5878">
          <w:rPr>
            <w:rStyle w:val="Hyperlink"/>
            <w:sz w:val="24"/>
            <w:lang w:val="da-DK"/>
          </w:rPr>
          <w:t>http://data.europa.eu/eli/reg/2021/691/oj</w:t>
        </w:r>
      </w:hyperlink>
      <w:r w:rsidRPr="001F5878">
        <w:rPr>
          <w:sz w:val="24"/>
          <w:lang w:val="da-DK"/>
        </w:rPr>
        <w:t>.</w:t>
      </w:r>
    </w:p>
  </w:footnote>
  <w:footnote w:id="3">
    <w:p w:rsidR="003F5894" w:rsidRPr="0098792D" w:rsidP="001F5878" w14:paraId="4B6CE491" w14:textId="7CC393C5">
      <w:pPr>
        <w:pStyle w:val="FootnoteText"/>
        <w:ind w:left="567" w:hanging="567"/>
        <w:rPr>
          <w:sz w:val="24"/>
        </w:rPr>
      </w:pPr>
      <w:r w:rsidRPr="001F5878">
        <w:rPr>
          <w:rStyle w:val="FootnoteReference"/>
          <w:sz w:val="24"/>
          <w:lang w:val="da-DK"/>
        </w:rPr>
        <w:footnoteRef/>
      </w:r>
      <w:r w:rsidRPr="0098792D" w:rsidR="001F5878">
        <w:rPr>
          <w:sz w:val="24"/>
        </w:rPr>
        <w:t xml:space="preserve"> </w:t>
      </w:r>
      <w:r w:rsidRPr="0098792D" w:rsidR="001F5878">
        <w:rPr>
          <w:sz w:val="24"/>
        </w:rPr>
        <w:tab/>
      </w:r>
      <w:r w:rsidRPr="0098792D">
        <w:rPr>
          <w:sz w:val="24"/>
        </w:rPr>
        <w:t xml:space="preserve">EUT L, 2026/1139, 20.5.2026, </w:t>
      </w:r>
      <w:r w:rsidRPr="0098792D">
        <w:rPr>
          <w:sz w:val="24"/>
        </w:rPr>
        <w:t>ELI:</w:t>
      </w:r>
      <w:r w:rsidRPr="0098792D">
        <w:rPr>
          <w:sz w:val="24"/>
        </w:rPr>
        <w:t> </w:t>
      </w:r>
      <w:hyperlink r:id="rId2" w:tgtFrame="_blank" w:tooltip="Giver adgang til dokumentet via dets ELI-URI." w:history="1">
        <w:r w:rsidRPr="0098792D">
          <w:rPr>
            <w:rStyle w:val="Hyperlink"/>
            <w:color w:val="0070C0"/>
            <w:sz w:val="24"/>
          </w:rPr>
          <w:t>http://data.europa.eu/eli/reg/2026/1139/oj</w:t>
        </w:r>
      </w:hyperlink>
      <w:r w:rsidRPr="0098792D">
        <w:rPr>
          <w:color w:val="0070C0"/>
          <w:sz w:val="24"/>
        </w:rPr>
        <w:t>.</w:t>
      </w:r>
    </w:p>
  </w:footnote>
  <w:footnote w:id="4">
    <w:p w:rsidR="003F5894" w:rsidRPr="001F5878" w:rsidP="001F5878" w14:paraId="2B8972C8" w14:textId="500B4C54">
      <w:pPr>
        <w:pStyle w:val="FootnoteText"/>
        <w:ind w:left="567" w:hanging="567"/>
        <w:rPr>
          <w:sz w:val="24"/>
          <w:lang w:val="da-DK"/>
        </w:rPr>
      </w:pPr>
      <w:r w:rsidRPr="001F5878">
        <w:rPr>
          <w:rStyle w:val="FootnoteReference"/>
          <w:sz w:val="24"/>
          <w:lang w:val="da-DK"/>
        </w:rPr>
        <w:footnoteRef/>
      </w:r>
      <w:r w:rsidRPr="001F5878" w:rsidR="001F5878">
        <w:rPr>
          <w:sz w:val="24"/>
          <w:lang w:val="da-DK"/>
        </w:rPr>
        <w:t xml:space="preserve"> </w:t>
      </w:r>
      <w:r w:rsidRPr="001F5878" w:rsidR="001F5878">
        <w:rPr>
          <w:sz w:val="24"/>
          <w:lang w:val="da-DK"/>
        </w:rPr>
        <w:tab/>
      </w:r>
      <w:r w:rsidRPr="001F5878">
        <w:rPr>
          <w:sz w:val="24"/>
          <w:lang w:val="da-DK"/>
        </w:rPr>
        <w:t xml:space="preserve">EUT L 433 I af 22.12.2020, s. 11, ELI: </w:t>
      </w:r>
      <w:hyperlink r:id="rId3" w:history="1">
        <w:r w:rsidRPr="001F5878">
          <w:rPr>
            <w:rStyle w:val="Hyperlink"/>
            <w:sz w:val="24"/>
            <w:lang w:val="da-DK"/>
          </w:rPr>
          <w:t>http://data.europa.eu/eli/reg/2020/2093/oj</w:t>
        </w:r>
      </w:hyperlink>
      <w:r w:rsidRPr="001F5878">
        <w:rPr>
          <w:sz w:val="24"/>
          <w:lang w:val="da-DK"/>
        </w:rPr>
        <w:t>.</w:t>
      </w:r>
    </w:p>
  </w:footnote>
  <w:footnote w:id="5">
    <w:p w:rsidR="003F5894" w:rsidRPr="001F5878" w:rsidP="001F5878" w14:paraId="53052FE8" w14:textId="2014F829">
      <w:pPr>
        <w:pStyle w:val="FootnoteText"/>
        <w:ind w:left="567" w:hanging="567"/>
        <w:rPr>
          <w:sz w:val="24"/>
          <w:lang w:val="da-DK"/>
        </w:rPr>
      </w:pPr>
      <w:r w:rsidRPr="001F5878">
        <w:rPr>
          <w:rStyle w:val="FootnoteReference"/>
          <w:sz w:val="24"/>
          <w:lang w:val="da-DK"/>
        </w:rPr>
        <w:footnoteRef/>
      </w:r>
      <w:r w:rsidRPr="001F5878" w:rsidR="001F5878">
        <w:rPr>
          <w:sz w:val="24"/>
          <w:shd w:val="clear" w:color="auto" w:fill="FFFFFF"/>
          <w:lang w:val="da-DK"/>
        </w:rPr>
        <w:t xml:space="preserve"> </w:t>
      </w:r>
      <w:r w:rsidRPr="001F5878" w:rsidR="001F5878">
        <w:rPr>
          <w:sz w:val="24"/>
          <w:shd w:val="clear" w:color="auto" w:fill="FFFFFF"/>
          <w:lang w:val="da-DK"/>
        </w:rPr>
        <w:tab/>
      </w:r>
      <w:r w:rsidRPr="001F5878">
        <w:rPr>
          <w:sz w:val="24"/>
          <w:shd w:val="clear" w:color="auto" w:fill="FFFFFF"/>
          <w:lang w:val="da-DK"/>
        </w:rPr>
        <w:t xml:space="preserve">Rådets forordning (EU, </w:t>
      </w:r>
      <w:r w:rsidRPr="001F5878">
        <w:rPr>
          <w:sz w:val="24"/>
          <w:shd w:val="clear" w:color="auto" w:fill="FFFFFF"/>
          <w:lang w:val="da-DK"/>
        </w:rPr>
        <w:t>Euratom</w:t>
      </w:r>
      <w:r w:rsidRPr="001F5878">
        <w:rPr>
          <w:sz w:val="24"/>
          <w:shd w:val="clear" w:color="auto" w:fill="FFFFFF"/>
          <w:lang w:val="da-DK"/>
        </w:rPr>
        <w:t xml:space="preserve">) 2024/765 af 29. februar 2024 om ændring af forordning (EU, </w:t>
      </w:r>
      <w:r w:rsidRPr="001F5878">
        <w:rPr>
          <w:sz w:val="24"/>
          <w:shd w:val="clear" w:color="auto" w:fill="FFFFFF"/>
          <w:lang w:val="da-DK"/>
        </w:rPr>
        <w:t>Euratom</w:t>
      </w:r>
      <w:r w:rsidRPr="001F5878">
        <w:rPr>
          <w:sz w:val="24"/>
          <w:shd w:val="clear" w:color="auto" w:fill="FFFFFF"/>
          <w:lang w:val="da-DK"/>
        </w:rPr>
        <w:t>) 2020/2093 om fastlæggelse af den flerårige finansielle ramme for årene 2021-2027 (EUT L, 2024/765, 29.2.2024, ELI:</w:t>
      </w:r>
      <w:r w:rsidRPr="001F5878">
        <w:rPr>
          <w:color w:val="333333"/>
          <w:sz w:val="24"/>
          <w:shd w:val="clear" w:color="auto" w:fill="FFFFFF"/>
          <w:lang w:val="da-DK"/>
        </w:rPr>
        <w:t xml:space="preserve"> </w:t>
      </w:r>
      <w:hyperlink r:id="rId4" w:history="1">
        <w:r w:rsidRPr="001F5878">
          <w:rPr>
            <w:rStyle w:val="Hyperlink"/>
            <w:sz w:val="24"/>
            <w:shd w:val="clear" w:color="auto" w:fill="FFFFFF"/>
            <w:lang w:val="da-DK"/>
          </w:rPr>
          <w:t>http://data.europa.eu/eli/reg/2024/765/oj</w:t>
        </w:r>
      </w:hyperlink>
      <w:r w:rsidRPr="001F5878">
        <w:rPr>
          <w:i/>
          <w:color w:val="333333"/>
          <w:sz w:val="24"/>
          <w:shd w:val="clear" w:color="auto" w:fill="FFFFFF"/>
          <w:lang w:val="da-DK"/>
        </w:rPr>
        <w:t>).</w:t>
      </w:r>
    </w:p>
  </w:footnote>
  <w:footnote w:id="6">
    <w:p w:rsidR="003F5894" w:rsidRPr="001F5878" w:rsidP="001F5878" w14:paraId="090BBB8A" w14:textId="73E517E6">
      <w:pPr>
        <w:pStyle w:val="FootnoteText"/>
        <w:ind w:left="567" w:hanging="567"/>
        <w:rPr>
          <w:sz w:val="24"/>
          <w:lang w:val="da-DK"/>
        </w:rPr>
      </w:pPr>
      <w:r w:rsidRPr="001F5878">
        <w:rPr>
          <w:rStyle w:val="FootnoteReference"/>
          <w:sz w:val="24"/>
          <w:lang w:val="da-DK"/>
        </w:rPr>
        <w:footnoteRef/>
      </w:r>
      <w:r w:rsidRPr="001F5878" w:rsidR="001F5878">
        <w:rPr>
          <w:sz w:val="24"/>
          <w:lang w:val="da-DK"/>
        </w:rPr>
        <w:t xml:space="preserve"> </w:t>
      </w:r>
      <w:r w:rsidRPr="001F5878" w:rsidR="001F5878">
        <w:rPr>
          <w:sz w:val="24"/>
          <w:lang w:val="da-DK"/>
        </w:rPr>
        <w:tab/>
      </w:r>
      <w:r w:rsidRPr="001F5878">
        <w:rPr>
          <w:sz w:val="24"/>
          <w:lang w:val="da-DK"/>
        </w:rPr>
        <w:t xml:space="preserve">EUT L 433 I af 22.12.2020, s. 28, ELI: </w:t>
      </w:r>
      <w:hyperlink r:id="rId5" w:history="1">
        <w:r w:rsidRPr="001F5878">
          <w:rPr>
            <w:rStyle w:val="Hyperlink"/>
            <w:sz w:val="24"/>
            <w:lang w:val="da-DK"/>
          </w:rPr>
          <w:t>http://data.europa.eu/eli/agree_interinstit/2020/1222/oj</w:t>
        </w:r>
      </w:hyperlink>
      <w:r w:rsidRPr="001F5878">
        <w:rPr>
          <w:sz w:val="24"/>
          <w:lang w:val="da-DK"/>
        </w:rPr>
        <w:t>.</w:t>
      </w:r>
    </w:p>
  </w:footnote>
  <w:footnote w:id="7">
    <w:p w:rsidR="003F5894" w:rsidRPr="001F5878" w:rsidP="001F5878" w14:paraId="222651F6" w14:textId="5205E18C">
      <w:pPr>
        <w:pStyle w:val="FootnoteText"/>
        <w:ind w:left="567" w:hanging="567"/>
        <w:rPr>
          <w:sz w:val="24"/>
          <w:lang w:val="da-DK"/>
        </w:rPr>
      </w:pPr>
      <w:r w:rsidRPr="001F5878">
        <w:rPr>
          <w:rStyle w:val="FootnoteReference"/>
          <w:sz w:val="24"/>
          <w:lang w:val="da-DK"/>
        </w:rPr>
        <w:footnoteRef/>
      </w:r>
      <w:r w:rsidRPr="001F5878" w:rsidR="001F5878">
        <w:rPr>
          <w:sz w:val="24"/>
          <w:lang w:val="da-DK"/>
        </w:rPr>
        <w:t xml:space="preserve"> </w:t>
      </w:r>
      <w:r w:rsidRPr="001F5878" w:rsidR="001F5878">
        <w:rPr>
          <w:sz w:val="24"/>
          <w:lang w:val="da-DK"/>
        </w:rPr>
        <w:tab/>
      </w:r>
      <w:r w:rsidRPr="001F5878">
        <w:rPr>
          <w:sz w:val="24"/>
          <w:lang w:val="da-DK"/>
        </w:rPr>
        <w:t>Som omhandlet i EGF-forordningens artikel 3.</w:t>
      </w:r>
    </w:p>
  </w:footnote>
  <w:footnote w:id="8">
    <w:p w:rsidR="003F5894" w:rsidRPr="001F5878" w:rsidP="001F5878" w14:paraId="33230004" w14:textId="1C560727">
      <w:pPr>
        <w:pStyle w:val="FootnoteText"/>
        <w:ind w:left="567" w:hanging="567"/>
        <w:rPr>
          <w:sz w:val="24"/>
          <w:lang w:val="da-DK"/>
        </w:rPr>
      </w:pPr>
      <w:r w:rsidRPr="001F5878">
        <w:rPr>
          <w:rStyle w:val="FootnoteReference"/>
          <w:sz w:val="24"/>
          <w:lang w:val="da-DK"/>
        </w:rPr>
        <w:footnoteRef/>
      </w:r>
      <w:r w:rsidRPr="001F5878" w:rsidR="001F5878">
        <w:rPr>
          <w:sz w:val="24"/>
          <w:lang w:val="da-DK"/>
        </w:rPr>
        <w:t xml:space="preserve"> </w:t>
      </w:r>
      <w:r w:rsidRPr="001F5878" w:rsidR="001F5878">
        <w:rPr>
          <w:sz w:val="24"/>
          <w:lang w:val="da-DK"/>
        </w:rPr>
        <w:tab/>
      </w:r>
      <w:r w:rsidRPr="001F5878">
        <w:rPr>
          <w:sz w:val="24"/>
          <w:lang w:val="da-DK"/>
        </w:rPr>
        <w:t>FFR-forordningens artikel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5894" w:rsidRPr="001F5878" w14:paraId="60378F2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5894" w:rsidRPr="001F5878" w14:paraId="15CA3D9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5894" w:rsidRPr="001F5878" w14:paraId="13AF606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5878" w14:paraId="7D3E640B"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5878" w14:paraId="1CD2D42D"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5878" w14:paraId="09FD0BF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7140522">
    <w:abstractNumId w:val="9"/>
  </w:num>
  <w:num w:numId="2" w16cid:durableId="1763187637">
    <w:abstractNumId w:val="9"/>
  </w:num>
  <w:num w:numId="3" w16cid:durableId="1183931584">
    <w:abstractNumId w:val="7"/>
  </w:num>
  <w:num w:numId="4" w16cid:durableId="1864436127">
    <w:abstractNumId w:val="7"/>
  </w:num>
  <w:num w:numId="5" w16cid:durableId="1801151040">
    <w:abstractNumId w:val="6"/>
  </w:num>
  <w:num w:numId="6" w16cid:durableId="499809903">
    <w:abstractNumId w:val="6"/>
  </w:num>
  <w:num w:numId="7" w16cid:durableId="47917994">
    <w:abstractNumId w:val="5"/>
  </w:num>
  <w:num w:numId="8" w16cid:durableId="1707753445">
    <w:abstractNumId w:val="5"/>
  </w:num>
  <w:num w:numId="9" w16cid:durableId="4552141">
    <w:abstractNumId w:val="4"/>
  </w:num>
  <w:num w:numId="10" w16cid:durableId="1232155708">
    <w:abstractNumId w:val="4"/>
  </w:num>
  <w:num w:numId="11" w16cid:durableId="974985042">
    <w:abstractNumId w:val="8"/>
  </w:num>
  <w:num w:numId="12" w16cid:durableId="1132870360">
    <w:abstractNumId w:val="8"/>
  </w:num>
  <w:num w:numId="13" w16cid:durableId="242762462">
    <w:abstractNumId w:val="3"/>
  </w:num>
  <w:num w:numId="14" w16cid:durableId="1548444473">
    <w:abstractNumId w:val="3"/>
  </w:num>
  <w:num w:numId="15" w16cid:durableId="1987390208">
    <w:abstractNumId w:val="2"/>
  </w:num>
  <w:num w:numId="16" w16cid:durableId="1334725038">
    <w:abstractNumId w:val="2"/>
  </w:num>
  <w:num w:numId="17" w16cid:durableId="462697327">
    <w:abstractNumId w:val="1"/>
  </w:num>
  <w:num w:numId="18" w16cid:durableId="230626060">
    <w:abstractNumId w:val="1"/>
  </w:num>
  <w:num w:numId="19" w16cid:durableId="1549412660">
    <w:abstractNumId w:val="0"/>
  </w:num>
  <w:num w:numId="20" w16cid:durableId="1563517394">
    <w:abstractNumId w:val="0"/>
  </w:num>
  <w:num w:numId="21" w16cid:durableId="1830557694">
    <w:abstractNumId w:val="9"/>
  </w:num>
  <w:num w:numId="22" w16cid:durableId="2084718226">
    <w:abstractNumId w:val="7"/>
  </w:num>
  <w:num w:numId="23" w16cid:durableId="835849008">
    <w:abstractNumId w:val="6"/>
  </w:num>
  <w:num w:numId="24" w16cid:durableId="352922303">
    <w:abstractNumId w:val="5"/>
  </w:num>
  <w:num w:numId="25" w16cid:durableId="1403213443">
    <w:abstractNumId w:val="4"/>
  </w:num>
  <w:num w:numId="26" w16cid:durableId="659819313">
    <w:abstractNumId w:val="8"/>
  </w:num>
  <w:num w:numId="27" w16cid:durableId="1361779536">
    <w:abstractNumId w:val="3"/>
  </w:num>
  <w:num w:numId="28" w16cid:durableId="677779844">
    <w:abstractNumId w:val="2"/>
  </w:num>
  <w:num w:numId="29" w16cid:durableId="1457798344">
    <w:abstractNumId w:val="1"/>
  </w:num>
  <w:num w:numId="30" w16cid:durableId="1255672016">
    <w:abstractNumId w:val="0"/>
  </w:num>
  <w:num w:numId="31" w16cid:durableId="376317887">
    <w:abstractNumId w:val="9"/>
  </w:num>
  <w:num w:numId="32" w16cid:durableId="109474671">
    <w:abstractNumId w:val="7"/>
  </w:num>
  <w:num w:numId="33" w16cid:durableId="1743673538">
    <w:abstractNumId w:val="6"/>
  </w:num>
  <w:num w:numId="34" w16cid:durableId="80562443">
    <w:abstractNumId w:val="5"/>
  </w:num>
  <w:num w:numId="35" w16cid:durableId="1545407190">
    <w:abstractNumId w:val="4"/>
  </w:num>
  <w:num w:numId="36" w16cid:durableId="2039352028">
    <w:abstractNumId w:val="8"/>
  </w:num>
  <w:num w:numId="37" w16cid:durableId="790635353">
    <w:abstractNumId w:val="3"/>
  </w:num>
  <w:num w:numId="38" w16cid:durableId="888034063">
    <w:abstractNumId w:val="2"/>
  </w:num>
  <w:num w:numId="39" w16cid:durableId="372079911">
    <w:abstractNumId w:val="1"/>
  </w:num>
  <w:num w:numId="40" w16cid:durableId="635456183">
    <w:abstractNumId w:val="0"/>
  </w:num>
  <w:num w:numId="41" w16cid:durableId="988174198">
    <w:abstractNumId w:val="10"/>
  </w:num>
  <w:num w:numId="42" w16cid:durableId="1115715148">
    <w:abstractNumId w:val="10"/>
  </w:num>
  <w:num w:numId="43" w16cid:durableId="1156998912">
    <w:abstractNumId w:val="10"/>
  </w:num>
  <w:num w:numId="44" w16cid:durableId="522985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1CF"/>
    <w:rsid w:val="00002272"/>
    <w:rsid w:val="00064002"/>
    <w:rsid w:val="000677B9"/>
    <w:rsid w:val="00074344"/>
    <w:rsid w:val="000831BA"/>
    <w:rsid w:val="000A42CC"/>
    <w:rsid w:val="000E7DD9"/>
    <w:rsid w:val="0010095E"/>
    <w:rsid w:val="00125B37"/>
    <w:rsid w:val="00187494"/>
    <w:rsid w:val="001A6842"/>
    <w:rsid w:val="001F32AE"/>
    <w:rsid w:val="001F5878"/>
    <w:rsid w:val="002767FF"/>
    <w:rsid w:val="002B18FE"/>
    <w:rsid w:val="002B5493"/>
    <w:rsid w:val="00343214"/>
    <w:rsid w:val="00361C00"/>
    <w:rsid w:val="00395FA1"/>
    <w:rsid w:val="003E15D4"/>
    <w:rsid w:val="003F5894"/>
    <w:rsid w:val="00405E3F"/>
    <w:rsid w:val="00411CCE"/>
    <w:rsid w:val="0041666E"/>
    <w:rsid w:val="00421060"/>
    <w:rsid w:val="00471C19"/>
    <w:rsid w:val="004867E3"/>
    <w:rsid w:val="00494A28"/>
    <w:rsid w:val="004C0004"/>
    <w:rsid w:val="004C5D52"/>
    <w:rsid w:val="0050519A"/>
    <w:rsid w:val="005072A1"/>
    <w:rsid w:val="00514517"/>
    <w:rsid w:val="005231CF"/>
    <w:rsid w:val="00545827"/>
    <w:rsid w:val="00560270"/>
    <w:rsid w:val="00567FE2"/>
    <w:rsid w:val="005C2568"/>
    <w:rsid w:val="005E7EDF"/>
    <w:rsid w:val="005F1B17"/>
    <w:rsid w:val="005F1DE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92D"/>
    <w:rsid w:val="00A1687D"/>
    <w:rsid w:val="00A43E52"/>
    <w:rsid w:val="00A4678D"/>
    <w:rsid w:val="00A56130"/>
    <w:rsid w:val="00A778C7"/>
    <w:rsid w:val="00AB290C"/>
    <w:rsid w:val="00AB441E"/>
    <w:rsid w:val="00AB6293"/>
    <w:rsid w:val="00AE0928"/>
    <w:rsid w:val="00AF3B82"/>
    <w:rsid w:val="00B12E95"/>
    <w:rsid w:val="00B22876"/>
    <w:rsid w:val="00B31CB4"/>
    <w:rsid w:val="00B52BC3"/>
    <w:rsid w:val="00B558F0"/>
    <w:rsid w:val="00BD48FE"/>
    <w:rsid w:val="00BD7BD8"/>
    <w:rsid w:val="00BE6ADC"/>
    <w:rsid w:val="00BF35E3"/>
    <w:rsid w:val="00C05BFE"/>
    <w:rsid w:val="00C23CD4"/>
    <w:rsid w:val="00C61C0C"/>
    <w:rsid w:val="00C941CB"/>
    <w:rsid w:val="00CC2357"/>
    <w:rsid w:val="00CF071A"/>
    <w:rsid w:val="00D058B8"/>
    <w:rsid w:val="00D137B8"/>
    <w:rsid w:val="00D25092"/>
    <w:rsid w:val="00D56C11"/>
    <w:rsid w:val="00D834A0"/>
    <w:rsid w:val="00D872DF"/>
    <w:rsid w:val="00D91E21"/>
    <w:rsid w:val="00DA7FCD"/>
    <w:rsid w:val="00E365E1"/>
    <w:rsid w:val="00E820A4"/>
    <w:rsid w:val="00EB006A"/>
    <w:rsid w:val="00EB4772"/>
    <w:rsid w:val="00ED169E"/>
    <w:rsid w:val="00ED4235"/>
    <w:rsid w:val="00ED695D"/>
    <w:rsid w:val="00F04346"/>
    <w:rsid w:val="00F075DC"/>
    <w:rsid w:val="00F149E9"/>
    <w:rsid w:val="00F43BBF"/>
    <w:rsid w:val="00F5134D"/>
    <w:rsid w:val="00F74202"/>
    <w:rsid w:val="00F87713"/>
    <w:rsid w:val="00F95CDF"/>
    <w:rsid w:val="00FB4360"/>
    <w:rsid w:val="00FD0C70"/>
    <w:rsid w:val="00FF62A3"/>
  </w:rsids>
  <w:docVars>
    <w:docVar w:name="dvdocse" w:val="A10-0149/2026"/>
    <w:docVar w:name="dvlangue" w:val="DA"/>
    <w:docVar w:name="dvnumam" w:val="0"/>
    <w:docVar w:name="dvpe" w:val="787.923"/>
    <w:docVar w:name="dvrapporteur" w:val="Ordfører: "/>
    <w:docVar w:name="dvtitre" w:val="Europa-Parlamentets beslutning af xx.xx 2026 om forslag til Europa-Parlamentets og Rådets afgørelse om mobilisering af Den Europæiske Fond for Tilpasning til Globaliseringen for Afskedigede Arbejdstagere på baggrund af en ansøgning fra Belgien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E820D2"/>
  <w15:chartTrackingRefBased/>
  <w15:docId w15:val="{608C2484-A911-4A63-8F65-96868EDE1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F589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F5894"/>
    <w:pPr>
      <w:keepNext/>
      <w:spacing w:after="480"/>
      <w:jc w:val="center"/>
    </w:pPr>
    <w:rPr>
      <w:rFonts w:ascii="Arial" w:hAnsi="Arial" w:cs="Arial"/>
      <w:b/>
    </w:rPr>
  </w:style>
  <w:style w:type="paragraph" w:customStyle="1" w:styleId="NormalHanging12a">
    <w:name w:val="NormalHanging12a"/>
    <w:basedOn w:val="Normal"/>
    <w:link w:val="NormalHanging12aChar"/>
    <w:rsid w:val="003F5894"/>
    <w:pPr>
      <w:spacing w:after="240"/>
      <w:ind w:left="567" w:hanging="567"/>
    </w:pPr>
  </w:style>
  <w:style w:type="paragraph" w:styleId="Header">
    <w:name w:val="header"/>
    <w:basedOn w:val="Normal"/>
    <w:link w:val="HeaderChar"/>
    <w:rsid w:val="003F5894"/>
    <w:pPr>
      <w:tabs>
        <w:tab w:val="center" w:pos="4513"/>
        <w:tab w:val="right" w:pos="9026"/>
      </w:tabs>
    </w:pPr>
  </w:style>
  <w:style w:type="character" w:customStyle="1" w:styleId="HeaderChar">
    <w:name w:val="Header Char"/>
    <w:basedOn w:val="DefaultParagraphFont"/>
    <w:link w:val="Header"/>
    <w:rsid w:val="003F5894"/>
    <w:rPr>
      <w:sz w:val="24"/>
      <w:lang w:val="da-DK"/>
    </w:rPr>
  </w:style>
  <w:style w:type="paragraph" w:customStyle="1" w:styleId="EPFooter">
    <w:name w:val="EPFooter"/>
    <w:basedOn w:val="Normal"/>
    <w:rsid w:val="003F5894"/>
    <w:pPr>
      <w:tabs>
        <w:tab w:val="center" w:pos="4535"/>
        <w:tab w:val="right" w:pos="9071"/>
      </w:tabs>
      <w:spacing w:before="240" w:after="240"/>
    </w:pPr>
    <w:rPr>
      <w:color w:val="010000"/>
      <w:sz w:val="22"/>
    </w:rPr>
  </w:style>
  <w:style w:type="paragraph" w:customStyle="1" w:styleId="EPComma">
    <w:name w:val="EPComma"/>
    <w:basedOn w:val="Normal"/>
    <w:rsid w:val="003F5894"/>
    <w:pPr>
      <w:spacing w:before="480" w:after="240"/>
    </w:pPr>
  </w:style>
  <w:style w:type="character" w:styleId="Hyperlink">
    <w:name w:val="Hyperlink"/>
    <w:basedOn w:val="DefaultParagraphFont"/>
    <w:uiPriority w:val="99"/>
    <w:rsid w:val="003F5894"/>
    <w:rPr>
      <w:color w:val="0563C1" w:themeColor="hyperlink"/>
      <w:u w:val="single"/>
    </w:rPr>
  </w:style>
  <w:style w:type="character" w:customStyle="1" w:styleId="NormalHanging12aChar">
    <w:name w:val="NormalHanging12a Char"/>
    <w:basedOn w:val="DefaultParagraphFont"/>
    <w:link w:val="NormalHanging12a"/>
    <w:locked/>
    <w:rsid w:val="003F5894"/>
    <w:rPr>
      <w:sz w:val="24"/>
      <w:lang w:val="da-DK"/>
    </w:rPr>
  </w:style>
  <w:style w:type="paragraph" w:customStyle="1" w:styleId="Titreobjet">
    <w:name w:val="Titre objet"/>
    <w:basedOn w:val="Normal"/>
    <w:next w:val="Normal"/>
    <w:rsid w:val="003F5894"/>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3F5894"/>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3F5894"/>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3F5894"/>
    <w:rPr>
      <w:rFonts w:ascii="Arial" w:hAnsi="Arial" w:cs="Arial"/>
      <w:b/>
      <w:sz w:val="24"/>
      <w:lang w:val="da-DK"/>
    </w:rPr>
  </w:style>
  <w:style w:type="paragraph" w:styleId="Revision">
    <w:name w:val="Revision"/>
    <w:hidden/>
    <w:uiPriority w:val="99"/>
    <w:semiHidden/>
    <w:rsid w:val="00ED695D"/>
    <w:rPr>
      <w:sz w:val="24"/>
      <w:lang w:val="da-DK"/>
    </w:rPr>
  </w:style>
  <w:style w:type="character" w:styleId="CommentReference">
    <w:name w:val="annotation reference"/>
    <w:basedOn w:val="DefaultParagraphFont"/>
    <w:rsid w:val="00B31CB4"/>
    <w:rPr>
      <w:sz w:val="16"/>
      <w:szCs w:val="16"/>
    </w:rPr>
  </w:style>
  <w:style w:type="paragraph" w:styleId="CommentText">
    <w:name w:val="annotation text"/>
    <w:basedOn w:val="Normal"/>
    <w:link w:val="CommentTextChar"/>
    <w:rsid w:val="00B31CB4"/>
    <w:rPr>
      <w:sz w:val="20"/>
    </w:rPr>
  </w:style>
  <w:style w:type="character" w:customStyle="1" w:styleId="CommentTextChar">
    <w:name w:val="Comment Text Char"/>
    <w:basedOn w:val="DefaultParagraphFont"/>
    <w:link w:val="CommentText"/>
    <w:rsid w:val="00B31CB4"/>
    <w:rPr>
      <w:lang w:val="da-DK"/>
    </w:rPr>
  </w:style>
  <w:style w:type="paragraph" w:styleId="CommentSubject">
    <w:name w:val="annotation subject"/>
    <w:basedOn w:val="CommentText"/>
    <w:next w:val="CommentText"/>
    <w:link w:val="CommentSubjectChar"/>
    <w:rsid w:val="00B31CB4"/>
    <w:rPr>
      <w:b/>
      <w:bCs/>
    </w:rPr>
  </w:style>
  <w:style w:type="character" w:customStyle="1" w:styleId="CommentSubjectChar">
    <w:name w:val="Comment Subject Char"/>
    <w:basedOn w:val="CommentTextChar"/>
    <w:link w:val="CommentSubject"/>
    <w:rsid w:val="00B31CB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1703</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2026-09-02T11:58:00Z</dcterms:created>
  <dcterms:modified xsi:type="dcterms:W3CDTF">2026-09-02T11:58:00Z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P10_TA(2026)0201_</vt:lpwstr>
  </property>
  <property fmtid="{D5CDD505-2E9C-101B-9397-08002B2CF9AE}" pid="4" name="&lt;Type&gt;">
    <vt:lpwstr>RR</vt:lpwstr>
  </property>
</Properties>
</file>