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4EC758" w14:textId="77777777" w:rsidTr="0010095E">
        <w:tblPrEx>
          <w:tblW w:w="9072" w:type="dxa"/>
          <w:tblLook w:val="01E0"/>
        </w:tblPrEx>
        <w:trPr>
          <w:trHeight w:hRule="exact" w:val="1418"/>
        </w:trPr>
        <w:tc>
          <w:tcPr>
            <w:tcW w:w="6804" w:type="dxa"/>
            <w:shd w:val="clear" w:color="auto" w:fill="auto"/>
            <w:vAlign w:val="center"/>
          </w:tcPr>
          <w:p w:rsidR="00751A4A" w:rsidRPr="004A7FFD" w:rsidP="0010095E" w14:paraId="3ED5CFD8" w14:textId="77777777">
            <w:pPr>
              <w:pStyle w:val="EPName"/>
            </w:pPr>
            <w:r w:rsidRPr="004A7FFD">
              <w:t>Ευρωπαϊκό Κοινοβούλιο</w:t>
            </w:r>
          </w:p>
          <w:p w:rsidR="00751A4A" w:rsidRPr="004A7FFD" w:rsidP="005F1B17" w14:paraId="2B935D4C" w14:textId="77777777">
            <w:pPr>
              <w:pStyle w:val="EPTerm"/>
              <w:rPr>
                <w:rStyle w:val="HideTWBExt"/>
                <w:noProof w:val="0"/>
                <w:vanish w:val="0"/>
                <w:color w:val="auto"/>
              </w:rPr>
            </w:pPr>
            <w:r w:rsidRPr="004A7FFD">
              <w:t>2024</w:t>
            </w:r>
            <w:r w:rsidRPr="004A7FFD" w:rsidR="00817416">
              <w:t>-202</w:t>
            </w:r>
            <w:r w:rsidRPr="004A7FFD">
              <w:t>9</w:t>
            </w:r>
          </w:p>
        </w:tc>
        <w:tc>
          <w:tcPr>
            <w:tcW w:w="2268" w:type="dxa"/>
            <w:shd w:val="clear" w:color="auto" w:fill="auto"/>
          </w:tcPr>
          <w:p w:rsidR="00751A4A" w:rsidRPr="004A7FFD" w:rsidP="0010095E" w14:paraId="4F6EFF8E" w14:textId="77777777">
            <w:pPr>
              <w:pStyle w:val="EPLogo"/>
            </w:pPr>
            <w:r w:rsidRPr="004A7F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7FFD" w:rsidP="004C5D52" w14:paraId="1942763A" w14:textId="77777777">
      <w:pPr>
        <w:pStyle w:val="LineTop"/>
      </w:pPr>
    </w:p>
    <w:p w:rsidR="00680577" w:rsidRPr="004A7FFD" w:rsidP="00680577" w14:paraId="25BE6145" w14:textId="77777777">
      <w:pPr>
        <w:pStyle w:val="EPBodyTA1"/>
      </w:pPr>
      <w:r w:rsidRPr="004A7FFD">
        <w:t>ΚΕΙΜΕΝΑ ΠΟΥ ΕΓΚΡΙΘΗΚΑΝ</w:t>
      </w:r>
    </w:p>
    <w:p w:rsidR="00D058B8" w:rsidRPr="004A7FFD" w:rsidP="00D058B8" w14:paraId="13A65183" w14:textId="77777777">
      <w:pPr>
        <w:pStyle w:val="LineBottom"/>
      </w:pPr>
    </w:p>
    <w:p w:rsidR="000A1E62" w:rsidRPr="004A7FFD" w:rsidP="000A1E62" w14:paraId="6E91BFF7" w14:textId="41E90321">
      <w:pPr>
        <w:pStyle w:val="ATHeading1"/>
      </w:pPr>
      <w:bookmarkStart w:id="0" w:name="TANumber"/>
      <w:r w:rsidRPr="004A7FFD">
        <w:t>P10_TA(2026)0</w:t>
      </w:r>
      <w:r w:rsidRPr="004A7FFD" w:rsidR="00AB66EB">
        <w:t>201</w:t>
      </w:r>
      <w:bookmarkEnd w:id="0"/>
    </w:p>
    <w:p w:rsidR="000A1E62" w:rsidRPr="004A7FFD" w:rsidP="000A1E62" w14:paraId="687E5B77" w14:textId="4A44B600">
      <w:pPr>
        <w:pStyle w:val="ATHeading2"/>
      </w:pPr>
      <w:bookmarkStart w:id="1" w:name="title"/>
      <w:r w:rsidRPr="004A7FFD">
        <w:t>Κινητοποίηση του Ευρωπαϊκού Ταμείου Προσαρμογής στην Παγκοσμιοποίηση για τους απολυμένους εργαζόμενους ύστερα από αίτηση του Βελγίου – EGF/2025/009 BE/</w:t>
      </w:r>
      <w:r w:rsidRPr="004A7FFD">
        <w:t>Soliver</w:t>
      </w:r>
      <w:bookmarkEnd w:id="1"/>
    </w:p>
    <w:p w:rsidR="000A1E62" w:rsidRPr="004A7FFD" w:rsidP="000A1E62" w14:paraId="5287E46F" w14:textId="77777777">
      <w:pPr>
        <w:rPr>
          <w:i/>
          <w:vanish/>
        </w:rPr>
      </w:pPr>
      <w:r>
        <w:rPr>
          <w:i/>
        </w:rPr>
        <w:fldChar w:fldCharType="begin"/>
      </w:r>
      <w:r w:rsidRPr="004A7FFD">
        <w:rPr>
          <w:i/>
        </w:rPr>
        <w:instrText xml:space="preserve"> TC"(</w:instrText>
      </w:r>
      <w:bookmarkStart w:id="2" w:name="DocNumber"/>
      <w:r w:rsidRPr="004A7FFD">
        <w:rPr>
          <w:i/>
        </w:rPr>
        <w:instrText>A10-0149/2026</w:instrText>
      </w:r>
      <w:bookmarkEnd w:id="2"/>
      <w:r w:rsidRPr="004A7FFD">
        <w:rPr>
          <w:i/>
        </w:rPr>
        <w:instrText xml:space="preserve"> - Εισηγητής: Bogdan Rzońca)"\l3 \n&gt; \* MERGEFORMAT </w:instrText>
      </w:r>
      <w:r>
        <w:rPr>
          <w:i/>
        </w:rPr>
        <w:fldChar w:fldCharType="end"/>
      </w:r>
    </w:p>
    <w:p w:rsidR="000A1E62" w:rsidRPr="004A7FFD" w:rsidP="000A1E62" w14:paraId="425347FF" w14:textId="77777777">
      <w:pPr>
        <w:rPr>
          <w:vanish/>
        </w:rPr>
      </w:pPr>
      <w:bookmarkStart w:id="3" w:name="Commission"/>
      <w:r w:rsidRPr="004A7FFD">
        <w:rPr>
          <w:vanish/>
        </w:rPr>
        <w:t>Επιτροπή Προϋπολογισμών</w:t>
      </w:r>
      <w:bookmarkEnd w:id="3"/>
    </w:p>
    <w:p w:rsidR="000A1E62" w:rsidRPr="004A7FFD" w:rsidP="000A1E62" w14:paraId="0FFDDB08" w14:textId="77777777">
      <w:pPr>
        <w:rPr>
          <w:vanish/>
        </w:rPr>
      </w:pPr>
      <w:bookmarkStart w:id="4" w:name="PE"/>
      <w:r w:rsidRPr="004A7FFD">
        <w:rPr>
          <w:vanish/>
        </w:rPr>
        <w:t>PE787.923</w:t>
      </w:r>
      <w:bookmarkEnd w:id="4"/>
    </w:p>
    <w:p w:rsidR="000A1E62" w:rsidRPr="004A7FFD" w:rsidP="000A1E62" w14:paraId="18C869C5" w14:textId="37F66233">
      <w:pPr>
        <w:pStyle w:val="ATHeading3"/>
      </w:pPr>
      <w:bookmarkStart w:id="5" w:name="Sujet"/>
      <w:r w:rsidRPr="004A7FFD">
        <w:t xml:space="preserve">Ψήφισμα του Ευρωπαϊκού Κοινοβουλίου της </w:t>
      </w:r>
      <w:r w:rsidRPr="004A7FFD" w:rsidR="006E33A8">
        <w:t>16ης Ιουνίου</w:t>
      </w:r>
      <w:r w:rsidRPr="004A7FFD">
        <w:t xml:space="preserve"> 2026 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ύστερα από αίτηση του Βελγίου – EGF/2025/009 BE/</w:t>
      </w:r>
      <w:r w:rsidRPr="004A7FFD">
        <w:t>Soliver</w:t>
      </w:r>
      <w:bookmarkEnd w:id="5"/>
      <w:r w:rsidRPr="004A7FFD">
        <w:t xml:space="preserve"> </w:t>
      </w:r>
      <w:bookmarkStart w:id="6" w:name="References"/>
      <w:r w:rsidRPr="004A7FFD">
        <w:t>(COM(2026)0050 – C10-0111/2026 – 2026/0097(BUD))</w:t>
      </w:r>
      <w:bookmarkEnd w:id="6"/>
    </w:p>
    <w:p w:rsidR="00DD1087" w:rsidRPr="004A7FFD" w:rsidP="00DD1087" w14:paraId="60778D88" w14:textId="77777777">
      <w:pPr>
        <w:pStyle w:val="EPComma"/>
        <w:rPr>
          <w:noProof/>
        </w:rPr>
      </w:pPr>
      <w:r w:rsidRPr="004A7FFD">
        <w:rPr>
          <w:i/>
        </w:rPr>
        <w:t>Το Ευρωπαϊκό Κοινοβούλιο</w:t>
      </w:r>
      <w:r w:rsidRPr="004A7FFD">
        <w:t>,</w:t>
      </w:r>
    </w:p>
    <w:p w:rsidR="00DD1087" w:rsidRPr="004A7FFD" w:rsidP="006E33A8" w14:paraId="657D8567" w14:textId="77777777">
      <w:pPr>
        <w:pStyle w:val="NormalHanging12a"/>
        <w:widowControl/>
        <w:rPr>
          <w:noProof/>
        </w:rPr>
      </w:pPr>
      <w:r w:rsidRPr="004A7FFD">
        <w:t>–</w:t>
      </w:r>
      <w:r w:rsidRPr="004A7FFD">
        <w:tab/>
        <w:t>έχοντας υπόψη την πρόταση της Επιτροπής προς το Ευρωπαϊκό Κοινοβούλιο και το Συμβούλιο (COM(2026)0050 – C10</w:t>
      </w:r>
      <w:r w:rsidRPr="004A7FFD">
        <w:noBreakHyphen/>
        <w:t>0111/2026),</w:t>
      </w:r>
    </w:p>
    <w:p w:rsidR="00DD1087" w:rsidRPr="004A7FFD" w:rsidP="006E33A8" w14:paraId="1B73A8F2" w14:textId="720C4D67">
      <w:pPr>
        <w:pStyle w:val="NormalHanging12a"/>
        <w:widowControl/>
      </w:pPr>
      <w:r w:rsidRPr="004A7FFD">
        <w:t>–</w:t>
      </w:r>
      <w:r w:rsidRPr="004A7FFD">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Pr>
          <w:vertAlign w:val="superscript"/>
        </w:rPr>
        <w:footnoteReference w:id="2"/>
      </w:r>
      <w:r w:rsidRPr="004A7FFD">
        <w:t xml:space="preserve"> (</w:t>
      </w:r>
      <w:r w:rsidRPr="004A7FFD" w:rsidR="006E33A8">
        <w:t>«</w:t>
      </w:r>
      <w:r w:rsidRPr="004A7FFD">
        <w:t>κανονισμός ΕΤΠ</w:t>
      </w:r>
      <w:r w:rsidRPr="004A7FFD" w:rsidR="006E33A8">
        <w:t>»</w:t>
      </w:r>
      <w:r w:rsidRPr="004A7FFD">
        <w:t>)</w:t>
      </w:r>
      <w:r w:rsidRPr="004A7FFD" w:rsidR="006E33A8">
        <w:t>,</w:t>
      </w:r>
      <w:r w:rsidRPr="004A7FFD">
        <w:t xml:space="preserve"> όπως τροποποιήθηκε με τον κανονισμό (ΕΕ) 2026/1139</w:t>
      </w:r>
      <w:r>
        <w:rPr>
          <w:vertAlign w:val="superscript"/>
        </w:rPr>
        <w:footnoteReference w:id="3"/>
      </w:r>
      <w:r w:rsidRPr="004A7FFD">
        <w:t xml:space="preserve">, </w:t>
      </w:r>
    </w:p>
    <w:p w:rsidR="00DD1087" w:rsidRPr="004A7FFD" w:rsidP="006E33A8" w14:paraId="3F250E4D" w14:textId="5D026818">
      <w:pPr>
        <w:pStyle w:val="NormalHanging12a"/>
        <w:widowControl/>
        <w:rPr>
          <w:noProof/>
        </w:rPr>
      </w:pPr>
      <w:r w:rsidRPr="004A7FFD">
        <w:t>–</w:t>
      </w:r>
      <w:r w:rsidRPr="004A7FFD">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 (</w:t>
      </w:r>
      <w:r w:rsidRPr="004A7FFD" w:rsidR="006E33A8">
        <w:t>«</w:t>
      </w:r>
      <w:r w:rsidRPr="004A7FFD">
        <w:t>κανονισμός για το ΠΔΠ</w:t>
      </w:r>
      <w:r w:rsidRPr="004A7FFD" w:rsidR="006E33A8">
        <w:t>»</w:t>
      </w:r>
      <w:r w:rsidRPr="004A7FFD">
        <w:t>)</w:t>
      </w:r>
      <w:r>
        <w:rPr>
          <w:noProof/>
          <w:vertAlign w:val="superscript"/>
        </w:rPr>
        <w:footnoteReference w:id="4"/>
      </w:r>
      <w:r w:rsidRPr="004A7FFD">
        <w:t>, όπως τροποποιήθηκε με τον κανονισμό (ΕΕ, Ευρατόμ) 2024/765</w:t>
      </w:r>
      <w:r>
        <w:rPr>
          <w:noProof/>
          <w:vertAlign w:val="superscript"/>
        </w:rPr>
        <w:footnoteReference w:id="5"/>
      </w:r>
      <w:r w:rsidRPr="004A7FFD">
        <w:t>, και ιδίως το άρθρο 8,</w:t>
      </w:r>
    </w:p>
    <w:p w:rsidR="00DD1087" w:rsidRPr="004A7FFD" w:rsidP="006E33A8" w14:paraId="0BA27745" w14:textId="49AA2F7B">
      <w:pPr>
        <w:pStyle w:val="NormalHanging12a"/>
        <w:widowControl/>
        <w:rPr>
          <w:noProof/>
        </w:rPr>
      </w:pPr>
      <w:r w:rsidRPr="004A7FFD">
        <w:t>–</w:t>
      </w:r>
      <w:r w:rsidRPr="004A7FFD">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w:t>
      </w:r>
      <w:r w:rsidRPr="004A7FFD">
        <w:t>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Pr>
          <w:rStyle w:val="FootnoteReference"/>
          <w:noProof/>
        </w:rPr>
        <w:footnoteReference w:id="6"/>
      </w:r>
      <w:r w:rsidRPr="004A7FFD">
        <w:t>, και ιδίως το σημείο 9,</w:t>
      </w:r>
    </w:p>
    <w:p w:rsidR="00DD1087" w:rsidRPr="004A7FFD" w:rsidP="006E33A8" w14:paraId="72C636A1" w14:textId="77777777">
      <w:pPr>
        <w:pStyle w:val="NormalHanging12a"/>
        <w:widowControl/>
      </w:pPr>
      <w:r w:rsidRPr="004A7FFD">
        <w:t>–</w:t>
      </w:r>
      <w:r w:rsidRPr="004A7FFD">
        <w:tab/>
        <w:t>έχοντας υπόψη τον ευρωπαϊκό πυλώνα κοινωνικών δικαιωμάτων,</w:t>
      </w:r>
    </w:p>
    <w:p w:rsidR="00DD1087" w:rsidRPr="004A7FFD" w:rsidP="006E33A8" w14:paraId="392AB0E8" w14:textId="77777777">
      <w:pPr>
        <w:pStyle w:val="NormalHanging12a"/>
        <w:widowControl/>
      </w:pPr>
      <w:r w:rsidRPr="004A7FFD">
        <w:t>–</w:t>
      </w:r>
      <w:r w:rsidRPr="004A7FFD">
        <w:tab/>
        <w:t>έχοντας υπόψη την επιστολή της Επιτροπής Απασχόλησης και Κοινωνικών Υποθέσεων,</w:t>
      </w:r>
    </w:p>
    <w:p w:rsidR="00DD1087" w:rsidRPr="004A7FFD" w:rsidP="006E33A8" w14:paraId="35D175D8" w14:textId="77777777">
      <w:pPr>
        <w:pStyle w:val="NormalHanging12a"/>
        <w:widowControl/>
      </w:pPr>
      <w:r w:rsidRPr="004A7FFD">
        <w:t>–</w:t>
      </w:r>
      <w:r w:rsidRPr="004A7FFD">
        <w:tab/>
        <w:t>έχοντας υπόψη την έκθεση της Επιτροπής Προϋπολογισμών (A10-0149/2026),</w:t>
      </w:r>
    </w:p>
    <w:p w:rsidR="00DD1087" w:rsidRPr="004A7FFD" w:rsidP="006E33A8" w14:paraId="3FA2B6D6" w14:textId="77777777">
      <w:pPr>
        <w:pStyle w:val="NormalHanging12a"/>
        <w:widowControl/>
      </w:pPr>
      <w:r w:rsidRPr="004A7FFD">
        <w:t>Α.</w:t>
      </w:r>
      <w:r w:rsidRPr="004A7FFD">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εργαζομένους· λαμβάνοντας υπόψη ότι η διατήρηση της ανταγωνιστικότητας της ευρωπαϊκής βιομηχανίας και η ενίσχυση των επενδύσεων στην καινοτομία και τις δεξιότητες είναι ουσιαστικής σημασίας για την πρόληψη της περαιτέρω βιομηχανικής παρακμής και της απώλειας θέσεων εργασίας σε ολόκληρη την Ένωση·</w:t>
      </w:r>
    </w:p>
    <w:p w:rsidR="00DD1087" w:rsidRPr="004A7FFD" w:rsidP="006E33A8" w14:paraId="604D01A3" w14:textId="77777777">
      <w:pPr>
        <w:pStyle w:val="NormalHanging12a"/>
        <w:widowControl/>
      </w:pPr>
      <w:r w:rsidRPr="004A7FFD">
        <w:t>Β.</w:t>
      </w:r>
      <w:r w:rsidRPr="004A7FFD">
        <w:tab/>
        <w:t>λαμβάνοντας υπόψη ότι το Βέλγιο υπέβαλε την αίτηση EGF/2025/009 BE/</w:t>
      </w:r>
      <w:r w:rsidRPr="004A7FFD">
        <w:t>Soliver</w:t>
      </w:r>
      <w:r w:rsidRPr="004A7FFD">
        <w:t xml:space="preserve"> για χρηματοδοτική συνεισφορά από το ΕΤΠ μετά από 803 απολύσεις</w:t>
      </w:r>
      <w:r>
        <w:rPr>
          <w:vertAlign w:val="superscript"/>
        </w:rPr>
        <w:footnoteReference w:id="7"/>
      </w:r>
      <w:r w:rsidRPr="004A7FFD">
        <w:t xml:space="preserve"> στη </w:t>
      </w:r>
      <w:r w:rsidRPr="004A7FFD">
        <w:t>Soliver</w:t>
      </w:r>
      <w:r w:rsidRPr="004A7FFD">
        <w:t xml:space="preserve"> NV (</w:t>
      </w:r>
      <w:r w:rsidRPr="004A7FFD">
        <w:t>Soliver</w:t>
      </w:r>
      <w:r w:rsidRPr="004A7FFD">
        <w:t xml:space="preserve">) στο Βέλγιο, στον οικονομικό τομέα που ταξινομείται σύμφωνα με τη NACE </w:t>
      </w:r>
      <w:r w:rsidRPr="004A7FFD">
        <w:t>αναθ</w:t>
      </w:r>
      <w:r w:rsidRPr="004A7FFD">
        <w:t xml:space="preserve">. 2 στον κλάδο 46 (Χονδρικό εμπόριο) στις περιφέρειες </w:t>
      </w:r>
      <w:r w:rsidRPr="004A7FFD">
        <w:t>Provincie</w:t>
      </w:r>
      <w:r w:rsidRPr="004A7FFD">
        <w:t xml:space="preserve"> </w:t>
      </w:r>
      <w:r w:rsidRPr="004A7FFD">
        <w:t>Oost-Vlaanderen</w:t>
      </w:r>
      <w:r w:rsidRPr="004A7FFD">
        <w:t xml:space="preserve"> (BE23) και </w:t>
      </w:r>
      <w:r w:rsidRPr="004A7FFD">
        <w:t>Provincie</w:t>
      </w:r>
      <w:r w:rsidRPr="004A7FFD">
        <w:t xml:space="preserve"> </w:t>
      </w:r>
      <w:r w:rsidRPr="004A7FFD">
        <w:t>West-Vlaanderen</w:t>
      </w:r>
      <w:r w:rsidRPr="004A7FFD">
        <w:t xml:space="preserve"> (BE25), στη Φλάνδρα, εντός περιόδου αναφοράς από την 1η Ιουλίου 2025 έως την 1η Νοεμβρίου 2025·</w:t>
      </w:r>
    </w:p>
    <w:p w:rsidR="00DD1087" w:rsidRPr="004A7FFD" w:rsidP="006E33A8" w14:paraId="0544B883" w14:textId="77777777">
      <w:pPr>
        <w:pStyle w:val="NormalHanging12a"/>
        <w:widowControl/>
      </w:pPr>
      <w:r w:rsidRPr="004A7FFD">
        <w:t>Γ.</w:t>
      </w:r>
      <w:r w:rsidRPr="004A7FFD">
        <w:tab/>
        <w:t>λαμβάνοντας υπόψη ότι η αίτηση βασίζεται στα κριτήρια παρέμβασης που προβλέπονται στο άρθρο 4 παράγραφος 2 στοιχείο α) του κανονισμού ΕΤΠ·</w:t>
      </w:r>
    </w:p>
    <w:p w:rsidR="00DD1087" w:rsidRPr="004A7FFD" w:rsidP="006E33A8" w14:paraId="38673B74" w14:textId="77777777">
      <w:pPr>
        <w:pStyle w:val="NormalHanging12a"/>
        <w:widowControl/>
        <w:rPr>
          <w:noProof/>
        </w:rPr>
      </w:pPr>
      <w:r w:rsidRPr="004A7FFD">
        <w:t>Δ.</w:t>
      </w:r>
      <w:r w:rsidRPr="004A7FFD">
        <w:tab/>
        <w:t xml:space="preserve">λαμβάνοντας υπόψη ότι η </w:t>
      </w:r>
      <w:r w:rsidRPr="004A7FFD">
        <w:t>Soliver</w:t>
      </w:r>
      <w:r w:rsidRPr="004A7FFD">
        <w:t xml:space="preserve"> υπέβαλε αίτηση πτώχευσης τον Δεκέμβριο του 2024· λαμβάνοντας υπόψη ότι, από το 2022, οι πτωχεύσεις αυξάνονται στο Βέλγιο και ότι η ανεργία πλήττει σοβαρά αρκετές περιφέρειες της Φλάνδρας·</w:t>
      </w:r>
    </w:p>
    <w:p w:rsidR="00DD1087" w:rsidRPr="004A7FFD" w:rsidP="006E33A8" w14:paraId="6B609E04" w14:textId="77777777">
      <w:pPr>
        <w:pStyle w:val="NormalHanging12a"/>
        <w:widowControl/>
        <w:rPr>
          <w:bCs/>
          <w:iCs/>
          <w:noProof/>
        </w:rPr>
      </w:pPr>
      <w:r w:rsidRPr="004A7FFD">
        <w:t>Ε.</w:t>
      </w:r>
      <w:r w:rsidRPr="004A7FFD">
        <w:tab/>
        <w:t xml:space="preserve">λαμβάνοντας υπόψη ότι το εργατικό δυναμικό που επηρεάζεται από το κλείσιμο της </w:t>
      </w:r>
      <w:r w:rsidRPr="004A7FFD">
        <w:t>Soliver</w:t>
      </w:r>
      <w:r w:rsidRPr="004A7FFD">
        <w:t xml:space="preserve"> περιλαμβάνει σημαντικό ποσοστό εργαζομένων μεγαλύτερης ηλικίας, οι οποίοι αντιμετωπίζουν συγκεκριμένα και σύνθετα εμπόδια στην επανένταξη στην αγορά εργασίας, συμπεριλαμβανομένων των διακρίσεων λόγω ηλικίας, της αναντιστοιχίας δεξιοτήτων και της περιορισμένης πρόσβασης σε ευκαιρίες </w:t>
      </w:r>
      <w:r w:rsidRPr="004A7FFD">
        <w:t>επανακατάρτισης</w:t>
      </w:r>
      <w:r w:rsidRPr="004A7FFD">
        <w:t>· λαμβάνοντας υπόψη ότι πρέπει να τεθούν σε εφαρμογή στοχευμένα μέτρα για την αντιμετώπιση των ειδικών αναγκών των εργαζομένων μεγαλύτερης ηλικίας, συμπεριλαμβανομένων κατάλληλων για την ηλικία μορφών κατάρτισης, καθοδήγησης και συνεργασίας με εργοδότες που δεσμεύονται για προσλήψεις ατόμων διαφόρων ηλικιών·</w:t>
      </w:r>
    </w:p>
    <w:p w:rsidR="00DD1087" w:rsidRPr="004A7FFD" w:rsidP="006E33A8" w14:paraId="749AE73A" w14:textId="77777777">
      <w:pPr>
        <w:pStyle w:val="NormalHanging12a"/>
        <w:widowControl/>
      </w:pPr>
      <w:r w:rsidRPr="004A7FFD">
        <w:t>ΣΤ.</w:t>
      </w:r>
      <w:r w:rsidRPr="004A7FFD">
        <w:tab/>
        <w:t>λαμβάνοντας υπόψη ότι η VDAB παρέχει την εθνική προχρηματοδότηση και συγχρηματοδότηση των μέτρων·</w:t>
      </w:r>
    </w:p>
    <w:p w:rsidR="00DD1087" w:rsidRPr="004A7FFD" w:rsidP="006E33A8" w14:paraId="75A58BEF" w14:textId="77777777">
      <w:pPr>
        <w:pStyle w:val="NormalHanging12a"/>
        <w:widowControl/>
      </w:pPr>
      <w:r w:rsidRPr="004A7FFD">
        <w:t>Ζ.</w:t>
      </w:r>
      <w:r w:rsidRPr="004A7FFD">
        <w:tab/>
        <w:t>λαμβάνοντας υπόψη ότι έχουν εκπληρωθεί οι απαιτήσεις που καθορίζονται στη νομοθεσία της Ένωσης και στην εθνική νομοθεσία όσον αφορά τις ομαδικές απολύσεις·</w:t>
      </w:r>
    </w:p>
    <w:p w:rsidR="00DD1087" w:rsidRPr="004A7FFD" w:rsidP="006E33A8" w14:paraId="6AF6575E" w14:textId="77777777">
      <w:pPr>
        <w:pStyle w:val="NormalHanging12a"/>
        <w:widowControl/>
      </w:pPr>
      <w:r w:rsidRPr="004A7FFD">
        <w:t>Η.</w:t>
      </w:r>
      <w:r w:rsidRPr="004A7FFD">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επανένταξη των δικαιούχων στην αγορά εργασίας για μεγάλη διάρκεια και υπό συνθήκες ποιοτικής απασχόλησης, προσφέροντάς τους κατάρτιση σε δεξιότητες προκειμένου να διευκολυνθεί η επανένταξή τους στην αγορά εργασίας·</w:t>
      </w:r>
    </w:p>
    <w:p w:rsidR="00DD1087" w:rsidRPr="004A7FFD" w:rsidP="006E33A8" w14:paraId="0782A19F" w14:textId="77777777">
      <w:pPr>
        <w:pStyle w:val="NormalHanging12a"/>
        <w:widowControl/>
      </w:pPr>
      <w:r w:rsidRPr="004A7FFD">
        <w:t>Θ.</w:t>
      </w:r>
      <w:r w:rsidRPr="004A7FFD">
        <w:tab/>
        <w:t>λαμβάνοντας υπόψη ότι το ΕΤΠ δεν υπερβαίνει το μέγιστο ετήσιο ποσό των 30 εκατομμυρίων EUR (σε τιμές 2018)</w:t>
      </w:r>
      <w:r>
        <w:rPr>
          <w:rStyle w:val="FootnoteReference"/>
        </w:rPr>
        <w:footnoteReference w:id="8"/>
      </w:r>
      <w:r w:rsidRPr="004A7FFD">
        <w:t>·</w:t>
      </w:r>
    </w:p>
    <w:p w:rsidR="00DD1087" w:rsidRPr="004A7FFD" w:rsidP="004A7FFD" w14:paraId="397EF69A" w14:textId="1D754244">
      <w:pPr>
        <w:pStyle w:val="NormalHanging12a"/>
        <w:widowControl/>
        <w:ind w:left="570" w:hanging="570"/>
      </w:pPr>
      <w:r w:rsidRPr="004A7FFD">
        <w:t>1.</w:t>
      </w:r>
      <w:r w:rsidRPr="004A7FFD">
        <w:tab/>
      </w:r>
      <w:r w:rsidRPr="004A7FFD">
        <w:t>συμφωνεί με την Επιτροπή ότι πληρούνται οι προϋποθέσεις που ορίζονται στον κανονισμό ΕΤΠ, και ιδίως στο άρθρο 4 παράγραφος 2 στοιχείο α) του εν λόγω κανονισμού, και ότι το Βέλγιο δικαιούται, δυνάμει του εν λόγω κανονισμού, να λάβει χρηματοδοτική συνεισφορά ύψους 2 132 535 EUR, ποσό που αντιστοιχεί στο 85 % των συνολικών δαπανών ύψους 2 508 865 EUR, στο οποίο περιλαμβάνονται δαπάνες για εξατομικευμένες υπηρεσίες ύψους 2 412 465 EUR και δαπάνες για δραστηριότητες προετοιμασίας, διαχείρισης, ενημέρωσης και δημοσιότητας, ελέγχου και υποβολής εκθέσεων ύψους 96 400 EUR·</w:t>
      </w:r>
    </w:p>
    <w:p w:rsidR="00DD1087" w:rsidRPr="004A7FFD" w:rsidP="004A7FFD" w14:paraId="56C7415E" w14:textId="75ECEE0C">
      <w:pPr>
        <w:pStyle w:val="NormalHanging12a"/>
        <w:widowControl/>
        <w:ind w:left="570" w:hanging="570"/>
      </w:pPr>
      <w:r w:rsidRPr="004A7FFD">
        <w:t>2.</w:t>
      </w:r>
      <w:r w:rsidRPr="004A7FFD">
        <w:tab/>
      </w:r>
      <w:r w:rsidRPr="004A7FFD">
        <w:t>σημειώνει ότι οι βελγικές αρχές υπέβαλαν την αίτηση στις 22 Δεκεμβρίου 2025 και ότι, μετά τη λήψη πρόσθετων πληροφοριών από το Βέλγιο, η Επιτροπή ολοκλήρωσε την αξιολόγησή της στις 30 Απριλίου 2026, σχεδόν έναν μήνα πριν από την προθεσμία, και τη διαβίβασε στο Κοινοβούλιο την ίδια ημέρα· τονίζει ότι είναι σημαντικό να μειωθεί το χρονικό διάστημα μεταξύ της υποβολής αίτησης για ενίσχυση από το ΕΤΠ και της απόφασης χρηματοδότησης, παράλληλα με την πλήρη διασφάλιση των δικαιωμάτων του Ευρωπαϊκού Κοινοβουλίου ως ενός από τα σκέλη της αρμόδιας για τον προϋπολογισμό αρχής·</w:t>
      </w:r>
    </w:p>
    <w:p w:rsidR="00DD1087" w:rsidRPr="004A7FFD" w:rsidP="004A7FFD" w14:paraId="3523A1AB" w14:textId="1B8FC7B3">
      <w:pPr>
        <w:pStyle w:val="NormalHanging12a"/>
        <w:widowControl/>
        <w:ind w:left="570" w:hanging="570"/>
        <w:rPr>
          <w:noProof/>
        </w:rPr>
      </w:pPr>
      <w:r w:rsidRPr="004A7FFD">
        <w:rPr>
          <w:noProof/>
        </w:rPr>
        <w:t>3.</w:t>
      </w:r>
      <w:r w:rsidRPr="004A7FFD">
        <w:rPr>
          <w:noProof/>
        </w:rPr>
        <w:tab/>
      </w:r>
      <w:r w:rsidRPr="004A7FFD">
        <w:t xml:space="preserve">σημειώνει ότι η αίτηση αφορά 803 στοχευόμενους δικαιούχους που απολύθηκαν από την εταιρεία </w:t>
      </w:r>
      <w:r w:rsidRPr="004A7FFD">
        <w:t>Soliver</w:t>
      </w:r>
      <w:r w:rsidRPr="004A7FFD">
        <w:t>·</w:t>
      </w:r>
    </w:p>
    <w:p w:rsidR="00DD1087" w:rsidRPr="004A7FFD" w:rsidP="004A7FFD" w14:paraId="32FDF3E4" w14:textId="6165DB02">
      <w:pPr>
        <w:pStyle w:val="NormalHanging12a"/>
        <w:widowControl/>
        <w:ind w:left="570" w:hanging="570"/>
      </w:pPr>
      <w:r w:rsidRPr="004A7FFD">
        <w:t>4.</w:t>
      </w:r>
      <w:r w:rsidRPr="004A7FFD">
        <w:tab/>
      </w:r>
      <w:r w:rsidRPr="004A7FFD">
        <w:t xml:space="preserve">σημειώνει ότι η </w:t>
      </w:r>
      <w:r w:rsidRPr="004A7FFD">
        <w:t>Soliver</w:t>
      </w:r>
      <w:r w:rsidRPr="004A7FFD">
        <w:t xml:space="preserve">, η οποία κατασκεύαζε προϊόντα από γυαλί για τον κατασκευαστικό τομέα και τον τομέα της αυτοκινητοβιομηχανίας, στράφηκε αποκλειστικά προς την παραγωγή κρυστάλλων αυτοκινήτων υψηλής τεχνολογίας μετά την εξαγορά της από την American </w:t>
      </w:r>
      <w:r w:rsidRPr="004A7FFD">
        <w:t>Glass</w:t>
      </w:r>
      <w:r w:rsidRPr="004A7FFD">
        <w:t xml:space="preserve"> </w:t>
      </w:r>
      <w:r w:rsidRPr="004A7FFD">
        <w:t>Products</w:t>
      </w:r>
      <w:r w:rsidRPr="004A7FFD">
        <w:t xml:space="preserve"> </w:t>
      </w:r>
      <w:r w:rsidRPr="004A7FFD">
        <w:t>Holding</w:t>
      </w:r>
      <w:r w:rsidRPr="004A7FFD">
        <w:t xml:space="preserve"> (AGP) το 2018· σημειώνει ότι η εταιρεία άρχισε να αντιμετωπίζει δυσκολίες που συνδέονταν κυρίως με την ύφεση στον τομέα της αυτοκινητοβιομηχανίας, λόγω της καθυστερημένης παραγωγής μοντέλων αυτοκινήτων για τα οποία προορίζονταν τα προϊόντα της, και οι οποίες τελικά οδήγησαν σε σοβαρή μείωση της κερδοφορίας και κατέληξαν σωρευτικά σε πτώχευση·</w:t>
      </w:r>
    </w:p>
    <w:p w:rsidR="00DD1087" w:rsidRPr="004A7FFD" w:rsidP="004A7FFD" w14:paraId="53823257" w14:textId="577C94D0">
      <w:pPr>
        <w:pStyle w:val="NormalHanging12a"/>
        <w:widowControl/>
        <w:ind w:left="570" w:hanging="570"/>
        <w:rPr>
          <w:bCs/>
          <w:iCs/>
        </w:rPr>
      </w:pPr>
      <w:r w:rsidRPr="004A7FFD">
        <w:rPr>
          <w:bCs/>
          <w:iCs/>
        </w:rPr>
        <w:t>5.</w:t>
      </w:r>
      <w:r w:rsidRPr="004A7FFD">
        <w:rPr>
          <w:bCs/>
          <w:iCs/>
        </w:rPr>
        <w:tab/>
      </w:r>
      <w:r w:rsidRPr="004A7FFD">
        <w:t xml:space="preserve">σημειώνει ότι η υαλουργία είναι </w:t>
      </w:r>
      <w:r w:rsidRPr="004A7FFD">
        <w:t>ενεργοβόρος</w:t>
      </w:r>
      <w:r w:rsidRPr="004A7FFD">
        <w:t xml:space="preserve"> τομέας και έχει πληγεί σοβαρά από τις σταθερά υψηλές τιμές της ενέργειας, οι οποίες έχουν υπονομεύσει σημαντικά την </w:t>
      </w:r>
      <w:r w:rsidRPr="004A7FFD">
        <w:t>ανταγωνιστικότητά της· τονίζει ότι η επίτευξη ανταγωνιστικών τιμών ενέργειας μακροπρόθεσμα απαιτεί σημαντική αύξηση του αξιόπιστου και οικονομικά προσιτού ενεργειακού εφοδιασμού, μεταξύ άλλων μέσω της διαφοροποίησης των πηγών ενέργειας και των οδών εφοδιασμού, της ανάπτυξης της εγχώριας παραγωγής ενέργειας και της πλήρους ολοκλήρωσης της Ενεργειακής Ένωσης·</w:t>
      </w:r>
    </w:p>
    <w:p w:rsidR="00DD1087" w:rsidRPr="004A7FFD" w:rsidP="004A7FFD" w14:paraId="44D21C81" w14:textId="1B8BA66E">
      <w:pPr>
        <w:pStyle w:val="NormalHanging12a"/>
        <w:widowControl/>
        <w:ind w:left="570" w:hanging="570"/>
        <w:rPr>
          <w:bCs/>
          <w:iCs/>
        </w:rPr>
      </w:pPr>
      <w:r w:rsidRPr="004A7FFD">
        <w:rPr>
          <w:bCs/>
          <w:iCs/>
        </w:rPr>
        <w:t>6.</w:t>
      </w:r>
      <w:r w:rsidRPr="004A7FFD">
        <w:rPr>
          <w:bCs/>
          <w:iCs/>
        </w:rPr>
        <w:tab/>
      </w:r>
      <w:r w:rsidRPr="004A7FFD">
        <w:t xml:space="preserve">σημειώνει ότι, ενώ οι εργαζόμενοι με τεχνική εξειδίκευση ή όσοι επιθυμούν να </w:t>
      </w:r>
      <w:r w:rsidRPr="004A7FFD">
        <w:t>επανειδικευτούν</w:t>
      </w:r>
      <w:r w:rsidRPr="004A7FFD">
        <w:t xml:space="preserve"> έχουν τις ευνοϊκότερες προοπτικές απασχόλησης, τούτο οφείλεται στην έλλειψη τεχνιτών, η οποία πηγάζει από τη χαμηλή συμμετοχή των νέων στην επαγγελματική κατάρτιση και από τη γήρανση του εργατικού δυναμικού· τονίζει ότι η επανένταξη των απολυμένων εργαζομένων και η εξασφάλιση ισότιμης πρόσβασης σε ευκαιρίες κατάρτισης υψηλής ποιότητας είναι καίριας σημασίας για μια ανθεκτική στις μελλοντικές εξελίξεις ευρωπαϊκή οικονομία με ισχυρή βιομηχανική βάση· υπογραμμίζει τη σημασία της ενίσχυσης της βιομηχανικής ανταγωνιστικότητας της Ένωσης στο πλαίσιο αυτό·</w:t>
      </w:r>
    </w:p>
    <w:p w:rsidR="00DD1087" w:rsidRPr="004A7FFD" w:rsidP="004A7FFD" w14:paraId="4B9C6617" w14:textId="6F72A0B1">
      <w:pPr>
        <w:pStyle w:val="NormalHanging12a"/>
        <w:widowControl/>
        <w:ind w:left="570" w:hanging="570"/>
        <w:rPr>
          <w:noProof/>
        </w:rPr>
      </w:pPr>
      <w:r w:rsidRPr="004A7FFD">
        <w:rPr>
          <w:noProof/>
        </w:rPr>
        <w:t>7.</w:t>
      </w:r>
      <w:r w:rsidRPr="004A7FFD">
        <w:rPr>
          <w:noProof/>
        </w:rPr>
        <w:tab/>
      </w:r>
      <w:r w:rsidRPr="004A7FFD">
        <w:t>εκφράζει τη λύπη του για το γεγονός ότι η αύξηση των πτωχεύσεων τα τελευταία έτη είχε αρνητικό αντίκτυπο στο ποσοστό απασχόλησης σε ορισμένες περιφέρειες του Βελγίου, ιδίως στη Φλάνδρα· τονίζει ότι στη Φλάνδρα οι εργαζόμενοι μεγαλύτερης ηλικίας που απολύονται αντιμετωπίζουν μεγαλύτερα εμπόδια στην επανένταξή τους στην αγορά εργασίας· καλεί τις βελγικές αρχές να παράσχουν ειδική στήριξη προσαρμοσμένη με τρόπο ώστε να υποστηριχθούν οι εργαζόμενοι για να αναπτύξουν περαιτέρω τις αναγκαίες δεξιότητες και να βρουν νέες ποιοτικές θέσεις εργασίας, λαμβάνοντας παράλληλα μέτρα για τη μείωση των πτωχεύσεων και την αντιμετώπιση των κοινωνικών ανισοτήτων που οδηγούν στον αποκλεισμό του εργατικού δυναμικού·</w:t>
      </w:r>
    </w:p>
    <w:p w:rsidR="00DD1087" w:rsidRPr="004A7FFD" w:rsidP="004A7FFD" w14:paraId="4A056968" w14:textId="3F3F0369">
      <w:pPr>
        <w:pStyle w:val="NormalHanging12a"/>
        <w:widowControl/>
        <w:ind w:left="570" w:hanging="570"/>
      </w:pPr>
      <w:r w:rsidRPr="004A7FFD">
        <w:t>8.</w:t>
      </w:r>
      <w:r w:rsidRPr="004A7FFD">
        <w:tab/>
      </w:r>
      <w:r w:rsidRPr="004A7FFD">
        <w:t xml:space="preserve">υπενθυμίζει ότι, σε συμφωνία με ειδικούς και τους κοινωνικούς εταίρους, οι εξατομικευμένες υπηρεσίες που πρέπει να παρέχονται στους εργαζόμενους συνίστανται στα ακόλουθα μέτρα: ειδική ομάδα έμπειρων συμβούλων και διαχειριστών λογαριασμών, η οποία παρέχει εξατομικευμένες συμβουλευτικές υπηρεσίες· υπηρεσίες επανατοποθέτησης στην αγορά εργασίας που παρέχουν εξατομικευμένη καθοδήγηση· βοήθεια για την εύρεση εργασίας· ενισχυμένη βοήθεια για την αναζήτηση εργασίας· κατάρτιση και </w:t>
      </w:r>
      <w:r w:rsidRPr="004A7FFD">
        <w:t>επανακατάρτιση</w:t>
      </w:r>
      <w:r w:rsidRPr="004A7FFD">
        <w:t xml:space="preserve">, συμπεριλαμβανομένης της κατάρτισης στον χώρο εργασίας· συμμετοχή σε ημερίδες απασχόλησης· τονίζει ότι είναι σημαντικό να προωθούνται ποιοτικές, </w:t>
      </w:r>
      <w:r w:rsidRPr="004A7FFD">
        <w:t>μελλοντοστρεφείς</w:t>
      </w:r>
      <w:r w:rsidRPr="004A7FFD">
        <w:t xml:space="preserve"> θέσεις εργασίας που να ενισχύουν τη ανταγωνιστικότητα και να στηρίζουν τον ψηφιακό μετασχηματισμό·</w:t>
      </w:r>
    </w:p>
    <w:p w:rsidR="00DD1087" w:rsidRPr="004A7FFD" w:rsidP="004A7FFD" w14:paraId="4CA98795" w14:textId="43340F62">
      <w:pPr>
        <w:pStyle w:val="NormalHanging12a"/>
        <w:widowControl/>
        <w:ind w:left="570" w:hanging="570"/>
      </w:pPr>
      <w:r w:rsidRPr="004A7FFD">
        <w:t>9.</w:t>
      </w:r>
      <w:r w:rsidRPr="004A7FFD">
        <w:tab/>
      </w:r>
      <w:r w:rsidRPr="004A7FFD">
        <w:t xml:space="preserve">υπενθυμίζει ότι το ΕΤΠ αποτελεί μέσο αλληλεγγύης και δίκαιης μετάβασης και, ενώ παρέχει στήριξη μετά την απώλεια θέσεων εργασίας, δεν μπορεί να αντικαταστήσει μια προορατική βιομηχανική πολιτική· θεωρεί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τονίζει ότι πρωταρχικό καθήκον της Ένωσης πρέπει να είναι να προλαμβάνεται εξαρχής το κλείσιμο τέτοιων επιχειρήσεων με τη δημιουργία των συνθηκών που θα διατηρήσουν τη βιομηχανική παραγωγή ανταγωνιστική και τα συστήματα κοινωνικής ασφάλισης οικονομικά βιώσιμα, επενδύοντας παράλληλα σε δεξιότητες τόσο για τους εργαζομένους υψηλής ειδίκευσης όσο και για τους εργαζομένους στη βιομηχανία· τονίζει την ανάγκη να παρασχεθεί ειδική στήριξη προσαρμοσμένη σε αυτά τα προφίλ εργαζομένων με χαμηλό επίπεδο εκπαίδευσης και, παράλληλα, να ληφθούν μέτρα για τη μείωση των πτωχεύσεων και την αντιμετώπιση των κοινωνικών ανισοτήτων που οδηγούν στον </w:t>
      </w:r>
      <w:r w:rsidRPr="004A7FFD">
        <w:t>αποκλεισμό από την αγορά εργασίας· υπογραμμίζει ότι η μείωση του περιττού κανονιστικού και διοικητικού φόρτου είναι απαραίτητη για τη στήριξη της βιομηχανικής ανταγωνιστικότητας, την προσέλκυση επενδύσεων και τη διατήρηση ποιοτικών θέσεων εργασίας στην Ένωση·</w:t>
      </w:r>
    </w:p>
    <w:p w:rsidR="00DD1087" w:rsidRPr="004A7FFD" w:rsidP="004A7FFD" w14:paraId="1EC33FF0" w14:textId="26025999">
      <w:pPr>
        <w:pStyle w:val="NormalHanging12a"/>
        <w:widowControl/>
        <w:ind w:left="570" w:hanging="570"/>
        <w:rPr>
          <w:bCs/>
          <w:iCs/>
        </w:rPr>
      </w:pPr>
      <w:r w:rsidRPr="004A7FFD">
        <w:rPr>
          <w:bCs/>
          <w:iCs/>
        </w:rPr>
        <w:t>10.</w:t>
      </w:r>
      <w:r w:rsidRPr="004A7FFD">
        <w:rPr>
          <w:bCs/>
          <w:iCs/>
        </w:rPr>
        <w:tab/>
      </w:r>
      <w:r w:rsidRPr="004A7FFD">
        <w:t>υπογραμμίζει ότι οι βελγικές αρχές πρέπει να διασφαλίζουν την προβολή της ενωσιακής χρηματοδότησης και να τονίζουν την προστιθέμενη αξία της, παρέχοντας αποτελεσματική και στοχευμένη ενημέρωση στους δικαιούχους, στις περιφερειακές και τοπικές αρχές, στους κοινωνικούς εταίρους και στο ευρύτερο κοινό·</w:t>
      </w:r>
    </w:p>
    <w:p w:rsidR="00DD1087" w:rsidRPr="004A7FFD" w:rsidP="004A7FFD" w14:paraId="4378A7BD" w14:textId="2E1991FD">
      <w:pPr>
        <w:pStyle w:val="NormalHanging12a"/>
        <w:widowControl/>
        <w:ind w:left="570" w:hanging="570"/>
      </w:pPr>
      <w:r w:rsidRPr="004A7FFD">
        <w:t>11.</w:t>
      </w:r>
      <w:r w:rsidRPr="004A7FFD">
        <w:tab/>
      </w:r>
      <w:r w:rsidRPr="004A7FFD">
        <w:t>καλεί την Επιτροπή να διασφαλίσει την ισότιμη προβολή του μέσου σε όλα τα κράτη μέλη και να προωθήσει την προστιθέμενη αξία του μέσω της διάδοσης στοχευμένων πληροφοριών στις εθνικές αρχές, οι οποίες θα πρέπει να διαβιβάζουν περαιτέρω τις πληροφορίες αυτές στις εταιρείες που πλήττονται από απολύσεις, στις περιφερειακές και τοπικές αρχές, στους κοινωνικούς εταίρους και στο ευρύτερο κοινό·</w:t>
      </w:r>
    </w:p>
    <w:p w:rsidR="00DD1087" w:rsidRPr="004A7FFD" w:rsidP="004A7FFD" w14:paraId="06C7D76E" w14:textId="68C6CFAA">
      <w:pPr>
        <w:pStyle w:val="NormalHanging12a"/>
        <w:widowControl/>
        <w:ind w:left="570" w:hanging="570"/>
        <w:rPr>
          <w:bCs/>
          <w:iCs/>
        </w:rPr>
      </w:pPr>
      <w:r w:rsidRPr="004A7FFD">
        <w:rPr>
          <w:bCs/>
          <w:iCs/>
        </w:rPr>
        <w:t>12.</w:t>
      </w:r>
      <w:r w:rsidRPr="004A7FFD">
        <w:rPr>
          <w:bCs/>
          <w:iCs/>
        </w:rPr>
        <w:tab/>
      </w:r>
      <w:r w:rsidRPr="004A7FFD">
        <w:t>ζητεί να διενεργηθούν από κοινού με τους κοινωνικούς εταίρους ενδελεχείς τελικές αξιολογήσεις των μέτρων που εφαρμόστηκαν, οι οποίες να περιλαμβάνουν σαφείς και διαφανείς πληροφορίες σχετικά με τον τρόπο με τον οποίο χρησιμοποιήθηκαν τα κονδύλια, της επανένταξης των εργαζομένων στην αγορά εργασίας και του βαθμού στον οποίο επιτεύχθηκαν οι στόχοι του ΕΤΠ· τονίζει, στο πλαίσιο αυτό, τη σημασία της τακτικής παρακολούθησης των μέτρων που χρηματοδοτήθηκαν από το ΕΤΠ, προκειμένου να αξιολογείται η αποτελεσματικότητά τους·</w:t>
      </w:r>
    </w:p>
    <w:p w:rsidR="00DD1087" w:rsidRPr="004A7FFD" w:rsidP="004A7FFD" w14:paraId="3BA03B4D" w14:textId="77112BB6">
      <w:pPr>
        <w:pStyle w:val="NormalHanging12a"/>
        <w:widowControl/>
        <w:ind w:left="570" w:hanging="570"/>
      </w:pPr>
      <w:r w:rsidRPr="004A7FFD">
        <w:t>13.</w:t>
      </w:r>
      <w:r w:rsidRPr="004A7FFD">
        <w:tab/>
      </w:r>
      <w:r w:rsidRPr="004A7FFD">
        <w:t>σημειώνει ότι το Βέλγιο άρχισε τόσο να παρέχει εξατομικευμένες υπηρεσίες στους στοχευόμενους δικαιούχους όσο και να πραγματοποιεί διοικητικές δαπάνες για την εφαρμογή του ΕΤΠ στις 11 Ιουνίου 2025 και, συνεπώς, η περίοδος επιλεξιμότητας για τη λήψη χρηματοδοτικής συνεισφοράς από το ΕΤΠ θα διαρκέσει από την ημερομηνία αυτή έως και 24 μήνες και έως και 31 μήνες μετά την ημερομηνία έναρξης ισχύος της απόφασης χρηματοδότησης, αντίστοιχα·</w:t>
      </w:r>
    </w:p>
    <w:p w:rsidR="00DD1087" w:rsidRPr="004A7FFD" w:rsidP="004A7FFD" w14:paraId="0D0FD67D" w14:textId="27335358">
      <w:pPr>
        <w:pStyle w:val="NormalHanging12a"/>
        <w:widowControl/>
        <w:ind w:left="570" w:hanging="570"/>
      </w:pPr>
      <w:r w:rsidRPr="004A7FFD">
        <w:t>14.</w:t>
      </w:r>
      <w:r w:rsidRPr="004A7FFD">
        <w:tab/>
      </w:r>
      <w:r w:rsidRPr="004A7FFD">
        <w:t>σημειώνει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rsidR="00DD1087" w:rsidRPr="004A7FFD" w:rsidP="004A7FFD" w14:paraId="33A420E6" w14:textId="73A54ACB">
      <w:pPr>
        <w:pStyle w:val="NormalHanging12a"/>
        <w:widowControl/>
        <w:ind w:left="570" w:hanging="570"/>
      </w:pPr>
      <w:r w:rsidRPr="004A7FFD">
        <w:t>15.</w:t>
      </w:r>
      <w:r w:rsidRPr="004A7FFD">
        <w:tab/>
      </w:r>
      <w:r w:rsidRPr="004A7FFD">
        <w:t>επαναλαμβάνει ότι η βοήθεια από το ΕΤΠ δεν πρέπει να αντικαθιστά ενέργειες που αποτελούν ευθύνη των δημόσιων αρχών ή των επιχειρήσεων βάσει της εθνικής νομοθεσίας ή των συλλογικών συμβάσεων· υπενθυμίζει ότι το ΕΤΠ είναι ένας περιορισμένος, εστιασμένος σε συγκεκριμένους στόχους και συμπληρωματικός μηχανισμός·</w:t>
      </w:r>
    </w:p>
    <w:p w:rsidR="00DD1087" w:rsidRPr="004A7FFD" w:rsidP="004A7FFD" w14:paraId="3A8EE6D4" w14:textId="7663F46F">
      <w:pPr>
        <w:pStyle w:val="NormalHanging12a"/>
        <w:widowControl/>
        <w:ind w:left="570" w:hanging="570"/>
      </w:pPr>
      <w:r w:rsidRPr="004A7FFD">
        <w:t>16.</w:t>
      </w:r>
      <w:r w:rsidRPr="004A7FFD">
        <w:tab/>
      </w:r>
      <w:r w:rsidRPr="004A7FFD">
        <w:t>εγκρίνει την απόφαση που επισυνάπτεται στο παρόν ψήφισμα·</w:t>
      </w:r>
    </w:p>
    <w:p w:rsidR="00DD1087" w:rsidRPr="004A7FFD" w:rsidP="004A7FFD" w14:paraId="173A339A" w14:textId="64FDC463">
      <w:pPr>
        <w:pStyle w:val="NormalHanging12a"/>
        <w:widowControl/>
        <w:ind w:left="570" w:hanging="570"/>
      </w:pPr>
      <w:r w:rsidRPr="004A7FFD">
        <w:t>17.</w:t>
      </w:r>
      <w:r w:rsidRPr="004A7FFD">
        <w:tab/>
      </w:r>
      <w:r w:rsidRPr="004A7FFD">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4A7FFD">
        <w:rPr>
          <w:i/>
        </w:rPr>
        <w:t>Επίσημη Εφημερίδα της Ευρωπαϊκής Ένωσης</w:t>
      </w:r>
      <w:r w:rsidRPr="004A7FFD">
        <w:t>·</w:t>
      </w:r>
    </w:p>
    <w:p w:rsidR="006E33A8" w:rsidRPr="004A7FFD" w:rsidP="004A7FFD" w14:paraId="65B8975F" w14:textId="3E51D8FA">
      <w:pPr>
        <w:pStyle w:val="NormalHanging12a"/>
        <w:widowControl/>
        <w:ind w:left="570" w:hanging="570"/>
      </w:pPr>
      <w:r w:rsidRPr="004A7FFD">
        <w:t>18.</w:t>
      </w:r>
      <w:r w:rsidRPr="004A7FFD">
        <w:tab/>
      </w:r>
      <w:r w:rsidRPr="004A7FFD" w:rsidR="00DD1087">
        <w:t>αναθέτει στην Πρόεδρό του να διαβιβάσει το παρόν ψήφισμα, συμπεριλαμβανομένου του παραρτήματός του, στο Συμβούλιο και στην Επιτροπή.</w:t>
      </w:r>
      <w:bookmarkStart w:id="7" w:name="_Toc232157358"/>
    </w:p>
    <w:p w:rsidR="006E33A8" w:rsidRPr="004A7FFD" w14:paraId="4D2ADB7B" w14:textId="77777777">
      <w:pPr>
        <w:widowControl/>
      </w:pPr>
      <w:r w:rsidRPr="004A7FFD">
        <w:br w:type="page"/>
      </w:r>
    </w:p>
    <w:p w:rsidR="006E33A8" w:rsidRPr="004A7FFD" w:rsidP="006E33A8" w14:paraId="5414BED3" w14:textId="77777777">
      <w:pPr>
        <w:pStyle w:val="NormalHanging12a"/>
        <w:widowControl/>
        <w:jc w:val="right"/>
        <w:rPr>
          <w:b/>
          <w:bCs/>
        </w:rPr>
      </w:pPr>
      <w:r w:rsidRPr="004A7FFD">
        <w:rPr>
          <w:b/>
          <w:bCs/>
        </w:rPr>
        <w:t>ΠΑΡΑΡΤΗΜΑ</w:t>
      </w:r>
    </w:p>
    <w:p w:rsidR="00DD1087" w:rsidRPr="004A7FFD" w:rsidP="006E33A8" w14:paraId="22F5D555" w14:textId="186EF061">
      <w:pPr>
        <w:pStyle w:val="NormalHanging12a"/>
        <w:widowControl/>
        <w:spacing w:before="600"/>
        <w:jc w:val="center"/>
        <w:rPr>
          <w:b/>
          <w:bCs/>
          <w:noProof/>
        </w:rPr>
      </w:pPr>
      <w:r w:rsidRPr="004A7FFD">
        <w:rPr>
          <w:b/>
          <w:bCs/>
        </w:rPr>
        <w:t>ΑΠΟΦΑΣΗ ΤΟΥ ΕΥΡΩΠΑΪΚΟΥ ΚΟΙΝΟΒΟΥΛΙΟΥ ΚΑΙ ΤΟΥ ΣΥΜΒΟΥΛΙΟΥ</w:t>
      </w:r>
      <w:bookmarkEnd w:id="7"/>
    </w:p>
    <w:p w:rsidR="00DD1087" w:rsidRPr="004A7FFD" w:rsidP="006E33A8" w14:paraId="4C05E788" w14:textId="77777777">
      <w:pPr>
        <w:pStyle w:val="Titreobjet"/>
        <w:rPr>
          <w:noProof/>
        </w:rPr>
      </w:pPr>
      <w:r w:rsidRPr="004A7FFD">
        <w:t>για κινητοποίηση του Ευρωπαϊκού Ταμείου Προσαρμογής στην Παγκοσμιοποίηση για τους Απολυμένους Εργαζόμενους ύστερα από αίτηση του Βελγίου - EGF/2025/009 BE/</w:t>
      </w:r>
      <w:r w:rsidRPr="004A7FFD">
        <w:t>Soliver</w:t>
      </w:r>
    </w:p>
    <w:p w:rsidR="00DD1087" w:rsidRPr="004A7FFD" w:rsidP="007954E6" w14:paraId="2613AFC7" w14:textId="0DDA42B5">
      <w:pPr>
        <w:rPr>
          <w:noProof/>
        </w:rPr>
      </w:pPr>
      <w:bookmarkStart w:id="8" w:name="_Hlk228802707"/>
      <w:bookmarkStart w:id="9" w:name="_Hlk211942854"/>
      <w:bookmarkEnd w:id="8"/>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2026/</w:t>
      </w:r>
      <w:r>
        <w:rPr>
          <w:i/>
        </w:rPr>
        <w:t>1543</w:t>
      </w:r>
      <w:r>
        <w:rPr>
          <w:i/>
        </w:rPr>
        <w:t>.)</w:t>
      </w:r>
      <w:bookmarkEnd w:id="9"/>
    </w:p>
    <w:sectPr w:rsidSect="005F0F7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6151923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40A2F29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6D145E2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1E62" w:rsidRPr="005F0F76" w14:paraId="564A4D00" w14:textId="77777777">
      <w:r w:rsidRPr="005F0F76">
        <w:separator/>
      </w:r>
    </w:p>
  </w:footnote>
  <w:footnote w:type="continuationSeparator" w:id="1">
    <w:p w:rsidR="000A1E62" w:rsidRPr="005F0F76" w14:paraId="677C39E9" w14:textId="77777777">
      <w:r w:rsidRPr="005F0F76">
        <w:continuationSeparator/>
      </w:r>
    </w:p>
  </w:footnote>
  <w:footnote w:id="2">
    <w:p w:rsidR="00DD1087" w:rsidRPr="005F0F76" w:rsidP="005F0F76" w14:paraId="6E5E0A1D" w14:textId="36CBE810">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 xml:space="preserve">ΕΕ L 153 της 3.5.2021, σ. 48, ELI: </w:t>
      </w:r>
      <w:hyperlink r:id="rId1" w:history="1">
        <w:r w:rsidRPr="005F0F76">
          <w:rPr>
            <w:rStyle w:val="Hyperlink"/>
            <w:sz w:val="24"/>
            <w:lang w:val="el-GR"/>
          </w:rPr>
          <w:t>http://data.europa.eu/eli/reg/2021/691/oj</w:t>
        </w:r>
      </w:hyperlink>
      <w:r w:rsidRPr="005F0F76">
        <w:rPr>
          <w:sz w:val="24"/>
          <w:lang w:val="el-GR"/>
        </w:rPr>
        <w:t>.</w:t>
      </w:r>
    </w:p>
  </w:footnote>
  <w:footnote w:id="3">
    <w:p w:rsidR="00DD1087" w:rsidRPr="005F0F76" w:rsidP="005F0F76" w14:paraId="28B6FA37" w14:textId="589C43AC">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ΕΕ L, 2026/1139, 20.5.2026, ELI: </w:t>
      </w:r>
      <w:hyperlink r:id="rId2" w:tgtFrame="_blank" w:tooltip="Πρόσβαση στο έγγραφο μέσω URI τύπου ELI." w:history="1">
        <w:r w:rsidRPr="005F0F76">
          <w:rPr>
            <w:rStyle w:val="Hyperlink"/>
            <w:color w:val="0070C0"/>
            <w:sz w:val="24"/>
            <w:lang w:val="el-GR"/>
          </w:rPr>
          <w:t>http://data.europa.eu/eli/reg/2026/1139/oj</w:t>
        </w:r>
      </w:hyperlink>
      <w:r w:rsidRPr="005F0F76">
        <w:rPr>
          <w:color w:val="0070C0"/>
          <w:sz w:val="24"/>
          <w:lang w:val="el-GR"/>
        </w:rPr>
        <w:t>.</w:t>
      </w:r>
    </w:p>
  </w:footnote>
  <w:footnote w:id="4">
    <w:p w:rsidR="00DD1087" w:rsidRPr="005F0F76" w:rsidP="005F0F76" w14:paraId="0EA9D73E" w14:textId="2023072C">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 xml:space="preserve">ΕΕ L 433 I της 22.12.2020, σ. 11, ELI: </w:t>
      </w:r>
      <w:hyperlink r:id="rId3" w:history="1">
        <w:r w:rsidRPr="005F0F76">
          <w:rPr>
            <w:rStyle w:val="Hyperlink"/>
            <w:sz w:val="24"/>
            <w:lang w:val="el-GR"/>
          </w:rPr>
          <w:t>http://data.europa.eu/eli/reg/2020/2093/oj</w:t>
        </w:r>
      </w:hyperlink>
      <w:r w:rsidRPr="005F0F76">
        <w:rPr>
          <w:sz w:val="24"/>
          <w:lang w:val="el-GR"/>
        </w:rPr>
        <w:t>.</w:t>
      </w:r>
    </w:p>
  </w:footnote>
  <w:footnote w:id="5">
    <w:p w:rsidR="00DD1087" w:rsidRPr="005F0F76" w:rsidP="005F0F76" w14:paraId="24B30F09" w14:textId="224C97BE">
      <w:pPr>
        <w:pStyle w:val="FootnoteText"/>
        <w:ind w:left="567" w:hanging="567"/>
        <w:rPr>
          <w:sz w:val="24"/>
          <w:lang w:val="el-GR"/>
        </w:rPr>
      </w:pPr>
      <w:r w:rsidRPr="005F0F76">
        <w:rPr>
          <w:rStyle w:val="FootnoteReference"/>
          <w:sz w:val="24"/>
          <w:lang w:val="el-GR"/>
        </w:rPr>
        <w:footnoteRef/>
      </w:r>
      <w:r w:rsidRPr="005F0F76" w:rsidR="005F0F76">
        <w:rPr>
          <w:sz w:val="24"/>
          <w:shd w:val="clear" w:color="auto" w:fill="FFFFFF"/>
          <w:lang w:val="el-GR"/>
        </w:rPr>
        <w:t xml:space="preserve"> </w:t>
      </w:r>
      <w:r w:rsidRPr="005F0F76" w:rsidR="005F0F76">
        <w:rPr>
          <w:sz w:val="24"/>
          <w:shd w:val="clear" w:color="auto" w:fill="FFFFFF"/>
          <w:lang w:val="el-GR"/>
        </w:rPr>
        <w:tab/>
      </w:r>
      <w:r w:rsidRPr="005F0F76">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w:t>
      </w:r>
      <w:r w:rsidRPr="005F0F76">
        <w:rPr>
          <w:color w:val="333333"/>
          <w:sz w:val="24"/>
          <w:shd w:val="clear" w:color="auto" w:fill="FFFFFF"/>
          <w:lang w:val="el-GR"/>
        </w:rPr>
        <w:t xml:space="preserve"> </w:t>
      </w:r>
      <w:hyperlink r:id="rId4" w:history="1">
        <w:r w:rsidRPr="005F0F76">
          <w:rPr>
            <w:rStyle w:val="Hyperlink"/>
            <w:sz w:val="24"/>
            <w:shd w:val="clear" w:color="auto" w:fill="FFFFFF"/>
            <w:lang w:val="el-GR"/>
          </w:rPr>
          <w:t>http://data.europa.eu/eli/reg/2024/765/oj</w:t>
        </w:r>
      </w:hyperlink>
      <w:r w:rsidRPr="005F0F76">
        <w:rPr>
          <w:i/>
          <w:color w:val="333333"/>
          <w:sz w:val="24"/>
          <w:shd w:val="clear" w:color="auto" w:fill="FFFFFF"/>
          <w:lang w:val="el-GR"/>
        </w:rPr>
        <w:t>).</w:t>
      </w:r>
    </w:p>
  </w:footnote>
  <w:footnote w:id="6">
    <w:p w:rsidR="00DD1087" w:rsidRPr="005F0F76" w:rsidP="005F0F76" w14:paraId="045497E0" w14:textId="3CA1587A">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 xml:space="preserve">ΕΕ L 433 I της 22.12.2020, σ. 28, ELI: </w:t>
      </w:r>
      <w:hyperlink r:id="rId5" w:history="1">
        <w:r w:rsidRPr="005F0F76">
          <w:rPr>
            <w:rStyle w:val="Hyperlink"/>
            <w:sz w:val="24"/>
            <w:lang w:val="el-GR"/>
          </w:rPr>
          <w:t>http://data.europa.eu/eli/agree_interinstit/2020/1222/oj</w:t>
        </w:r>
      </w:hyperlink>
      <w:r w:rsidRPr="005F0F76">
        <w:rPr>
          <w:sz w:val="24"/>
          <w:lang w:val="el-GR"/>
        </w:rPr>
        <w:t>.</w:t>
      </w:r>
    </w:p>
  </w:footnote>
  <w:footnote w:id="7">
    <w:p w:rsidR="00DD1087" w:rsidRPr="005F0F76" w:rsidP="005F0F76" w14:paraId="3C532A6B" w14:textId="7467F053">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Κατά την έννοια του άρθρου 3 του κανονισμού ΕΤΠ.</w:t>
      </w:r>
    </w:p>
  </w:footnote>
  <w:footnote w:id="8">
    <w:p w:rsidR="00DD1087" w:rsidRPr="005F0F76" w:rsidP="005F0F76" w14:paraId="5D8F0DA1" w14:textId="6881FA4F">
      <w:pPr>
        <w:pStyle w:val="FootnoteText"/>
        <w:ind w:left="567" w:hanging="567"/>
        <w:rPr>
          <w:sz w:val="24"/>
          <w:lang w:val="el-GR"/>
        </w:rPr>
      </w:pPr>
      <w:r w:rsidRPr="005F0F76">
        <w:rPr>
          <w:rStyle w:val="FootnoteReference"/>
          <w:sz w:val="24"/>
          <w:lang w:val="el-GR"/>
        </w:rPr>
        <w:footnoteRef/>
      </w:r>
      <w:r w:rsidRPr="005F0F76" w:rsidR="005F0F76">
        <w:rPr>
          <w:sz w:val="24"/>
          <w:lang w:val="el-GR"/>
        </w:rPr>
        <w:t xml:space="preserve"> </w:t>
      </w:r>
      <w:r w:rsidRPr="005F0F76" w:rsidR="005F0F76">
        <w:rPr>
          <w:sz w:val="24"/>
          <w:lang w:val="el-GR"/>
        </w:rPr>
        <w:tab/>
      </w:r>
      <w:r w:rsidRPr="005F0F76">
        <w:rPr>
          <w:sz w:val="24"/>
          <w:lang w:val="el-GR"/>
        </w:rPr>
        <w:t>Άρθρο 8 του κανονισμού για το ΠΔΠ.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5375707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5EA6C8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F76" w14:paraId="40378A6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52E1D81"/>
    <w:multiLevelType w:val="hybridMultilevel"/>
    <w:tmpl w:val="2BA0E4AC"/>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7CFC2E03"/>
    <w:multiLevelType w:val="hybridMultilevel"/>
    <w:tmpl w:val="C69CE3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02523393">
    <w:abstractNumId w:val="9"/>
  </w:num>
  <w:num w:numId="2" w16cid:durableId="1611350486">
    <w:abstractNumId w:val="9"/>
  </w:num>
  <w:num w:numId="3" w16cid:durableId="1586761362">
    <w:abstractNumId w:val="7"/>
  </w:num>
  <w:num w:numId="4" w16cid:durableId="10420879">
    <w:abstractNumId w:val="7"/>
  </w:num>
  <w:num w:numId="5" w16cid:durableId="1808278743">
    <w:abstractNumId w:val="6"/>
  </w:num>
  <w:num w:numId="6" w16cid:durableId="1741900148">
    <w:abstractNumId w:val="6"/>
  </w:num>
  <w:num w:numId="7" w16cid:durableId="1065950397">
    <w:abstractNumId w:val="5"/>
  </w:num>
  <w:num w:numId="8" w16cid:durableId="275601847">
    <w:abstractNumId w:val="5"/>
  </w:num>
  <w:num w:numId="9" w16cid:durableId="1000474415">
    <w:abstractNumId w:val="4"/>
  </w:num>
  <w:num w:numId="10" w16cid:durableId="687485336">
    <w:abstractNumId w:val="4"/>
  </w:num>
  <w:num w:numId="11" w16cid:durableId="959070204">
    <w:abstractNumId w:val="8"/>
  </w:num>
  <w:num w:numId="12" w16cid:durableId="968246411">
    <w:abstractNumId w:val="8"/>
  </w:num>
  <w:num w:numId="13" w16cid:durableId="771128782">
    <w:abstractNumId w:val="3"/>
  </w:num>
  <w:num w:numId="14" w16cid:durableId="1500147705">
    <w:abstractNumId w:val="3"/>
  </w:num>
  <w:num w:numId="15" w16cid:durableId="361900086">
    <w:abstractNumId w:val="2"/>
  </w:num>
  <w:num w:numId="16" w16cid:durableId="32120447">
    <w:abstractNumId w:val="2"/>
  </w:num>
  <w:num w:numId="17" w16cid:durableId="1718359433">
    <w:abstractNumId w:val="1"/>
  </w:num>
  <w:num w:numId="18" w16cid:durableId="1134524739">
    <w:abstractNumId w:val="1"/>
  </w:num>
  <w:num w:numId="19" w16cid:durableId="1674530861">
    <w:abstractNumId w:val="0"/>
  </w:num>
  <w:num w:numId="20" w16cid:durableId="134493156">
    <w:abstractNumId w:val="0"/>
  </w:num>
  <w:num w:numId="21" w16cid:durableId="907884888">
    <w:abstractNumId w:val="9"/>
  </w:num>
  <w:num w:numId="22" w16cid:durableId="1755935393">
    <w:abstractNumId w:val="7"/>
  </w:num>
  <w:num w:numId="23" w16cid:durableId="178814262">
    <w:abstractNumId w:val="6"/>
  </w:num>
  <w:num w:numId="24" w16cid:durableId="1285036874">
    <w:abstractNumId w:val="5"/>
  </w:num>
  <w:num w:numId="25" w16cid:durableId="1464075328">
    <w:abstractNumId w:val="4"/>
  </w:num>
  <w:num w:numId="26" w16cid:durableId="221840662">
    <w:abstractNumId w:val="8"/>
  </w:num>
  <w:num w:numId="27" w16cid:durableId="1545557270">
    <w:abstractNumId w:val="3"/>
  </w:num>
  <w:num w:numId="28" w16cid:durableId="1789742322">
    <w:abstractNumId w:val="2"/>
  </w:num>
  <w:num w:numId="29" w16cid:durableId="1253853382">
    <w:abstractNumId w:val="1"/>
  </w:num>
  <w:num w:numId="30" w16cid:durableId="223565524">
    <w:abstractNumId w:val="0"/>
  </w:num>
  <w:num w:numId="31" w16cid:durableId="1829400358">
    <w:abstractNumId w:val="9"/>
  </w:num>
  <w:num w:numId="32" w16cid:durableId="731926306">
    <w:abstractNumId w:val="7"/>
  </w:num>
  <w:num w:numId="33" w16cid:durableId="2039238869">
    <w:abstractNumId w:val="6"/>
  </w:num>
  <w:num w:numId="34" w16cid:durableId="1808546048">
    <w:abstractNumId w:val="5"/>
  </w:num>
  <w:num w:numId="35" w16cid:durableId="169561690">
    <w:abstractNumId w:val="4"/>
  </w:num>
  <w:num w:numId="36" w16cid:durableId="1821379850">
    <w:abstractNumId w:val="8"/>
  </w:num>
  <w:num w:numId="37" w16cid:durableId="739058556">
    <w:abstractNumId w:val="3"/>
  </w:num>
  <w:num w:numId="38" w16cid:durableId="1437750688">
    <w:abstractNumId w:val="2"/>
  </w:num>
  <w:num w:numId="39" w16cid:durableId="778792013">
    <w:abstractNumId w:val="1"/>
  </w:num>
  <w:num w:numId="40" w16cid:durableId="1844584747">
    <w:abstractNumId w:val="0"/>
  </w:num>
  <w:num w:numId="41" w16cid:durableId="1658722873">
    <w:abstractNumId w:val="10"/>
  </w:num>
  <w:num w:numId="42" w16cid:durableId="1830363679">
    <w:abstractNumId w:val="10"/>
  </w:num>
  <w:num w:numId="43" w16cid:durableId="69350272">
    <w:abstractNumId w:val="10"/>
  </w:num>
  <w:num w:numId="44" w16cid:durableId="233518001">
    <w:abstractNumId w:val="11"/>
  </w:num>
  <w:num w:numId="45" w16cid:durableId="1780948629">
    <w:abstractNumId w:val="13"/>
  </w:num>
  <w:num w:numId="46" w16cid:durableId="418723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E62"/>
    <w:rsid w:val="00002272"/>
    <w:rsid w:val="00064002"/>
    <w:rsid w:val="000677B9"/>
    <w:rsid w:val="000831BA"/>
    <w:rsid w:val="000A1E62"/>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FFD"/>
    <w:rsid w:val="004C0004"/>
    <w:rsid w:val="004C5D52"/>
    <w:rsid w:val="0050519A"/>
    <w:rsid w:val="005072A1"/>
    <w:rsid w:val="00514517"/>
    <w:rsid w:val="00545827"/>
    <w:rsid w:val="00560270"/>
    <w:rsid w:val="005C2568"/>
    <w:rsid w:val="005F0F76"/>
    <w:rsid w:val="005F1B17"/>
    <w:rsid w:val="006037C0"/>
    <w:rsid w:val="006631B6"/>
    <w:rsid w:val="00680577"/>
    <w:rsid w:val="006B18C8"/>
    <w:rsid w:val="006E33A8"/>
    <w:rsid w:val="006F74FA"/>
    <w:rsid w:val="00731ADD"/>
    <w:rsid w:val="00734777"/>
    <w:rsid w:val="00747932"/>
    <w:rsid w:val="00751A4A"/>
    <w:rsid w:val="00756632"/>
    <w:rsid w:val="00762C74"/>
    <w:rsid w:val="00786EC0"/>
    <w:rsid w:val="007954E6"/>
    <w:rsid w:val="007A714B"/>
    <w:rsid w:val="007B7B26"/>
    <w:rsid w:val="007D1690"/>
    <w:rsid w:val="007E22AD"/>
    <w:rsid w:val="00817416"/>
    <w:rsid w:val="00842779"/>
    <w:rsid w:val="00865F67"/>
    <w:rsid w:val="00881A7B"/>
    <w:rsid w:val="008840E5"/>
    <w:rsid w:val="00887B3E"/>
    <w:rsid w:val="008A75A2"/>
    <w:rsid w:val="008C2AC6"/>
    <w:rsid w:val="00930C23"/>
    <w:rsid w:val="0093193B"/>
    <w:rsid w:val="009509D8"/>
    <w:rsid w:val="00950B64"/>
    <w:rsid w:val="00981893"/>
    <w:rsid w:val="009E4480"/>
    <w:rsid w:val="00A1687D"/>
    <w:rsid w:val="00A43E52"/>
    <w:rsid w:val="00A4678D"/>
    <w:rsid w:val="00A778C7"/>
    <w:rsid w:val="00AB441E"/>
    <w:rsid w:val="00AB6293"/>
    <w:rsid w:val="00AB66EB"/>
    <w:rsid w:val="00AE0928"/>
    <w:rsid w:val="00AF3B82"/>
    <w:rsid w:val="00B12E95"/>
    <w:rsid w:val="00B22876"/>
    <w:rsid w:val="00B558F0"/>
    <w:rsid w:val="00BD48FE"/>
    <w:rsid w:val="00BD7BD8"/>
    <w:rsid w:val="00BE2C3E"/>
    <w:rsid w:val="00BE6ADC"/>
    <w:rsid w:val="00C05BFE"/>
    <w:rsid w:val="00C23CD4"/>
    <w:rsid w:val="00C61C0C"/>
    <w:rsid w:val="00C941CB"/>
    <w:rsid w:val="00CC2357"/>
    <w:rsid w:val="00CF071A"/>
    <w:rsid w:val="00D058B8"/>
    <w:rsid w:val="00D56C11"/>
    <w:rsid w:val="00D834A0"/>
    <w:rsid w:val="00D872DF"/>
    <w:rsid w:val="00D91E21"/>
    <w:rsid w:val="00DA7FCD"/>
    <w:rsid w:val="00DD1087"/>
    <w:rsid w:val="00E365E1"/>
    <w:rsid w:val="00E820A4"/>
    <w:rsid w:val="00E97098"/>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EL"/>
    <w:docVar w:name="dvnumam" w:val="0"/>
    <w:docVar w:name="dvpe" w:val="787.923"/>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ύστερα από αίτηση του Βελγίου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54DE856"/>
  <w15:chartTrackingRefBased/>
  <w15:docId w15:val="{6E0412CA-001E-47BD-8670-3657A604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108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D1087"/>
    <w:pPr>
      <w:keepNext/>
      <w:spacing w:after="480"/>
      <w:jc w:val="center"/>
    </w:pPr>
    <w:rPr>
      <w:rFonts w:ascii="Arial" w:hAnsi="Arial" w:cs="Arial"/>
      <w:b/>
    </w:rPr>
  </w:style>
  <w:style w:type="paragraph" w:customStyle="1" w:styleId="NormalBold">
    <w:name w:val="NormalBold"/>
    <w:basedOn w:val="Normal"/>
    <w:rsid w:val="00DD1087"/>
    <w:rPr>
      <w:b/>
    </w:rPr>
  </w:style>
  <w:style w:type="paragraph" w:customStyle="1" w:styleId="NormalHanging12a">
    <w:name w:val="NormalHanging12a"/>
    <w:basedOn w:val="Normal"/>
    <w:link w:val="NormalHanging12aChar"/>
    <w:rsid w:val="00DD1087"/>
    <w:pPr>
      <w:spacing w:after="240"/>
      <w:ind w:left="567" w:hanging="567"/>
    </w:pPr>
  </w:style>
  <w:style w:type="paragraph" w:styleId="Header">
    <w:name w:val="header"/>
    <w:basedOn w:val="Normal"/>
    <w:link w:val="HeaderChar"/>
    <w:rsid w:val="00DD1087"/>
    <w:pPr>
      <w:tabs>
        <w:tab w:val="center" w:pos="4513"/>
        <w:tab w:val="right" w:pos="9026"/>
      </w:tabs>
    </w:pPr>
  </w:style>
  <w:style w:type="character" w:customStyle="1" w:styleId="HeaderChar">
    <w:name w:val="Header Char"/>
    <w:basedOn w:val="DefaultParagraphFont"/>
    <w:link w:val="Header"/>
    <w:rsid w:val="00DD1087"/>
    <w:rPr>
      <w:sz w:val="24"/>
      <w:lang w:val="el-GR"/>
    </w:rPr>
  </w:style>
  <w:style w:type="paragraph" w:customStyle="1" w:styleId="EPFooter">
    <w:name w:val="EPFooter"/>
    <w:basedOn w:val="Normal"/>
    <w:rsid w:val="00DD1087"/>
    <w:pPr>
      <w:tabs>
        <w:tab w:val="center" w:pos="4535"/>
        <w:tab w:val="right" w:pos="9071"/>
      </w:tabs>
      <w:spacing w:before="240" w:after="240"/>
    </w:pPr>
    <w:rPr>
      <w:color w:val="010000"/>
      <w:sz w:val="22"/>
    </w:rPr>
  </w:style>
  <w:style w:type="paragraph" w:customStyle="1" w:styleId="EPComma">
    <w:name w:val="EPComma"/>
    <w:basedOn w:val="Normal"/>
    <w:rsid w:val="00DD1087"/>
    <w:pPr>
      <w:spacing w:before="480" w:after="240"/>
    </w:pPr>
  </w:style>
  <w:style w:type="character" w:styleId="Hyperlink">
    <w:name w:val="Hyperlink"/>
    <w:basedOn w:val="DefaultParagraphFont"/>
    <w:uiPriority w:val="99"/>
    <w:rsid w:val="00DD1087"/>
    <w:rPr>
      <w:color w:val="0563C1" w:themeColor="hyperlink"/>
      <w:u w:val="single"/>
    </w:rPr>
  </w:style>
  <w:style w:type="character" w:customStyle="1" w:styleId="NormalHanging12aChar">
    <w:name w:val="NormalHanging12a Char"/>
    <w:basedOn w:val="DefaultParagraphFont"/>
    <w:link w:val="NormalHanging12a"/>
    <w:locked/>
    <w:rsid w:val="00DD1087"/>
    <w:rPr>
      <w:sz w:val="24"/>
      <w:lang w:val="el-GR"/>
    </w:rPr>
  </w:style>
  <w:style w:type="paragraph" w:customStyle="1" w:styleId="Titreobjet">
    <w:name w:val="Titre objet"/>
    <w:basedOn w:val="Normal"/>
    <w:next w:val="Normal"/>
    <w:rsid w:val="00DD1087"/>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DD1087"/>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DD1087"/>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DD1087"/>
    <w:rPr>
      <w:rFonts w:ascii="Arial" w:hAnsi="Arial" w:cs="Arial"/>
      <w:b/>
      <w:sz w:val="24"/>
      <w:lang w:val="el-GR"/>
    </w:rPr>
  </w:style>
  <w:style w:type="paragraph" w:styleId="Revision">
    <w:name w:val="Revision"/>
    <w:hidden/>
    <w:uiPriority w:val="99"/>
    <w:semiHidden/>
    <w:rsid w:val="006E33A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1920</Words>
  <Characters>12025</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2026-08-31T12:18:00Z</dcterms:created>
  <dcterms:modified xsi:type="dcterms:W3CDTF">2026-08-31T12:18:00Z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P10_TA(2026)0201_</vt:lpwstr>
  </property>
  <property fmtid="{D5CDD505-2E9C-101B-9397-08002B2CF9AE}" pid="4" name="&lt;Type&gt;">
    <vt:lpwstr>RR</vt:lpwstr>
  </property>
</Properties>
</file>