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FDBC147" w14:textId="77777777" w:rsidTr="0010095E">
        <w:tblPrEx>
          <w:tblW w:w="9072" w:type="dxa"/>
          <w:tblLook w:val="01E0"/>
        </w:tblPrEx>
        <w:trPr>
          <w:trHeight w:hRule="exact" w:val="1418"/>
        </w:trPr>
        <w:tc>
          <w:tcPr>
            <w:tcW w:w="6804" w:type="dxa"/>
            <w:shd w:val="clear" w:color="auto" w:fill="auto"/>
            <w:vAlign w:val="center"/>
          </w:tcPr>
          <w:p w:rsidR="00751A4A" w:rsidRPr="00F2114F" w:rsidP="0010095E" w14:paraId="16BC1286" w14:textId="77777777">
            <w:pPr>
              <w:pStyle w:val="EPName"/>
            </w:pPr>
            <w:r w:rsidRPr="00F2114F">
              <w:t>Euroopa Parlament</w:t>
            </w:r>
          </w:p>
          <w:p w:rsidR="00751A4A" w:rsidRPr="00F2114F" w:rsidP="005F1B17" w14:paraId="481F64AA" w14:textId="77777777">
            <w:pPr>
              <w:pStyle w:val="EPTerm"/>
              <w:rPr>
                <w:rStyle w:val="HideTWBExt"/>
                <w:noProof w:val="0"/>
                <w:vanish w:val="0"/>
                <w:color w:val="auto"/>
              </w:rPr>
            </w:pPr>
            <w:r w:rsidRPr="00F2114F">
              <w:t>2024</w:t>
            </w:r>
            <w:r w:rsidRPr="00F2114F" w:rsidR="00817416">
              <w:t>-202</w:t>
            </w:r>
            <w:r w:rsidRPr="00F2114F">
              <w:t>9</w:t>
            </w:r>
          </w:p>
        </w:tc>
        <w:tc>
          <w:tcPr>
            <w:tcW w:w="2268" w:type="dxa"/>
            <w:shd w:val="clear" w:color="auto" w:fill="auto"/>
          </w:tcPr>
          <w:p w:rsidR="00751A4A" w:rsidRPr="00F2114F" w:rsidP="0010095E" w14:paraId="77659A42" w14:textId="77777777">
            <w:pPr>
              <w:pStyle w:val="EPLogo"/>
            </w:pPr>
            <w:r w:rsidRPr="00F2114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2114F" w:rsidP="004C5D52" w14:paraId="7C927876" w14:textId="77777777">
      <w:pPr>
        <w:pStyle w:val="LineTop"/>
      </w:pPr>
    </w:p>
    <w:p w:rsidR="00680577" w:rsidRPr="00F2114F" w:rsidP="00680577" w14:paraId="1A244580" w14:textId="77777777">
      <w:pPr>
        <w:pStyle w:val="EPBodyTA1"/>
      </w:pPr>
      <w:r w:rsidRPr="00F2114F">
        <w:t>VASTUVÕETUD TEKSTID</w:t>
      </w:r>
    </w:p>
    <w:p w:rsidR="00D058B8" w:rsidRPr="00F2114F" w:rsidP="00D058B8" w14:paraId="7C8AF213" w14:textId="77777777">
      <w:pPr>
        <w:pStyle w:val="LineBottom"/>
      </w:pPr>
    </w:p>
    <w:p w:rsidR="009E746E" w:rsidRPr="00F2114F" w:rsidP="009E746E" w14:paraId="7975B40A" w14:textId="2FAAC125">
      <w:pPr>
        <w:pStyle w:val="ATHeading1"/>
      </w:pPr>
      <w:bookmarkStart w:id="0" w:name="TANumber"/>
      <w:r w:rsidRPr="00F2114F">
        <w:t>P10_TA(2026)0</w:t>
      </w:r>
      <w:r w:rsidRPr="00F2114F" w:rsidR="00CF0E65">
        <w:t>201</w:t>
      </w:r>
      <w:bookmarkEnd w:id="0"/>
    </w:p>
    <w:p w:rsidR="009E746E" w:rsidRPr="00F2114F" w:rsidP="009E746E" w14:paraId="3388EEA0" w14:textId="77777777">
      <w:pPr>
        <w:pStyle w:val="ATHeading2"/>
      </w:pPr>
      <w:bookmarkStart w:id="1" w:name="title"/>
      <w:r w:rsidRPr="00F2114F">
        <w:t>Koondatud töötajate toetuseks loodud Globaliseerumisega Kohanemise Euroopa Fondi kasutuselevõtmine (Belgia taotlus – EGF/2025/009 BE/</w:t>
      </w:r>
      <w:r w:rsidRPr="00F2114F">
        <w:t>Soliver</w:t>
      </w:r>
      <w:r w:rsidRPr="00F2114F">
        <w:t>)</w:t>
      </w:r>
      <w:bookmarkEnd w:id="1"/>
    </w:p>
    <w:p w:rsidR="009E746E" w:rsidRPr="00F2114F" w:rsidP="009E746E" w14:paraId="273747DE" w14:textId="77777777">
      <w:pPr>
        <w:rPr>
          <w:i/>
          <w:vanish/>
        </w:rPr>
      </w:pPr>
      <w:r>
        <w:rPr>
          <w:i/>
        </w:rPr>
        <w:fldChar w:fldCharType="begin"/>
      </w:r>
      <w:r w:rsidRPr="00F2114F">
        <w:rPr>
          <w:i/>
        </w:rPr>
        <w:instrText xml:space="preserve"> TC"(</w:instrText>
      </w:r>
      <w:bookmarkStart w:id="2" w:name="DocNumber"/>
      <w:r w:rsidRPr="00F2114F">
        <w:rPr>
          <w:i/>
        </w:rPr>
        <w:instrText>A10-0149/2026</w:instrText>
      </w:r>
      <w:bookmarkEnd w:id="2"/>
      <w:r w:rsidRPr="00F2114F">
        <w:rPr>
          <w:i/>
        </w:rPr>
        <w:instrText xml:space="preserve"> - Raportöör: </w:instrText>
      </w:r>
      <w:r w:rsidRPr="00F2114F">
        <w:rPr>
          <w:i/>
        </w:rPr>
        <w:instrText>Bogdan</w:instrText>
      </w:r>
      <w:r w:rsidRPr="00F2114F">
        <w:rPr>
          <w:i/>
        </w:rPr>
        <w:instrText xml:space="preserve"> </w:instrText>
      </w:r>
      <w:r w:rsidRPr="00F2114F">
        <w:rPr>
          <w:i/>
        </w:rPr>
        <w:instrText>Rzońca</w:instrText>
      </w:r>
      <w:r w:rsidRPr="00F2114F">
        <w:rPr>
          <w:i/>
        </w:rPr>
        <w:instrText xml:space="preserve">)"\l3 \n&gt; \* MERGEFORMAT </w:instrText>
      </w:r>
      <w:r>
        <w:rPr>
          <w:i/>
        </w:rPr>
        <w:fldChar w:fldCharType="end"/>
      </w:r>
    </w:p>
    <w:p w:rsidR="009E746E" w:rsidRPr="00F2114F" w:rsidP="009E746E" w14:paraId="0ECCDE07" w14:textId="77777777">
      <w:pPr>
        <w:rPr>
          <w:vanish/>
        </w:rPr>
      </w:pPr>
      <w:bookmarkStart w:id="3" w:name="Commission"/>
      <w:r w:rsidRPr="00F2114F">
        <w:rPr>
          <w:vanish/>
        </w:rPr>
        <w:t>Eelarvekomisjon</w:t>
      </w:r>
      <w:bookmarkEnd w:id="3"/>
    </w:p>
    <w:p w:rsidR="009E746E" w:rsidRPr="00F2114F" w:rsidP="009E746E" w14:paraId="646E65DE" w14:textId="77777777">
      <w:pPr>
        <w:rPr>
          <w:vanish/>
        </w:rPr>
      </w:pPr>
      <w:bookmarkStart w:id="4" w:name="PE"/>
      <w:r w:rsidRPr="00F2114F">
        <w:rPr>
          <w:vanish/>
        </w:rPr>
        <w:t>PE787.923</w:t>
      </w:r>
      <w:bookmarkEnd w:id="4"/>
    </w:p>
    <w:p w:rsidR="009E746E" w:rsidRPr="00F2114F" w:rsidP="009E746E" w14:paraId="7A46DFBE" w14:textId="4062A507">
      <w:pPr>
        <w:pStyle w:val="ATHeading3"/>
      </w:pPr>
      <w:bookmarkStart w:id="5" w:name="Sujet"/>
      <w:r w:rsidRPr="00F2114F">
        <w:t xml:space="preserve">Euroopa Parlamendi </w:t>
      </w:r>
      <w:r w:rsidRPr="00F2114F" w:rsidR="002423D8">
        <w:t>16</w:t>
      </w:r>
      <w:r w:rsidRPr="00F2114F">
        <w:t>.</w:t>
      </w:r>
      <w:r w:rsidRPr="00F2114F" w:rsidR="002423D8">
        <w:t> juuni</w:t>
      </w:r>
      <w:r w:rsidRPr="00F2114F">
        <w:t xml:space="preserve"> 2026.</w:t>
      </w:r>
      <w:r w:rsidRPr="00F2114F" w:rsidR="002423D8">
        <w:t> </w:t>
      </w:r>
      <w:r w:rsidRPr="00F2114F">
        <w:t>aasta resolutsioon</w:t>
      </w:r>
      <w:r w:rsidRPr="00F2114F" w:rsidR="002423D8">
        <w:t>,</w:t>
      </w:r>
      <w:r w:rsidRPr="00F2114F">
        <w:t xml:space="preserve"> mis käsitleb ettepanekut võtta vastu Euroopa Parlamendi ja nõukogu otsus koondatud töötajate toetuseks loodud Globaliseerumisega Kohanemise Euroopa Fondi kasutuselevõtmise kohta (Belgia taotlus – EGF/2025/009 BE/</w:t>
      </w:r>
      <w:r w:rsidRPr="00F2114F">
        <w:t>Soliver</w:t>
      </w:r>
      <w:r w:rsidRPr="00F2114F">
        <w:t>)</w:t>
      </w:r>
      <w:bookmarkEnd w:id="5"/>
      <w:r w:rsidRPr="00F2114F">
        <w:t xml:space="preserve"> </w:t>
      </w:r>
      <w:bookmarkStart w:id="6" w:name="References"/>
      <w:r w:rsidRPr="00F2114F">
        <w:t>(COM(2026)0050 – C10-0111/2026 – 2026/0097(BUD))</w:t>
      </w:r>
      <w:bookmarkEnd w:id="6"/>
    </w:p>
    <w:p w:rsidR="00B83F11" w:rsidRPr="00F2114F" w:rsidP="00B83F11" w14:paraId="49BB0DFE" w14:textId="77777777">
      <w:pPr>
        <w:pStyle w:val="EPComma"/>
        <w:rPr>
          <w:noProof/>
        </w:rPr>
      </w:pPr>
      <w:r w:rsidRPr="00F2114F">
        <w:rPr>
          <w:i/>
        </w:rPr>
        <w:t>Euroopa Parlament</w:t>
      </w:r>
      <w:r w:rsidRPr="00F2114F">
        <w:t>,</w:t>
      </w:r>
    </w:p>
    <w:p w:rsidR="00B83F11" w:rsidRPr="00F2114F" w:rsidP="00B83F11" w14:paraId="2814A669" w14:textId="77777777">
      <w:pPr>
        <w:pStyle w:val="NormalHanging12a"/>
        <w:rPr>
          <w:noProof/>
        </w:rPr>
      </w:pPr>
      <w:r w:rsidRPr="00F2114F">
        <w:t>–</w:t>
      </w:r>
      <w:r w:rsidRPr="00F2114F">
        <w:tab/>
        <w:t>võttes arvesse komisjoni ettepanekut Euroopa Parlamendile ja nõukogule (COM(2026)0050 – C10</w:t>
      </w:r>
      <w:r w:rsidRPr="00F2114F">
        <w:noBreakHyphen/>
        <w:t>0111/2026),</w:t>
      </w:r>
    </w:p>
    <w:p w:rsidR="00B83F11" w:rsidRPr="00F2114F" w:rsidP="00B83F11" w14:paraId="3B40DB84" w14:textId="71A8FA27">
      <w:pPr>
        <w:pStyle w:val="NormalHanging12a"/>
      </w:pPr>
      <w:r w:rsidRPr="00F2114F">
        <w:t>–</w:t>
      </w:r>
      <w:r w:rsidRPr="00F2114F">
        <w:tab/>
        <w:t xml:space="preserve">võttes arvesse Euroopa Parlamendi ja nõukogu 28. aprilli 2021. aasta määrust (EL) 2021/691, millega luuakse Globaliseerumisega Kohanemise Euroopa Fond (EGF) koondatud töötajate toetuseks ja tunnistatakse kehtetuks määrus (EL) </w:t>
      </w:r>
      <w:r w:rsidR="0038022D">
        <w:t>nr </w:t>
      </w:r>
      <w:r w:rsidRPr="00F2114F">
        <w:t>1309/2013</w:t>
      </w:r>
      <w:r>
        <w:rPr>
          <w:vertAlign w:val="superscript"/>
        </w:rPr>
        <w:footnoteReference w:id="2"/>
      </w:r>
      <w:r w:rsidRPr="00F2114F">
        <w:t xml:space="preserve"> (edaspidi „</w:t>
      </w:r>
      <w:r w:rsidRPr="00F2114F">
        <w:t>EGFi</w:t>
      </w:r>
      <w:r w:rsidRPr="00F2114F">
        <w:t xml:space="preserve"> määrus“), mida on muudetud määrusega</w:t>
      </w:r>
      <w:r w:rsidRPr="00F2114F" w:rsidR="00B753D0">
        <w:t xml:space="preserve"> </w:t>
      </w:r>
      <w:r w:rsidRPr="00F2114F">
        <w:t>(EL) 2026/1139</w:t>
      </w:r>
      <w:r>
        <w:rPr>
          <w:vertAlign w:val="superscript"/>
        </w:rPr>
        <w:footnoteReference w:id="3"/>
      </w:r>
      <w:r w:rsidRPr="00F2114F">
        <w:t>,</w:t>
      </w:r>
    </w:p>
    <w:p w:rsidR="00B83F11" w:rsidRPr="00F2114F" w:rsidP="00B83F11" w14:paraId="42323AD5" w14:textId="77777777">
      <w:pPr>
        <w:pStyle w:val="NormalHanging12a"/>
        <w:rPr>
          <w:noProof/>
        </w:rPr>
      </w:pPr>
      <w:r w:rsidRPr="00F2114F">
        <w:t>–</w:t>
      </w:r>
      <w:r w:rsidRPr="00F2114F">
        <w:tab/>
        <w:t>võttes arvesse nõukogu 17. detsembri 2020. aasta määrust (EL, Euratom) 2020/2093, millega määratakse kindlaks mitmeaastane finantsraamistik aastateks 2021–2027</w:t>
      </w:r>
      <w:r>
        <w:rPr>
          <w:noProof/>
          <w:vertAlign w:val="superscript"/>
        </w:rPr>
        <w:footnoteReference w:id="4"/>
      </w:r>
      <w:r w:rsidRPr="00F2114F">
        <w:t xml:space="preserve"> (edaspidi „mitmeaastase finantsraamistiku määrus“), mida on muudetud määrusega (EL, Euratom) 2024/765</w:t>
      </w:r>
      <w:r>
        <w:rPr>
          <w:noProof/>
          <w:vertAlign w:val="superscript"/>
        </w:rPr>
        <w:footnoteReference w:id="5"/>
      </w:r>
      <w:r w:rsidRPr="00F2114F">
        <w:t>, eriti selle artiklit 8,</w:t>
      </w:r>
    </w:p>
    <w:p w:rsidR="00B83F11" w:rsidRPr="00F2114F" w:rsidP="00B83F11" w14:paraId="1C07DC17" w14:textId="77777777">
      <w:pPr>
        <w:pStyle w:val="NormalHanging12a"/>
        <w:rPr>
          <w:noProof/>
        </w:rPr>
      </w:pPr>
      <w:r w:rsidRPr="00F2114F">
        <w:t>–</w:t>
      </w:r>
      <w:r w:rsidRPr="00F2114F">
        <w:tab/>
        <w:t xml:space="preserve">võttes arvesse 16. detsembri 2020. aasta institutsioonidevahelist kokkulepet Euroopa Parlamendi, Euroopa Liidu Nõukogu ja Euroopa Komisjoni vahel, mis käsitleb eelarvedistsipliini, eelarvealast koostööd ning usaldusväärset finantsjuhtimist, samuti uusi omavahendeid, sealhulgas uute omavahendite kasutuselevõtmise suunas liikumise </w:t>
      </w:r>
      <w:r w:rsidRPr="00F2114F">
        <w:t>tegevuskava,</w:t>
      </w:r>
      <w:r>
        <w:rPr>
          <w:rStyle w:val="FootnoteReference"/>
          <w:noProof/>
        </w:rPr>
        <w:footnoteReference w:id="6"/>
      </w:r>
      <w:r w:rsidRPr="00F2114F">
        <w:t xml:space="preserve"> eriti selle punkti 9,</w:t>
      </w:r>
    </w:p>
    <w:p w:rsidR="00B83F11" w:rsidRPr="00F2114F" w:rsidP="00B83F11" w14:paraId="7493289B" w14:textId="77777777">
      <w:pPr>
        <w:pStyle w:val="NormalHanging12a"/>
      </w:pPr>
      <w:r w:rsidRPr="00F2114F">
        <w:t>–</w:t>
      </w:r>
      <w:r w:rsidRPr="00F2114F">
        <w:tab/>
        <w:t>võttes arvesse Euroopa sotsiaalõiguste sammast,</w:t>
      </w:r>
    </w:p>
    <w:p w:rsidR="00B83F11" w:rsidRPr="00F2114F" w:rsidP="00B83F11" w14:paraId="4C89C2BC" w14:textId="77777777">
      <w:pPr>
        <w:pStyle w:val="NormalHanging12a"/>
      </w:pPr>
      <w:r w:rsidRPr="00F2114F">
        <w:t>–</w:t>
      </w:r>
      <w:r w:rsidRPr="00F2114F">
        <w:tab/>
        <w:t>võttes arvesse tööhõive- ja sotsiaalkomisjoni kirja,</w:t>
      </w:r>
    </w:p>
    <w:p w:rsidR="00B83F11" w:rsidRPr="00F2114F" w:rsidP="00B83F11" w14:paraId="5C008D06" w14:textId="77777777">
      <w:pPr>
        <w:pStyle w:val="NormalHanging12a"/>
      </w:pPr>
      <w:r w:rsidRPr="00F2114F">
        <w:t>–</w:t>
      </w:r>
      <w:r w:rsidRPr="00F2114F">
        <w:tab/>
        <w:t>võttes arvesse eelarvekomisjoni raportit (A10‑0149/2026),</w:t>
      </w:r>
    </w:p>
    <w:p w:rsidR="00B83F11" w:rsidRPr="00F2114F" w:rsidP="00B83F11" w14:paraId="1C2EFA25" w14:textId="77777777">
      <w:pPr>
        <w:pStyle w:val="NormalHanging12a"/>
      </w:pPr>
      <w:r w:rsidRPr="00F2114F">
        <w:t>A.</w:t>
      </w:r>
      <w:r w:rsidRPr="00F2114F">
        <w:tab/>
        <w:t>arvestades, et liit on loonud õigusnormid ja eelarvevahendid, et anda lisaabi töötajatele, kes kannatavad maailmakaubanduses toimunud ulatuslike struktuursete sündmuste ja muutuste tagajärgede tõttu, ning aidata neil tööturule tagasi pöörduda; arvestades, et seda abi antakse töötajatele makstava rahalise toetuse kaudu; arvestades, et Euroopa tööstuse konkurentsivõime säilitamine ning innovatsiooni ja oskustesse tehtavate investeeringute suurendamine on olulised, et vältida tööstuse edasist allakäiku ja töökohtade kadumist kogu liidus;</w:t>
      </w:r>
    </w:p>
    <w:p w:rsidR="00B83F11" w:rsidRPr="00F2114F" w:rsidP="00B83F11" w14:paraId="513F248C" w14:textId="77777777">
      <w:pPr>
        <w:pStyle w:val="NormalHanging12a"/>
      </w:pPr>
      <w:r w:rsidRPr="00F2114F">
        <w:t>B.</w:t>
      </w:r>
      <w:r w:rsidRPr="00F2114F">
        <w:tab/>
        <w:t>arvestades, et Belgia esitas taotluse EGF/2025/009 BE/</w:t>
      </w:r>
      <w:r w:rsidRPr="00F2114F">
        <w:t>Soliver</w:t>
      </w:r>
      <w:r w:rsidRPr="00F2114F">
        <w:t xml:space="preserve">, et saada </w:t>
      </w:r>
      <w:r w:rsidRPr="00F2114F">
        <w:t>EGFist</w:t>
      </w:r>
      <w:r w:rsidRPr="00F2114F">
        <w:t xml:space="preserve"> rahalist toetust seoses 803 töötaja koondamisega</w:t>
      </w:r>
      <w:r>
        <w:rPr>
          <w:vertAlign w:val="superscript"/>
        </w:rPr>
        <w:footnoteReference w:id="7"/>
      </w:r>
      <w:r w:rsidRPr="00F2114F">
        <w:t xml:space="preserve"> ettevõttest </w:t>
      </w:r>
      <w:r w:rsidRPr="00F2114F">
        <w:t>Soliver</w:t>
      </w:r>
      <w:r w:rsidRPr="00F2114F">
        <w:t xml:space="preserve"> NV (</w:t>
      </w:r>
      <w:r w:rsidRPr="00F2114F">
        <w:t>Soliver</w:t>
      </w:r>
      <w:r w:rsidRPr="00F2114F">
        <w:t xml:space="preserve">) Belgias NACE </w:t>
      </w:r>
      <w:r w:rsidRPr="00F2114F">
        <w:t>Revision</w:t>
      </w:r>
      <w:r w:rsidRPr="00F2114F">
        <w:t xml:space="preserve"> 2 osa 46 (hulgikaubandus) alla kuuluvas majandussektoris </w:t>
      </w:r>
      <w:r w:rsidRPr="00F2114F">
        <w:t>Provincie</w:t>
      </w:r>
      <w:r w:rsidRPr="00F2114F">
        <w:t xml:space="preserve"> </w:t>
      </w:r>
      <w:r w:rsidRPr="00F2114F">
        <w:t>Oost-Vlaanderen</w:t>
      </w:r>
      <w:r w:rsidRPr="00F2114F">
        <w:t xml:space="preserve"> (BE23) ja </w:t>
      </w:r>
      <w:r w:rsidRPr="00F2114F">
        <w:t>Provincie</w:t>
      </w:r>
      <w:r w:rsidRPr="00F2114F">
        <w:t xml:space="preserve"> </w:t>
      </w:r>
      <w:r w:rsidRPr="00F2114F">
        <w:t>West-Vlaanderen</w:t>
      </w:r>
      <w:r w:rsidRPr="00F2114F">
        <w:t xml:space="preserve"> (BE25) piirkondades Flandrias vaatlusperioodil 1. juulist 2025 kuni 1. novembrini 2025;</w:t>
      </w:r>
    </w:p>
    <w:p w:rsidR="00B83F11" w:rsidRPr="00F2114F" w:rsidP="00B83F11" w14:paraId="7E69F728" w14:textId="77777777">
      <w:pPr>
        <w:pStyle w:val="NormalHanging12a"/>
      </w:pPr>
      <w:r w:rsidRPr="00F2114F">
        <w:t>C.</w:t>
      </w:r>
      <w:r w:rsidRPr="00F2114F">
        <w:tab/>
        <w:t xml:space="preserve">arvestades, et taotlus põhineb </w:t>
      </w:r>
      <w:r w:rsidRPr="00F2114F">
        <w:t>EGFi</w:t>
      </w:r>
      <w:r w:rsidRPr="00F2114F">
        <w:t xml:space="preserve"> määruse artikli 4 lõike 2 punktis a sätestatud sekkumiskriteeriumitel;</w:t>
      </w:r>
    </w:p>
    <w:p w:rsidR="00B83F11" w:rsidRPr="00F2114F" w:rsidP="00B83F11" w14:paraId="423BB3BD" w14:textId="77777777">
      <w:pPr>
        <w:pStyle w:val="NormalHanging12a"/>
        <w:rPr>
          <w:noProof/>
        </w:rPr>
      </w:pPr>
      <w:r w:rsidRPr="00F2114F">
        <w:t>D.</w:t>
      </w:r>
      <w:r w:rsidRPr="00F2114F">
        <w:tab/>
        <w:t xml:space="preserve">arvestades, et </w:t>
      </w:r>
      <w:r w:rsidRPr="00F2114F">
        <w:t>Soliver</w:t>
      </w:r>
      <w:r w:rsidRPr="00F2114F">
        <w:t xml:space="preserve"> esitas 2024. aasta detsembris pankrotiavalduse; arvestades, et Belgias on pankrotid alates 2022. aastast sagenenud ja töötus mõjutab tõsiselt mitut Flandria piirkonda;</w:t>
      </w:r>
    </w:p>
    <w:p w:rsidR="00B83F11" w:rsidRPr="00F2114F" w:rsidP="00B83F11" w14:paraId="076B3D65" w14:textId="77777777">
      <w:pPr>
        <w:pStyle w:val="NormalHanging12a"/>
        <w:rPr>
          <w:bCs/>
          <w:iCs/>
          <w:noProof/>
        </w:rPr>
      </w:pPr>
      <w:r w:rsidRPr="00F2114F">
        <w:t>E.</w:t>
      </w:r>
      <w:r w:rsidRPr="00F2114F">
        <w:tab/>
        <w:t xml:space="preserve">arvestades, et </w:t>
      </w:r>
      <w:r w:rsidRPr="00F2114F">
        <w:t>Soliveri</w:t>
      </w:r>
      <w:r w:rsidRPr="00F2114F">
        <w:t xml:space="preserve"> sulgemisest mõjutatud tööjõust väga suur osa on eakamad töötajad, kes seisavad tööturule naasmisel silmitsi konkreetsete ja kombineeritud takistustega, nagu vanuseline diskrimineerimine, oskuste mittevastavus tööturu nõudlusele ja piiratud juurdepääs ümberõppevõimalustele; arvestades, et eakamate töötajate erivajaduste rahuldamiseks tuleb kehtestada sihipärased meetmed, sealhulgas eakohased koolitusvormid, mentorlus ja koostöö tööandjatega, kes soovivad võtta tööle eri vanuses inimesi;</w:t>
      </w:r>
    </w:p>
    <w:p w:rsidR="00B83F11" w:rsidRPr="00F2114F" w:rsidP="00B83F11" w14:paraId="381EF61A" w14:textId="77777777">
      <w:pPr>
        <w:pStyle w:val="NormalHanging12a"/>
      </w:pPr>
      <w:r w:rsidRPr="00F2114F">
        <w:t>F.</w:t>
      </w:r>
      <w:r w:rsidRPr="00F2114F">
        <w:tab/>
        <w:t>arvestades, et VDAB pakub meetmete riiklikku eel- ja kaasrahastamist;</w:t>
      </w:r>
    </w:p>
    <w:p w:rsidR="00B83F11" w:rsidRPr="00F2114F" w:rsidP="00B83F11" w14:paraId="16D415F2" w14:textId="77777777">
      <w:pPr>
        <w:pStyle w:val="NormalHanging12a"/>
      </w:pPr>
      <w:r w:rsidRPr="00F2114F">
        <w:t>G.</w:t>
      </w:r>
      <w:r w:rsidRPr="00F2114F">
        <w:tab/>
        <w:t>arvestades, et liidu ja liikmesriigi õigusaktides sätestatud kollektiivse koondamise nõuded on täidetud;</w:t>
      </w:r>
    </w:p>
    <w:p w:rsidR="00B83F11" w:rsidRPr="00F2114F" w:rsidP="00B83F11" w14:paraId="615A97DD" w14:textId="77777777">
      <w:pPr>
        <w:pStyle w:val="NormalHanging12a"/>
      </w:pPr>
      <w:r w:rsidRPr="00F2114F">
        <w:t>H.</w:t>
      </w:r>
      <w:r w:rsidRPr="00F2114F">
        <w:tab/>
        <w:t xml:space="preserve">arvestades, et </w:t>
      </w:r>
      <w:r w:rsidRPr="00F2114F">
        <w:t>EGFist</w:t>
      </w:r>
      <w:r w:rsidRPr="00F2114F">
        <w:t xml:space="preserve"> antavat rahalist toetust tuleks peamiselt kasutada aktiivseteks tööturupoliitika meetmeteks ja individuaalseteks teenusteks, mille eesmärk on aidata toetusesaajatel kestlikult tööturule naasta ja töötada heades tingimustes, pakkudes neile samal ajal oskuste arendamise koolitust, et hõlbustada nende tagasipöördumist tööturule;</w:t>
      </w:r>
    </w:p>
    <w:p w:rsidR="00B83F11" w:rsidRPr="00F2114F" w:rsidP="00B83F11" w14:paraId="6B80E6E7" w14:textId="77777777">
      <w:pPr>
        <w:pStyle w:val="NormalHanging12a"/>
      </w:pPr>
      <w:r w:rsidRPr="00F2114F">
        <w:t>I.</w:t>
      </w:r>
      <w:r w:rsidRPr="00F2114F">
        <w:tab/>
        <w:t xml:space="preserve">arvestades, et </w:t>
      </w:r>
      <w:r w:rsidRPr="00F2114F">
        <w:t>EGFist</w:t>
      </w:r>
      <w:r w:rsidRPr="00F2114F">
        <w:t xml:space="preserve"> antav toetus ei tohi ületada iga-aastast maksimaalset summat, mis </w:t>
      </w:r>
      <w:r w:rsidRPr="00F2114F">
        <w:t>on 30 miljonit eurot (2018. aasta hindades)</w:t>
      </w:r>
      <w:r>
        <w:rPr>
          <w:rStyle w:val="FootnoteReference"/>
        </w:rPr>
        <w:footnoteReference w:id="8"/>
      </w:r>
      <w:r w:rsidRPr="00F2114F">
        <w:t>;</w:t>
      </w:r>
    </w:p>
    <w:p w:rsidR="00B83F11" w:rsidRPr="00F2114F" w:rsidP="00B83F11" w14:paraId="4B272228" w14:textId="77777777">
      <w:pPr>
        <w:pStyle w:val="NormalHanging12a"/>
      </w:pPr>
      <w:r w:rsidRPr="00F2114F">
        <w:t>1.</w:t>
      </w:r>
      <w:r w:rsidRPr="00F2114F">
        <w:tab/>
        <w:t xml:space="preserve">nõustub komisjoniga, et </w:t>
      </w:r>
      <w:r w:rsidRPr="00F2114F">
        <w:t>EGFi</w:t>
      </w:r>
      <w:r w:rsidRPr="00F2114F">
        <w:t xml:space="preserve"> määruses, eriti selle artikli 4 lõike 2 punktis a sätestatud tingimused on täidetud ja Belgial on õigus saada nimetatud määruse alusel rahalist toetust summas 2 132 535 eurot ehk 85 % 2 508 865 euro suurusest kogukulust, mis sisaldab individuaalsete teenuste kulusid summas 2 412 465 eurot ning ettevalmistus-, haldus-, teavitamis- ja reklaami- ning kontrolli- ja aruandluskulusid summas 96 400 eurot;</w:t>
      </w:r>
    </w:p>
    <w:p w:rsidR="00B83F11" w:rsidRPr="00F2114F" w:rsidP="00B83F11" w14:paraId="37562449" w14:textId="77777777">
      <w:pPr>
        <w:pStyle w:val="NormalHanging12a"/>
      </w:pPr>
      <w:r w:rsidRPr="00F2114F">
        <w:t>2.</w:t>
      </w:r>
      <w:r w:rsidRPr="00F2114F">
        <w:tab/>
        <w:t xml:space="preserve">märgib, et Belgia ametiasutused esitasid taotluse 22. detsembril 2025 ning pärast Belgialt lisateabe saamist viis komisjon taotluse hindamise lõpule peaaegu kuu aega enne tähtaega 30. aprillil 2026 ja andis sellest samal päeval Euroopa Parlamendile teada; rõhutab, kui oluline on lühendada aega, mis jääb </w:t>
      </w:r>
      <w:r w:rsidRPr="00F2114F">
        <w:t>EGFi</w:t>
      </w:r>
      <w:r w:rsidRPr="00F2114F">
        <w:t xml:space="preserve"> toetuse saamise taotluse esitamise ja rahastamisotsuse tegemise vahele, ning kaitsta samal ajal täielikult Euroopa Parlamendi kui eelarvepädeva institutsiooni õigusi;</w:t>
      </w:r>
    </w:p>
    <w:p w:rsidR="00B83F11" w:rsidRPr="00F2114F" w:rsidP="00B83F11" w14:paraId="7EBAD07E" w14:textId="77777777">
      <w:pPr>
        <w:pStyle w:val="NormalHanging12a"/>
        <w:rPr>
          <w:noProof/>
        </w:rPr>
      </w:pPr>
      <w:r w:rsidRPr="00F2114F">
        <w:t>3.</w:t>
      </w:r>
      <w:r w:rsidRPr="00F2114F">
        <w:tab/>
        <w:t xml:space="preserve">arvestades, et taotlus on esitatud seetõttu, et ettevõtja </w:t>
      </w:r>
      <w:r w:rsidRPr="00F2114F">
        <w:t>Soliver</w:t>
      </w:r>
      <w:r w:rsidRPr="00F2114F">
        <w:t xml:space="preserve"> koondas 803 töötajat;</w:t>
      </w:r>
    </w:p>
    <w:p w:rsidR="00B83F11" w:rsidRPr="00F2114F" w:rsidP="00B83F11" w14:paraId="5FDD7904" w14:textId="77777777">
      <w:pPr>
        <w:pStyle w:val="NormalHanging12a"/>
      </w:pPr>
      <w:r w:rsidRPr="00F2114F">
        <w:t>4.</w:t>
      </w:r>
      <w:r w:rsidRPr="00F2114F">
        <w:tab/>
        <w:t xml:space="preserve">võtab teadmiseks, et ehitus- ja autoklaasi tootja </w:t>
      </w:r>
      <w:r w:rsidRPr="00F2114F">
        <w:t>Soliver</w:t>
      </w:r>
      <w:r w:rsidRPr="00F2114F">
        <w:t xml:space="preserve"> suunas pärast seda, kui American Glass Products Holding (AGP) ettevõtte 2018. aastal omandas, tähelepanu üksnes kõrgtehnoloogilisele autoklaasile; märgib, et äriühingul hakkasid tekkima raskused, mis olid peamiselt seotud majandustegevuse vähenemisega autotööstuses tulenevalt sellest, et automudelid, mille jaoks äriühingu tooted olid mõeldud, tulid tootmisse hilinemisega, mis lõppkokkuvõttes tõi kaasa kasumlikkuse olulise vähenemise ja lõppes pankrotiga;</w:t>
      </w:r>
    </w:p>
    <w:p w:rsidR="00B83F11" w:rsidRPr="00F2114F" w:rsidP="00B83F11" w14:paraId="4E788969" w14:textId="77777777">
      <w:pPr>
        <w:pStyle w:val="NormalHanging12a"/>
        <w:rPr>
          <w:bCs/>
          <w:iCs/>
        </w:rPr>
      </w:pPr>
      <w:r w:rsidRPr="00F2114F">
        <w:t>5.</w:t>
      </w:r>
      <w:r w:rsidRPr="00F2114F">
        <w:tab/>
        <w:t>märgib, et klaasitööstus on energiamahukas ja seda on tõsiselt mõjutanud püsivalt kõrged energiahinnad, mis on oluliselt kahjustanud selle konkurentsivõimet; rõhutab, et konkurentsivõimeliste energiahindade saavutamine pikas perspektiivis eeldab usaldusväärse ja taskukohase energiavarustuse olulist suurendamist, sealhulgas energiaallikate ja tarneteede mitmekesistamise, liidusisese energiatootmise arendamise ja energialiidu täieliku väljakujundamise kaudu;</w:t>
      </w:r>
    </w:p>
    <w:p w:rsidR="00B83F11" w:rsidRPr="00F2114F" w:rsidP="00B83F11" w14:paraId="013C5DC3" w14:textId="77777777">
      <w:pPr>
        <w:pStyle w:val="NormalHanging12a"/>
        <w:rPr>
          <w:bCs/>
          <w:iCs/>
        </w:rPr>
      </w:pPr>
      <w:r w:rsidRPr="00F2114F">
        <w:t>6.</w:t>
      </w:r>
      <w:r w:rsidRPr="00F2114F">
        <w:tab/>
        <w:t>märgib, et kuigi tehniliste oskustega töötajatel või nendel, kes soovivad ümber õppida, on väga head võimalused leida tööd, on see tingitud tehniliste spetsialistide nappusest, mis tuleneb noorte vähesest osalemisest kutseõppes ja tööjõu vananemisest; toonitab, et koondatud töötajate tööle naasmine ja neile võrdse juurdepääsu tagamine kvaliteetsetele koolitusvõimalustele on tugeva tööstusbaasiga tulevikukindla Euroopa majanduse jaoks keskse tähtsusega; rõhutab sellega seoses liidu tööstuse konkurentsivõime tugevdamise tähtsust;</w:t>
      </w:r>
    </w:p>
    <w:p w:rsidR="00B83F11" w:rsidRPr="00F2114F" w:rsidP="00B83F11" w14:paraId="03E5A270" w14:textId="77777777">
      <w:pPr>
        <w:pStyle w:val="NormalHanging12a"/>
        <w:rPr>
          <w:noProof/>
        </w:rPr>
      </w:pPr>
      <w:r w:rsidRPr="00F2114F">
        <w:t>7.</w:t>
      </w:r>
      <w:r w:rsidRPr="00F2114F">
        <w:tab/>
        <w:t>peab kahetsusväärseks, et pankrottide arvu suurenemine viimase mõne aasta jooksul on avaldanud negatiivset mõju tööhõive määrale mõnes Belgia piirkonnas, eelkõige Flandrias; rõhutab, et Flandrias seisavad koondatud vanemad töötajad tööturule naasmisel silmitsi suuremate takistustega; kutsub Belgia ametiasutusi üles pakkuma kohandatud eritoetust, et aidata töötajatel arendada oskusi, mis on vajalikud uue kvaliteetse töökoha leidmiseks, võttes samal ajal meetmeid pankrottide vähendamiseks ja töötajate tõrjutuseni viiva sotsiaalse ebavõrdsuse käsitlemiseks;</w:t>
      </w:r>
    </w:p>
    <w:p w:rsidR="00B83F11" w:rsidRPr="00F2114F" w:rsidP="00B83F11" w14:paraId="1B9556B1" w14:textId="77777777">
      <w:pPr>
        <w:pStyle w:val="NormalHanging12a"/>
      </w:pPr>
      <w:r w:rsidRPr="00F2114F">
        <w:t>8.</w:t>
      </w:r>
      <w:r w:rsidRPr="00F2114F">
        <w:tab/>
        <w:t xml:space="preserve">tuletab meelde, et kokkuleppel ekspertide ja sotsiaalpartneritega sisaldavad kõigile </w:t>
      </w:r>
      <w:r w:rsidRPr="00F2114F">
        <w:t>töötajatele osutatavad individuaalsed teenused järgmisi meetmeid: kogenud konsultantide ja kliendihaldurite rakkerühm, mis pakub individuaalseid nõustamisteenuseid; individuaalset juhendamist võimaldavad koondamisjärgsed teenused; abi töö leidmisel; tugevdatud abi tööotsingutel; koolitus ja ümberõpe, sealhulgas töökohapõhine koolitus; osalemine töömessidel; rõhutab, kui oluline on edendada kvaliteetseid ja tulevikku suunatud töökohti, mis suurendavad konkurentsivõimet ja toetavad digiüleminekut;</w:t>
      </w:r>
    </w:p>
    <w:p w:rsidR="00B83F11" w:rsidRPr="00F2114F" w:rsidP="00B83F11" w14:paraId="4B2B8585" w14:textId="77777777">
      <w:pPr>
        <w:pStyle w:val="NormalHanging12a"/>
      </w:pPr>
      <w:r w:rsidRPr="00F2114F">
        <w:t>9.</w:t>
      </w:r>
      <w:r w:rsidRPr="00F2114F">
        <w:tab/>
        <w:t xml:space="preserve">tuletab meelde, et EGF on solidaarsuse ja õiglase ülemineku vahend ning kuigi sellest antakse toetust pärast töökohtade kadumist, ei saa see asendada ennetavat tööstuspoliitikat; on seisukohal, et </w:t>
      </w:r>
      <w:r w:rsidRPr="00F2114F">
        <w:t>EGFi</w:t>
      </w:r>
      <w:r w:rsidRPr="00F2114F">
        <w:t xml:space="preserve"> kasutuselevõtmine peab toimuma ulatuslikumate poliitilise meetmete raames kõigil poliitilistel tasanditel, et tagada mõjutatud töötajatele piisavad võimalused, mis vastavad nende kvalifikatsioonile ja oskustele; rõhutab, et liidu esmane ülesanne peab olema selliste sulgemiste ennetamine, luues tingimused selleks, et hoida tööstuslik tootmine konkurentsivõimelisena ja sotsiaalkindlustussüsteemid rahaliselt kestlikena, investeerides samal ajal nii kõrge kvalifikatsiooniga töötajate kui ka tööstustöötajate oskustesse; toonitab vajadust pakkuda töötajate profiilidele kohandatud eritoetust, võttes samal ajal meetmeid pankrottide vähendamiseks ja tööturult kõrvalejäämist põhjustava sotsiaalse ebavõrdsuse käsitlemiseks; rõhutab, et tarbetu regulatiivse ja halduskoormuse vähendamine on oluline, et toetada tööstuse konkurentsivõimet, kaasata investeeringuid ja säilitada liidus kvaliteetseid töökohti;</w:t>
      </w:r>
    </w:p>
    <w:p w:rsidR="00B83F11" w:rsidRPr="00F2114F" w:rsidP="00B83F11" w14:paraId="5FAE293A" w14:textId="77777777">
      <w:pPr>
        <w:pStyle w:val="NormalHanging12a"/>
        <w:rPr>
          <w:bCs/>
          <w:iCs/>
        </w:rPr>
      </w:pPr>
      <w:r w:rsidRPr="00F2114F">
        <w:t>10.</w:t>
      </w:r>
      <w:r w:rsidRPr="00F2114F">
        <w:tab/>
        <w:t>rõhutab, et Belgia ametiasutused tagavad liidu rahastamise nähtavuse ja toovad välja selle lisaväärtuse, andes toetusesaajatele, piirkondlikele ja kohalikele ametiasutustele, sotsiaalpartneritele ja laiemale üldsusele mõjusat ja sihipärast teavet;</w:t>
      </w:r>
    </w:p>
    <w:p w:rsidR="00B83F11" w:rsidRPr="00F2114F" w:rsidP="00B83F11" w14:paraId="3770796D" w14:textId="77777777">
      <w:pPr>
        <w:pStyle w:val="NormalHanging12a"/>
      </w:pPr>
      <w:r w:rsidRPr="00F2114F">
        <w:t>11.</w:t>
      </w:r>
      <w:r w:rsidRPr="00F2114F">
        <w:tab/>
        <w:t>kutsub komisjoni üles tagama vahendi võrdne nähtavus kõigis liikmesriikides ja edendama selle lisaväärtust, levitades sihipärast teavet riiklikele ametiasutustele, kes peaksid sellist teavet edastama koondamistest mõjutatud ettevõtetele, piirkondlikele ja kohalikele ametiasutustele, sotsiaalpartneritele ja laiemale üldsusele;</w:t>
      </w:r>
    </w:p>
    <w:p w:rsidR="00B83F11" w:rsidRPr="00F2114F" w:rsidP="00B83F11" w14:paraId="70EF1EE4" w14:textId="41702BF8">
      <w:pPr>
        <w:pStyle w:val="NormalHanging12a"/>
        <w:rPr>
          <w:bCs/>
          <w:iCs/>
        </w:rPr>
      </w:pPr>
      <w:r w:rsidRPr="00F2114F">
        <w:t>12.</w:t>
      </w:r>
      <w:r w:rsidRPr="00F2114F">
        <w:tab/>
        <w:t xml:space="preserve">nõuab võetud meetmete põhjalikku lõpphindamist koostöös sotsiaalpartneritega, sealhulgas selget ja läbipaistvat teavet vahendite kasutamise, töötajate tööturule tagasipöördumise ja </w:t>
      </w:r>
      <w:r w:rsidRPr="00F2114F">
        <w:t>EGFi</w:t>
      </w:r>
      <w:r w:rsidRPr="00F2114F">
        <w:t xml:space="preserve"> eesmärkide saavutamise kohta; rõhutab sellega seoses, kui oluline on </w:t>
      </w:r>
      <w:r w:rsidRPr="00F2114F">
        <w:t>EGFist</w:t>
      </w:r>
      <w:r w:rsidRPr="00F2114F">
        <w:t xml:space="preserve"> rahastatavate meetmete korrapärane </w:t>
      </w:r>
      <w:r w:rsidRPr="00F2114F" w:rsidR="009557D3">
        <w:t>seire</w:t>
      </w:r>
      <w:r w:rsidRPr="00F2114F">
        <w:t>, et hinnata nende mõjusust;</w:t>
      </w:r>
    </w:p>
    <w:p w:rsidR="00B83F11" w:rsidRPr="00F2114F" w:rsidP="00B83F11" w14:paraId="2080F7EF" w14:textId="77777777">
      <w:pPr>
        <w:pStyle w:val="NormalHanging12a"/>
      </w:pPr>
      <w:r w:rsidRPr="00F2114F">
        <w:t>13.</w:t>
      </w:r>
      <w:r w:rsidRPr="00F2114F">
        <w:tab/>
        <w:t xml:space="preserve">märgib, et Belgia hakkas sihtrühma kuuluvatele toetusesaajatele individuaalseid teenuseid osutama ja </w:t>
      </w:r>
      <w:r w:rsidRPr="00F2114F">
        <w:t>EGFi</w:t>
      </w:r>
      <w:r w:rsidRPr="00F2114F">
        <w:t xml:space="preserve"> rakendamisega seotud halduskulusid kandma alates 11. juunist 2025 ning et individuaalsete teenuste osutamise puhul kehtib rahastamiskõlblikkuse periood </w:t>
      </w:r>
      <w:r w:rsidRPr="00F2114F">
        <w:t>EGFi</w:t>
      </w:r>
      <w:r w:rsidRPr="00F2114F">
        <w:t xml:space="preserve"> rahalise toetuse saamiseks finantseerimisotsuse kuupäevast kuni 24 kuu möödumiseni ja halduskulude kandmise puhul kuni 31 kuu möödumiseni;</w:t>
      </w:r>
    </w:p>
    <w:p w:rsidR="00B83F11" w:rsidRPr="00F2114F" w:rsidP="00B83F11" w14:paraId="0EB43CE8" w14:textId="77777777">
      <w:pPr>
        <w:pStyle w:val="NormalHanging12a"/>
      </w:pPr>
      <w:r w:rsidRPr="00F2114F">
        <w:t>14.</w:t>
      </w:r>
      <w:r w:rsidRPr="00F2114F">
        <w:tab/>
        <w:t xml:space="preserve">märgib, et Belgia ametiasutused on kinnitanud, et kavandatud meetmetele juurdepääsul ja nende rakendamisel järgitakse võrdse kohtlemise ja mittediskrimineerimise põhimõtteid ning välditakse </w:t>
      </w:r>
      <w:r w:rsidRPr="00F2114F">
        <w:t>topeltrahastamist</w:t>
      </w:r>
      <w:r w:rsidRPr="00F2114F">
        <w:t>;</w:t>
      </w:r>
    </w:p>
    <w:p w:rsidR="00B83F11" w:rsidRPr="00F2114F" w:rsidP="00B83F11" w14:paraId="339142C9" w14:textId="77777777">
      <w:pPr>
        <w:pStyle w:val="NormalHanging12a"/>
      </w:pPr>
      <w:r w:rsidRPr="00F2114F">
        <w:t>15.</w:t>
      </w:r>
      <w:r w:rsidRPr="00F2114F">
        <w:tab/>
        <w:t xml:space="preserve">kordab, et </w:t>
      </w:r>
      <w:r w:rsidRPr="00F2114F">
        <w:t>EGFi</w:t>
      </w:r>
      <w:r w:rsidRPr="00F2114F">
        <w:t xml:space="preserve"> toetus ei tohi asendada meetmeid, mis on riigisisese õiguse või kollektiivlepingute kohaselt avaliku sektori asutuste või äriühingute vastutusalas; tuletab meelde, et EGF on piiratud, sihipärane ja täiendav mehhanism;</w:t>
      </w:r>
    </w:p>
    <w:p w:rsidR="00B83F11" w:rsidRPr="00F2114F" w:rsidP="00B83F11" w14:paraId="66BBDCD4" w14:textId="77777777">
      <w:pPr>
        <w:pStyle w:val="NormalHanging12a"/>
      </w:pPr>
      <w:r w:rsidRPr="00F2114F">
        <w:t>16.</w:t>
      </w:r>
      <w:r w:rsidRPr="00F2114F">
        <w:tab/>
        <w:t>kiidab käesolevale resolutsioonile lisatud otsuse heaks;</w:t>
      </w:r>
    </w:p>
    <w:p w:rsidR="00B83F11" w:rsidRPr="00F2114F" w:rsidP="00B83F11" w14:paraId="5013999D" w14:textId="77777777">
      <w:pPr>
        <w:pStyle w:val="NormalHanging12a"/>
      </w:pPr>
      <w:r w:rsidRPr="00F2114F">
        <w:t>17.</w:t>
      </w:r>
      <w:r w:rsidRPr="00F2114F">
        <w:tab/>
        <w:t xml:space="preserve">teeb presidendile ülesandeks kirjutada koos nõukogu eesistujaga otsusele alla ja korraldada selle avaldamine </w:t>
      </w:r>
      <w:r w:rsidRPr="00F2114F">
        <w:rPr>
          <w:i/>
        </w:rPr>
        <w:t>Euroopa Liidu Teatajas</w:t>
      </w:r>
      <w:r w:rsidRPr="00F2114F">
        <w:t>;</w:t>
      </w:r>
    </w:p>
    <w:p w:rsidR="00B83F11" w:rsidRPr="00F2114F" w:rsidP="00B83F11" w14:paraId="1AF90BC1" w14:textId="77777777">
      <w:pPr>
        <w:pStyle w:val="NormalHanging12a"/>
      </w:pPr>
      <w:r w:rsidRPr="00F2114F">
        <w:t>18.</w:t>
      </w:r>
      <w:r w:rsidRPr="00F2114F">
        <w:tab/>
        <w:t>teeb presidendile ülesandeks edastada käesolev resolutsioon koos selle lisaga nõukogule ja komisjonile.</w:t>
      </w:r>
    </w:p>
    <w:p w:rsidR="00B83F11" w:rsidRPr="00F2114F" w:rsidP="00B83F11" w14:paraId="5F44BE48" w14:textId="77777777">
      <w:pPr>
        <w:pStyle w:val="NormalHanging12a"/>
      </w:pPr>
    </w:p>
    <w:p w:rsidR="00B83F11" w:rsidRPr="00F2114F" w:rsidP="00B83F11" w14:paraId="6B44C1D2" w14:textId="77777777">
      <w:pPr>
        <w:rPr>
          <w:noProof/>
        </w:rPr>
      </w:pPr>
    </w:p>
    <w:p w:rsidR="00B83F11" w:rsidRPr="00F2114F" w:rsidP="00B83F11" w14:paraId="47CC842F" w14:textId="77777777">
      <w:pPr>
        <w:pStyle w:val="PageHeading"/>
        <w:rPr>
          <w:noProof/>
        </w:rPr>
        <w:sectPr w:rsidSect="009B0ABD">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34219" w:rsidP="00B83F11" w14:paraId="74468D3D" w14:textId="77777777">
      <w:pPr>
        <w:pStyle w:val="PageHeading"/>
      </w:pPr>
      <w:bookmarkStart w:id="7" w:name="_Toc232087271"/>
      <w:r w:rsidRPr="00F2114F">
        <w:t>LISA</w:t>
      </w:r>
    </w:p>
    <w:p w:rsidR="00B83F11" w:rsidRPr="00F2114F" w:rsidP="00B83F11" w14:paraId="0BF7D253" w14:textId="3330DACC">
      <w:pPr>
        <w:pStyle w:val="PageHeading"/>
        <w:rPr>
          <w:noProof/>
        </w:rPr>
      </w:pPr>
      <w:r w:rsidRPr="00F2114F">
        <w:t>EUROOPA PARLAMENDI JA NÕUKOGU OTSUS</w:t>
      </w:r>
      <w:bookmarkEnd w:id="7"/>
    </w:p>
    <w:p w:rsidR="00B83F11" w:rsidRPr="00F2114F" w:rsidP="00934219" w14:paraId="3D4C6610" w14:textId="77777777">
      <w:pPr>
        <w:pStyle w:val="Titreobjet"/>
        <w:rPr>
          <w:noProof/>
        </w:rPr>
      </w:pPr>
      <w:r w:rsidRPr="00F2114F">
        <w:t>koondatud töötajate toetuseks loodud Globaliseerumisega Kohanemise Euroopa Fondi kasutuselevõtmise kohta (Belgia taotlus – EGF/2025/009 BE/</w:t>
      </w:r>
      <w:r w:rsidRPr="00F2114F">
        <w:t>Soliver</w:t>
      </w:r>
      <w:r w:rsidRPr="00F2114F">
        <w:t>)</w:t>
      </w:r>
    </w:p>
    <w:p w:rsidR="00934219" w:rsidRPr="006D4016" w:rsidP="00934219" w14:paraId="0DDE6916" w14:textId="56D7CE59">
      <w:pPr>
        <w:rPr>
          <w:i/>
        </w:rPr>
      </w:pPr>
      <w:bookmarkStart w:id="8" w:name="_Hlk228802707"/>
      <w:bookmarkEnd w:id="8"/>
      <w:r w:rsidRPr="006D4016">
        <w:rPr>
          <w:i/>
        </w:rPr>
        <w:t>(Kuna Euroopa Parlament ja nõukogu jõudsid kokkuleppele, vastab Euroopa Parlamendi seisukoht õigusakti (</w:t>
      </w:r>
      <w:r w:rsidRPr="00934219">
        <w:rPr>
          <w:i/>
        </w:rPr>
        <w:t>otsus (EL) </w:t>
      </w:r>
      <w:r w:rsidRPr="00934219">
        <w:rPr>
          <w:i/>
        </w:rPr>
        <w:t>2026</w:t>
      </w:r>
      <w:r w:rsidRPr="00934219">
        <w:rPr>
          <w:i/>
        </w:rPr>
        <w:t>/</w:t>
      </w:r>
      <w:r w:rsidRPr="00934219">
        <w:rPr>
          <w:i/>
        </w:rPr>
        <w:t>1543</w:t>
      </w:r>
      <w:r w:rsidRPr="006D4016">
        <w:rPr>
          <w:i/>
        </w:rPr>
        <w:t>) lõplikule kujule).</w:t>
      </w:r>
    </w:p>
    <w:p w:rsidR="00B83F11" w:rsidRPr="00F2114F" w:rsidP="00B83F11" w14:paraId="36F43839" w14:textId="77777777">
      <w:pPr>
        <w:pStyle w:val="Institutionquisigne"/>
        <w:spacing w:before="100" w:beforeAutospacing="1" w:after="100" w:afterAutospacing="1"/>
        <w:rPr>
          <w:i w:val="0"/>
          <w:noProof/>
        </w:rPr>
      </w:pPr>
    </w:p>
    <w:sectPr w:rsidSect="009B0AB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3F11" w:rsidRPr="009B0ABD" w:rsidP="000A1A01" w14:paraId="677E8A8E" w14:textId="77777777">
    <w:pPr>
      <w:pStyle w:val="EPFooter"/>
    </w:pPr>
    <w:r w:rsidRPr="009B0ABD">
      <w:t>PE</w:t>
    </w:r>
    <w:r w:rsidRPr="009B0ABD">
      <w:rPr>
        <w:rStyle w:val="HideTWBExt"/>
      </w:rPr>
      <w:t>&lt;</w:t>
    </w:r>
    <w:r w:rsidRPr="009B0ABD">
      <w:rPr>
        <w:rStyle w:val="HideTWBExt"/>
      </w:rPr>
      <w:t>NoPE</w:t>
    </w:r>
    <w:r w:rsidRPr="009B0ABD">
      <w:rPr>
        <w:rStyle w:val="HideTWBExt"/>
      </w:rPr>
      <w:t>&gt;</w:t>
    </w:r>
    <w:r w:rsidRPr="009B0ABD">
      <w:t>787.923</w:t>
    </w:r>
    <w:r w:rsidRPr="009B0ABD">
      <w:rPr>
        <w:rStyle w:val="HideTWBExt"/>
      </w:rPr>
      <w:t>&lt;/</w:t>
    </w:r>
    <w:r w:rsidRPr="009B0ABD">
      <w:rPr>
        <w:rStyle w:val="HideTWBExt"/>
      </w:rPr>
      <w:t>NoPE</w:t>
    </w:r>
    <w:r w:rsidRPr="009B0ABD">
      <w:rPr>
        <w:rStyle w:val="HideTWBExt"/>
      </w:rPr>
      <w:t>&gt;&lt;Version&gt;</w:t>
    </w:r>
    <w:r w:rsidRPr="009B0ABD">
      <w:t>v02-00</w:t>
    </w:r>
    <w:r w:rsidRPr="009B0ABD">
      <w:rPr>
        <w:rStyle w:val="HideTWBExt"/>
      </w:rPr>
      <w:t>&lt;/</w:t>
    </w:r>
    <w:r w:rsidRPr="009B0ABD">
      <w:rPr>
        <w:rStyle w:val="HideTWBExt"/>
      </w:rPr>
      <w:t>Version</w:t>
    </w:r>
    <w:r w:rsidRPr="009B0ABD">
      <w:rPr>
        <w:rStyle w:val="HideTWBExt"/>
      </w:rPr>
      <w:t>&gt;</w:t>
    </w:r>
    <w:r w:rsidRPr="009B0ABD">
      <w:tab/>
    </w:r>
    <w:r w:rsidRPr="009B0ABD">
      <w:fldChar w:fldCharType="begin"/>
    </w:r>
    <w:r w:rsidRPr="009B0ABD">
      <w:instrText xml:space="preserve"> PAGE  \* MERGEFORMAT </w:instrText>
    </w:r>
    <w:r w:rsidRPr="009B0ABD">
      <w:fldChar w:fldCharType="separate"/>
    </w:r>
    <w:r w:rsidRPr="009B0ABD">
      <w:rPr>
        <w:noProof/>
      </w:rPr>
      <w:t>2</w:t>
    </w:r>
    <w:r w:rsidRPr="009B0ABD">
      <w:fldChar w:fldCharType="end"/>
    </w:r>
    <w:r w:rsidRPr="009B0ABD">
      <w:t>/</w:t>
    </w:r>
    <w:r>
      <w:fldChar w:fldCharType="begin"/>
    </w:r>
    <w:r>
      <w:instrText xml:space="preserve"> NUMPAGES  \* MERGEFORMAT </w:instrText>
    </w:r>
    <w:r>
      <w:fldChar w:fldCharType="separate"/>
    </w:r>
    <w:r w:rsidRPr="009B0ABD">
      <w:rPr>
        <w:noProof/>
      </w:rPr>
      <w:t>19</w:t>
    </w:r>
    <w:r w:rsidRPr="009B0ABD">
      <w:rPr>
        <w:noProof/>
      </w:rPr>
      <w:fldChar w:fldCharType="end"/>
    </w:r>
    <w:r w:rsidRPr="009B0ABD">
      <w:tab/>
    </w:r>
    <w:r w:rsidRPr="009B0ABD">
      <w:rPr>
        <w:rStyle w:val="HideTWBExt"/>
      </w:rPr>
      <w:t>&lt;PathFdR&gt;</w:t>
    </w:r>
    <w:r w:rsidRPr="009B0ABD">
      <w:t>RR\1345097ET.docx</w:t>
    </w:r>
    <w:r w:rsidRPr="009B0ABD">
      <w:rPr>
        <w:rStyle w:val="HideTWBExt"/>
      </w:rPr>
      <w:t>&lt;/</w:t>
    </w:r>
    <w:r w:rsidRPr="009B0ABD">
      <w:rPr>
        <w:rStyle w:val="HideTWBExt"/>
      </w:rPr>
      <w:t>PathFdR</w:t>
    </w:r>
    <w:r w:rsidRPr="009B0ABD">
      <w:rPr>
        <w:rStyle w:val="HideTWBExt"/>
      </w:rPr>
      <w:t>&gt;</w:t>
    </w:r>
  </w:p>
  <w:p w:rsidR="00B83F11" w:rsidRPr="009B0ABD" w:rsidP="000A1A01" w14:paraId="7C965B53" w14:textId="77777777">
    <w:pPr>
      <w:pStyle w:val="EPFooter2"/>
    </w:pPr>
    <w:r w:rsidRPr="009B0ABD">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83F11" w:rsidRPr="009B0ABD" w:rsidP="000A1A01" w14:paraId="5BC77F9D" w14:textId="77777777">
    <w:pPr>
      <w:pStyle w:val="EPFooter"/>
    </w:pPr>
    <w:r w:rsidRPr="009B0ABD">
      <w:rPr>
        <w:rStyle w:val="HideTWBExt"/>
      </w:rPr>
      <w:t>&lt;PathFdR&gt;</w:t>
    </w:r>
    <w:r w:rsidRPr="009B0ABD">
      <w:t>RR\1345097ET.docx</w:t>
    </w:r>
    <w:r w:rsidRPr="009B0ABD">
      <w:rPr>
        <w:rStyle w:val="HideTWBExt"/>
      </w:rPr>
      <w:t>&lt;/</w:t>
    </w:r>
    <w:r w:rsidRPr="009B0ABD">
      <w:rPr>
        <w:rStyle w:val="HideTWBExt"/>
      </w:rPr>
      <w:t>PathFdR</w:t>
    </w:r>
    <w:r w:rsidRPr="009B0ABD">
      <w:rPr>
        <w:rStyle w:val="HideTWBExt"/>
      </w:rPr>
      <w:t>&gt;</w:t>
    </w:r>
    <w:r w:rsidRPr="009B0ABD">
      <w:tab/>
    </w:r>
    <w:r w:rsidRPr="009B0ABD">
      <w:tab/>
      <w:t>PE</w:t>
    </w:r>
    <w:r w:rsidRPr="009B0ABD">
      <w:rPr>
        <w:rStyle w:val="HideTWBExt"/>
      </w:rPr>
      <w:t>&lt;</w:t>
    </w:r>
    <w:r w:rsidRPr="009B0ABD">
      <w:rPr>
        <w:rStyle w:val="HideTWBExt"/>
      </w:rPr>
      <w:t>NoPE</w:t>
    </w:r>
    <w:r w:rsidRPr="009B0ABD">
      <w:rPr>
        <w:rStyle w:val="HideTWBExt"/>
      </w:rPr>
      <w:t>&gt;</w:t>
    </w:r>
    <w:r w:rsidRPr="009B0ABD">
      <w:t>787.923</w:t>
    </w:r>
    <w:r w:rsidRPr="009B0ABD">
      <w:rPr>
        <w:rStyle w:val="HideTWBExt"/>
      </w:rPr>
      <w:t>&lt;/</w:t>
    </w:r>
    <w:r w:rsidRPr="009B0ABD">
      <w:rPr>
        <w:rStyle w:val="HideTWBExt"/>
      </w:rPr>
      <w:t>NoPE</w:t>
    </w:r>
    <w:r w:rsidRPr="009B0ABD">
      <w:rPr>
        <w:rStyle w:val="HideTWBExt"/>
      </w:rPr>
      <w:t>&gt;&lt;Version&gt;</w:t>
    </w:r>
    <w:r w:rsidRPr="009B0ABD">
      <w:t>v02-00</w:t>
    </w:r>
    <w:r w:rsidRPr="009B0ABD">
      <w:rPr>
        <w:rStyle w:val="HideTWBExt"/>
      </w:rPr>
      <w:t>&lt;/</w:t>
    </w:r>
    <w:r w:rsidRPr="009B0ABD">
      <w:rPr>
        <w:rStyle w:val="HideTWBExt"/>
      </w:rPr>
      <w:t>Version</w:t>
    </w:r>
    <w:r w:rsidRPr="009B0ABD">
      <w:rPr>
        <w:rStyle w:val="HideTWBExt"/>
      </w:rPr>
      <w:t>&gt;</w:t>
    </w:r>
  </w:p>
  <w:p w:rsidR="00B83F11" w:rsidRPr="009B0ABD" w:rsidP="000A1A01" w14:paraId="0F778DD8" w14:textId="77777777">
    <w:pPr>
      <w:pStyle w:val="EPFooter2"/>
    </w:pPr>
    <w:r w:rsidRPr="009B0ABD">
      <w:t>ET</w:t>
    </w:r>
    <w:r w:rsidRPr="009B0ABD">
      <w:tab/>
    </w:r>
    <w:r w:rsidRPr="009B0ABD">
      <w:rPr>
        <w:b w:val="0"/>
        <w:i/>
        <w:color w:val="C0C0C0"/>
        <w:sz w:val="22"/>
      </w:rPr>
      <w:t>Ühinenud mitmekesisuses</w:t>
    </w:r>
    <w:r w:rsidRPr="009B0ABD">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0ABD" w14:paraId="10C694A1"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0ABD" w14:paraId="23FE3A4A"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0ABD" w14:paraId="0EF5998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E746E" w:rsidRPr="009B0ABD" w14:paraId="34ACCC0E" w14:textId="77777777">
      <w:r w:rsidRPr="009B0ABD">
        <w:separator/>
      </w:r>
    </w:p>
  </w:footnote>
  <w:footnote w:type="continuationSeparator" w:id="1">
    <w:p w:rsidR="009E746E" w:rsidRPr="009B0ABD" w14:paraId="47A7A4BB" w14:textId="77777777">
      <w:r w:rsidRPr="009B0ABD">
        <w:continuationSeparator/>
      </w:r>
    </w:p>
  </w:footnote>
  <w:footnote w:id="2">
    <w:p w:rsidR="00B83F11" w:rsidRPr="002423D8" w:rsidP="002423D8" w14:paraId="67AFB923" w14:textId="03ABDB4F">
      <w:pPr>
        <w:pStyle w:val="FootnoteText"/>
        <w:ind w:left="567" w:hanging="567"/>
        <w:rPr>
          <w:sz w:val="24"/>
          <w:szCs w:val="24"/>
          <w:lang w:val="et-EE"/>
        </w:rPr>
      </w:pPr>
      <w:r w:rsidRPr="002423D8">
        <w:rPr>
          <w:rStyle w:val="FootnoteReference"/>
          <w:sz w:val="24"/>
          <w:szCs w:val="24"/>
          <w:lang w:val="et-EE"/>
        </w:rPr>
        <w:footnoteRef/>
      </w:r>
      <w:r w:rsidRPr="002423D8" w:rsidR="009B0ABD">
        <w:rPr>
          <w:sz w:val="24"/>
          <w:szCs w:val="24"/>
          <w:lang w:val="et-EE"/>
        </w:rPr>
        <w:tab/>
      </w:r>
      <w:r w:rsidRPr="002423D8">
        <w:rPr>
          <w:sz w:val="24"/>
          <w:szCs w:val="24"/>
          <w:lang w:val="et-EE"/>
        </w:rPr>
        <w:t xml:space="preserve">ELT L 153, 3.5.2021, lk 48, ELI: </w:t>
      </w:r>
      <w:hyperlink r:id="rId1" w:history="1">
        <w:r w:rsidRPr="002423D8">
          <w:rPr>
            <w:rStyle w:val="Hyperlink"/>
            <w:sz w:val="24"/>
            <w:szCs w:val="24"/>
            <w:lang w:val="et-EE"/>
          </w:rPr>
          <w:t>http://data.europa.eu/eli/reg/2021/691/oj</w:t>
        </w:r>
      </w:hyperlink>
      <w:r w:rsidRPr="002423D8">
        <w:rPr>
          <w:sz w:val="24"/>
          <w:szCs w:val="24"/>
          <w:lang w:val="et-EE"/>
        </w:rPr>
        <w:t>.</w:t>
      </w:r>
    </w:p>
  </w:footnote>
  <w:footnote w:id="3">
    <w:p w:rsidR="00B83F11" w:rsidRPr="002423D8" w:rsidP="002423D8" w14:paraId="5B5E71BE" w14:textId="6F87581A">
      <w:pPr>
        <w:pStyle w:val="FootnoteText"/>
        <w:ind w:left="567" w:hanging="567"/>
        <w:rPr>
          <w:sz w:val="24"/>
          <w:szCs w:val="24"/>
          <w:lang w:val="et-EE"/>
        </w:rPr>
      </w:pPr>
      <w:r w:rsidRPr="002423D8">
        <w:rPr>
          <w:rStyle w:val="FootnoteReference"/>
          <w:sz w:val="24"/>
          <w:szCs w:val="24"/>
          <w:lang w:val="et-EE"/>
        </w:rPr>
        <w:footnoteRef/>
      </w:r>
      <w:r w:rsidRPr="002423D8" w:rsidR="009B0ABD">
        <w:rPr>
          <w:sz w:val="24"/>
          <w:szCs w:val="24"/>
          <w:lang w:val="et-EE"/>
        </w:rPr>
        <w:tab/>
      </w:r>
      <w:r w:rsidRPr="002423D8">
        <w:rPr>
          <w:sz w:val="24"/>
          <w:szCs w:val="24"/>
          <w:lang w:val="et-EE"/>
        </w:rPr>
        <w:t>ELT L, 2026/1139, 20.5.2026, ELI: </w:t>
      </w:r>
      <w:hyperlink r:id="rId2" w:tgtFrame="_blank" w:tooltip="Annab juurdepääsu sellele dokumendile tema ELI URI kaudu." w:history="1">
        <w:r w:rsidRPr="002423D8">
          <w:rPr>
            <w:rStyle w:val="Hyperlink"/>
            <w:color w:val="0070C0"/>
            <w:sz w:val="24"/>
            <w:szCs w:val="24"/>
            <w:lang w:val="et-EE"/>
          </w:rPr>
          <w:t>http://data.europa.eu/eli/reg/2026/1139/oj</w:t>
        </w:r>
      </w:hyperlink>
      <w:r w:rsidRPr="002423D8">
        <w:rPr>
          <w:color w:val="0070C0"/>
          <w:sz w:val="24"/>
          <w:szCs w:val="24"/>
          <w:lang w:val="et-EE"/>
        </w:rPr>
        <w:t>.</w:t>
      </w:r>
    </w:p>
  </w:footnote>
  <w:footnote w:id="4">
    <w:p w:rsidR="00B83F11" w:rsidRPr="002423D8" w:rsidP="002423D8" w14:paraId="513E73CB" w14:textId="11D6640F">
      <w:pPr>
        <w:pStyle w:val="FootnoteText"/>
        <w:ind w:left="567" w:hanging="567"/>
        <w:rPr>
          <w:sz w:val="24"/>
          <w:szCs w:val="24"/>
          <w:lang w:val="et-EE"/>
        </w:rPr>
      </w:pPr>
      <w:r w:rsidRPr="002423D8">
        <w:rPr>
          <w:rStyle w:val="FootnoteReference"/>
          <w:sz w:val="24"/>
          <w:szCs w:val="24"/>
          <w:lang w:val="et-EE"/>
        </w:rPr>
        <w:footnoteRef/>
      </w:r>
      <w:r w:rsidRPr="002423D8" w:rsidR="009B0ABD">
        <w:rPr>
          <w:sz w:val="24"/>
          <w:szCs w:val="24"/>
          <w:lang w:val="et-EE"/>
        </w:rPr>
        <w:tab/>
      </w:r>
      <w:r w:rsidRPr="002423D8">
        <w:rPr>
          <w:sz w:val="24"/>
          <w:szCs w:val="24"/>
          <w:lang w:val="et-EE"/>
        </w:rPr>
        <w:t xml:space="preserve">ELT L 433 I, 22.12.2020, lk 11, ELI: </w:t>
      </w:r>
      <w:hyperlink r:id="rId3" w:history="1">
        <w:r w:rsidRPr="002423D8">
          <w:rPr>
            <w:rStyle w:val="Hyperlink"/>
            <w:sz w:val="24"/>
            <w:szCs w:val="24"/>
            <w:lang w:val="et-EE"/>
          </w:rPr>
          <w:t>http://data.europa.eu/eli/reg/2020/2093/oj</w:t>
        </w:r>
      </w:hyperlink>
      <w:r w:rsidRPr="002423D8">
        <w:rPr>
          <w:sz w:val="24"/>
          <w:szCs w:val="24"/>
          <w:lang w:val="et-EE"/>
        </w:rPr>
        <w:t>.</w:t>
      </w:r>
    </w:p>
  </w:footnote>
  <w:footnote w:id="5">
    <w:p w:rsidR="00B83F11" w:rsidRPr="002423D8" w:rsidP="002423D8" w14:paraId="63ED108E" w14:textId="07450B6C">
      <w:pPr>
        <w:pStyle w:val="FootnoteText"/>
        <w:ind w:left="567" w:hanging="567"/>
        <w:rPr>
          <w:sz w:val="24"/>
          <w:szCs w:val="24"/>
          <w:lang w:val="et-EE"/>
        </w:rPr>
      </w:pPr>
      <w:r w:rsidRPr="002423D8">
        <w:rPr>
          <w:rStyle w:val="FootnoteReference"/>
          <w:sz w:val="24"/>
          <w:szCs w:val="24"/>
          <w:lang w:val="et-EE"/>
        </w:rPr>
        <w:footnoteRef/>
      </w:r>
      <w:r w:rsidRPr="002423D8" w:rsidR="009B0ABD">
        <w:rPr>
          <w:sz w:val="24"/>
          <w:szCs w:val="24"/>
          <w:shd w:val="clear" w:color="auto" w:fill="FFFFFF"/>
          <w:lang w:val="et-EE"/>
        </w:rPr>
        <w:tab/>
      </w:r>
      <w:r w:rsidRPr="002423D8">
        <w:rPr>
          <w:sz w:val="24"/>
          <w:szCs w:val="24"/>
          <w:shd w:val="clear" w:color="auto" w:fill="FFFFFF"/>
          <w:lang w:val="et-EE"/>
        </w:rPr>
        <w:t>Nõukogu 29. veebruari 2024. aasta määrus (EL, Euratom) 2024/765, millega muudetakse määrust (EL, Euratom) 2020/2093, millega määratakse kindlaks mitmeaastane finantsraamistik aastateks 2021–2027 (ELT L, 2024/765, 29.2.2024, ELI:</w:t>
      </w:r>
      <w:r w:rsidRPr="002423D8">
        <w:rPr>
          <w:color w:val="333333"/>
          <w:sz w:val="24"/>
          <w:szCs w:val="24"/>
          <w:shd w:val="clear" w:color="auto" w:fill="FFFFFF"/>
          <w:lang w:val="et-EE"/>
        </w:rPr>
        <w:t xml:space="preserve"> </w:t>
      </w:r>
      <w:hyperlink r:id="rId4" w:history="1">
        <w:r w:rsidRPr="002423D8">
          <w:rPr>
            <w:rStyle w:val="Hyperlink"/>
            <w:sz w:val="24"/>
            <w:szCs w:val="24"/>
            <w:shd w:val="clear" w:color="auto" w:fill="FFFFFF"/>
            <w:lang w:val="et-EE"/>
          </w:rPr>
          <w:t>http://data.europa.eu/eli/reg/2024/765/oj</w:t>
        </w:r>
      </w:hyperlink>
      <w:r w:rsidRPr="00F2114F">
        <w:rPr>
          <w:iCs/>
          <w:color w:val="333333"/>
          <w:sz w:val="24"/>
          <w:szCs w:val="24"/>
          <w:shd w:val="clear" w:color="auto" w:fill="FFFFFF"/>
          <w:lang w:val="et-EE"/>
        </w:rPr>
        <w:t>).</w:t>
      </w:r>
    </w:p>
  </w:footnote>
  <w:footnote w:id="6">
    <w:p w:rsidR="00B83F11" w:rsidRPr="002423D8" w:rsidP="002423D8" w14:paraId="18A10150" w14:textId="30D8477C">
      <w:pPr>
        <w:pStyle w:val="FootnoteText"/>
        <w:ind w:left="567" w:hanging="567"/>
        <w:rPr>
          <w:sz w:val="24"/>
          <w:szCs w:val="24"/>
          <w:lang w:val="et-EE"/>
        </w:rPr>
      </w:pPr>
      <w:r w:rsidRPr="002423D8">
        <w:rPr>
          <w:rStyle w:val="FootnoteReference"/>
          <w:sz w:val="24"/>
          <w:szCs w:val="24"/>
          <w:lang w:val="et-EE"/>
        </w:rPr>
        <w:footnoteRef/>
      </w:r>
      <w:r w:rsidRPr="002423D8" w:rsidR="009B0ABD">
        <w:rPr>
          <w:sz w:val="24"/>
          <w:szCs w:val="24"/>
          <w:lang w:val="et-EE"/>
        </w:rPr>
        <w:tab/>
      </w:r>
      <w:r w:rsidRPr="002423D8">
        <w:rPr>
          <w:sz w:val="24"/>
          <w:szCs w:val="24"/>
          <w:lang w:val="et-EE"/>
        </w:rPr>
        <w:t xml:space="preserve">ELT L 433 I, 22.12.2020, </w:t>
      </w:r>
      <w:r w:rsidRPr="002423D8" w:rsidR="002423D8">
        <w:rPr>
          <w:sz w:val="24"/>
          <w:szCs w:val="24"/>
          <w:lang w:val="et-EE"/>
        </w:rPr>
        <w:t>lk</w:t>
      </w:r>
      <w:r w:rsidRPr="002423D8">
        <w:rPr>
          <w:sz w:val="24"/>
          <w:szCs w:val="24"/>
          <w:lang w:val="et-EE"/>
        </w:rPr>
        <w:t xml:space="preserve"> 28, ELI: </w:t>
      </w:r>
      <w:hyperlink r:id="rId5" w:history="1">
        <w:r w:rsidRPr="002423D8">
          <w:rPr>
            <w:rStyle w:val="Hyperlink"/>
            <w:sz w:val="24"/>
            <w:szCs w:val="24"/>
            <w:lang w:val="et-EE"/>
          </w:rPr>
          <w:t>http://data.europa.eu/eli/agree_interinstit/2020/1222/oj</w:t>
        </w:r>
      </w:hyperlink>
      <w:r w:rsidRPr="002423D8">
        <w:rPr>
          <w:sz w:val="24"/>
          <w:szCs w:val="24"/>
          <w:lang w:val="et-EE"/>
        </w:rPr>
        <w:t>.</w:t>
      </w:r>
    </w:p>
  </w:footnote>
  <w:footnote w:id="7">
    <w:p w:rsidR="00B83F11" w:rsidRPr="002423D8" w:rsidP="002423D8" w14:paraId="73BC18D9" w14:textId="733B65EA">
      <w:pPr>
        <w:pStyle w:val="FootnoteText"/>
        <w:ind w:left="567" w:hanging="567"/>
        <w:rPr>
          <w:sz w:val="24"/>
          <w:szCs w:val="24"/>
          <w:lang w:val="et-EE"/>
        </w:rPr>
      </w:pPr>
      <w:r w:rsidRPr="002423D8">
        <w:rPr>
          <w:rStyle w:val="FootnoteReference"/>
          <w:sz w:val="24"/>
          <w:szCs w:val="24"/>
          <w:lang w:val="et-EE"/>
        </w:rPr>
        <w:footnoteRef/>
      </w:r>
      <w:r w:rsidRPr="002423D8" w:rsidR="009B0ABD">
        <w:rPr>
          <w:sz w:val="24"/>
          <w:szCs w:val="24"/>
          <w:lang w:val="et-EE"/>
        </w:rPr>
        <w:tab/>
      </w:r>
      <w:r w:rsidRPr="002423D8">
        <w:rPr>
          <w:sz w:val="24"/>
          <w:szCs w:val="24"/>
          <w:lang w:val="et-EE"/>
        </w:rPr>
        <w:t>EGFi</w:t>
      </w:r>
      <w:r w:rsidRPr="002423D8">
        <w:rPr>
          <w:sz w:val="24"/>
          <w:szCs w:val="24"/>
          <w:lang w:val="et-EE"/>
        </w:rPr>
        <w:t xml:space="preserve"> määruse artikli 3 tähenduses.</w:t>
      </w:r>
    </w:p>
  </w:footnote>
  <w:footnote w:id="8">
    <w:p w:rsidR="00B83F11" w:rsidRPr="002423D8" w:rsidP="002423D8" w14:paraId="12124548" w14:textId="7EB4583E">
      <w:pPr>
        <w:pStyle w:val="FootnoteText"/>
        <w:ind w:left="567" w:hanging="567"/>
        <w:rPr>
          <w:sz w:val="24"/>
          <w:szCs w:val="24"/>
          <w:lang w:val="et-EE"/>
        </w:rPr>
      </w:pPr>
      <w:r w:rsidRPr="002423D8">
        <w:rPr>
          <w:rStyle w:val="FootnoteReference"/>
          <w:sz w:val="24"/>
          <w:szCs w:val="24"/>
          <w:lang w:val="et-EE"/>
        </w:rPr>
        <w:footnoteRef/>
      </w:r>
      <w:r w:rsidRPr="002423D8" w:rsidR="009B0ABD">
        <w:rPr>
          <w:sz w:val="24"/>
          <w:szCs w:val="24"/>
          <w:lang w:val="et-EE"/>
        </w:rPr>
        <w:tab/>
      </w:r>
      <w:r w:rsidRPr="002423D8">
        <w:rPr>
          <w:sz w:val="24"/>
          <w:szCs w:val="24"/>
          <w:lang w:val="et-EE"/>
        </w:rPr>
        <w:t>Mitmeaastase finantsraamistiku määruse artikkel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0ABD" w14:paraId="3928FF7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0ABD" w14:paraId="70A6DD6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B0ABD" w14:paraId="37B7BE1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4377952">
    <w:abstractNumId w:val="9"/>
  </w:num>
  <w:num w:numId="2" w16cid:durableId="1048913495">
    <w:abstractNumId w:val="9"/>
  </w:num>
  <w:num w:numId="3" w16cid:durableId="1955551092">
    <w:abstractNumId w:val="7"/>
  </w:num>
  <w:num w:numId="4" w16cid:durableId="1166478535">
    <w:abstractNumId w:val="7"/>
  </w:num>
  <w:num w:numId="5" w16cid:durableId="817958694">
    <w:abstractNumId w:val="6"/>
  </w:num>
  <w:num w:numId="6" w16cid:durableId="1805586016">
    <w:abstractNumId w:val="6"/>
  </w:num>
  <w:num w:numId="7" w16cid:durableId="858083194">
    <w:abstractNumId w:val="5"/>
  </w:num>
  <w:num w:numId="8" w16cid:durableId="41642234">
    <w:abstractNumId w:val="5"/>
  </w:num>
  <w:num w:numId="9" w16cid:durableId="1474447791">
    <w:abstractNumId w:val="4"/>
  </w:num>
  <w:num w:numId="10" w16cid:durableId="1973750208">
    <w:abstractNumId w:val="4"/>
  </w:num>
  <w:num w:numId="11" w16cid:durableId="1430353963">
    <w:abstractNumId w:val="8"/>
  </w:num>
  <w:num w:numId="12" w16cid:durableId="1059285234">
    <w:abstractNumId w:val="8"/>
  </w:num>
  <w:num w:numId="13" w16cid:durableId="1471481005">
    <w:abstractNumId w:val="3"/>
  </w:num>
  <w:num w:numId="14" w16cid:durableId="665326964">
    <w:abstractNumId w:val="3"/>
  </w:num>
  <w:num w:numId="15" w16cid:durableId="1989702198">
    <w:abstractNumId w:val="2"/>
  </w:num>
  <w:num w:numId="16" w16cid:durableId="2004356369">
    <w:abstractNumId w:val="2"/>
  </w:num>
  <w:num w:numId="17" w16cid:durableId="618336336">
    <w:abstractNumId w:val="1"/>
  </w:num>
  <w:num w:numId="18" w16cid:durableId="1044448210">
    <w:abstractNumId w:val="1"/>
  </w:num>
  <w:num w:numId="19" w16cid:durableId="929119452">
    <w:abstractNumId w:val="0"/>
  </w:num>
  <w:num w:numId="20" w16cid:durableId="847058818">
    <w:abstractNumId w:val="0"/>
  </w:num>
  <w:num w:numId="21" w16cid:durableId="1965234774">
    <w:abstractNumId w:val="9"/>
  </w:num>
  <w:num w:numId="22" w16cid:durableId="92823544">
    <w:abstractNumId w:val="7"/>
  </w:num>
  <w:num w:numId="23" w16cid:durableId="1825272366">
    <w:abstractNumId w:val="6"/>
  </w:num>
  <w:num w:numId="24" w16cid:durableId="361129836">
    <w:abstractNumId w:val="5"/>
  </w:num>
  <w:num w:numId="25" w16cid:durableId="625818707">
    <w:abstractNumId w:val="4"/>
  </w:num>
  <w:num w:numId="26" w16cid:durableId="435754663">
    <w:abstractNumId w:val="8"/>
  </w:num>
  <w:num w:numId="27" w16cid:durableId="368801210">
    <w:abstractNumId w:val="3"/>
  </w:num>
  <w:num w:numId="28" w16cid:durableId="1684163410">
    <w:abstractNumId w:val="2"/>
  </w:num>
  <w:num w:numId="29" w16cid:durableId="1557623860">
    <w:abstractNumId w:val="1"/>
  </w:num>
  <w:num w:numId="30" w16cid:durableId="954873660">
    <w:abstractNumId w:val="0"/>
  </w:num>
  <w:num w:numId="31" w16cid:durableId="123624086">
    <w:abstractNumId w:val="9"/>
  </w:num>
  <w:num w:numId="32" w16cid:durableId="1278874892">
    <w:abstractNumId w:val="7"/>
  </w:num>
  <w:num w:numId="33" w16cid:durableId="305670596">
    <w:abstractNumId w:val="6"/>
  </w:num>
  <w:num w:numId="34" w16cid:durableId="696932336">
    <w:abstractNumId w:val="5"/>
  </w:num>
  <w:num w:numId="35" w16cid:durableId="1557811553">
    <w:abstractNumId w:val="4"/>
  </w:num>
  <w:num w:numId="36" w16cid:durableId="2128771712">
    <w:abstractNumId w:val="8"/>
  </w:num>
  <w:num w:numId="37" w16cid:durableId="277299009">
    <w:abstractNumId w:val="3"/>
  </w:num>
  <w:num w:numId="38" w16cid:durableId="790829437">
    <w:abstractNumId w:val="2"/>
  </w:num>
  <w:num w:numId="39" w16cid:durableId="236944525">
    <w:abstractNumId w:val="1"/>
  </w:num>
  <w:num w:numId="40" w16cid:durableId="1713723391">
    <w:abstractNumId w:val="0"/>
  </w:num>
  <w:num w:numId="41" w16cid:durableId="433743292">
    <w:abstractNumId w:val="10"/>
  </w:num>
  <w:num w:numId="42" w16cid:durableId="2076706051">
    <w:abstractNumId w:val="10"/>
  </w:num>
  <w:num w:numId="43" w16cid:durableId="723917306">
    <w:abstractNumId w:val="10"/>
  </w:num>
  <w:num w:numId="44" w16cid:durableId="17646405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46E"/>
    <w:rsid w:val="00002272"/>
    <w:rsid w:val="00064002"/>
    <w:rsid w:val="000677B9"/>
    <w:rsid w:val="000831BA"/>
    <w:rsid w:val="000A1A01"/>
    <w:rsid w:val="000A42CC"/>
    <w:rsid w:val="000E7DD9"/>
    <w:rsid w:val="0010095E"/>
    <w:rsid w:val="00125B37"/>
    <w:rsid w:val="00187494"/>
    <w:rsid w:val="001F32AE"/>
    <w:rsid w:val="002423D8"/>
    <w:rsid w:val="002767FF"/>
    <w:rsid w:val="002B18FE"/>
    <w:rsid w:val="002B5493"/>
    <w:rsid w:val="00343214"/>
    <w:rsid w:val="00361C00"/>
    <w:rsid w:val="0038022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401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4219"/>
    <w:rsid w:val="009509D8"/>
    <w:rsid w:val="00950B64"/>
    <w:rsid w:val="009557D3"/>
    <w:rsid w:val="00981893"/>
    <w:rsid w:val="009B0ABD"/>
    <w:rsid w:val="009E746E"/>
    <w:rsid w:val="00A1687D"/>
    <w:rsid w:val="00A43E52"/>
    <w:rsid w:val="00A4678D"/>
    <w:rsid w:val="00A602A7"/>
    <w:rsid w:val="00A778C7"/>
    <w:rsid w:val="00AB441E"/>
    <w:rsid w:val="00AB6293"/>
    <w:rsid w:val="00AE0928"/>
    <w:rsid w:val="00AF3B82"/>
    <w:rsid w:val="00B12E95"/>
    <w:rsid w:val="00B22876"/>
    <w:rsid w:val="00B558F0"/>
    <w:rsid w:val="00B753D0"/>
    <w:rsid w:val="00B83F11"/>
    <w:rsid w:val="00BD48FE"/>
    <w:rsid w:val="00BD7BD8"/>
    <w:rsid w:val="00BE6ADC"/>
    <w:rsid w:val="00C05BFE"/>
    <w:rsid w:val="00C23CD4"/>
    <w:rsid w:val="00C61C0C"/>
    <w:rsid w:val="00C941CB"/>
    <w:rsid w:val="00CC2357"/>
    <w:rsid w:val="00CF071A"/>
    <w:rsid w:val="00CF0E65"/>
    <w:rsid w:val="00D058B8"/>
    <w:rsid w:val="00D56C11"/>
    <w:rsid w:val="00D834A0"/>
    <w:rsid w:val="00D872DF"/>
    <w:rsid w:val="00D91E21"/>
    <w:rsid w:val="00DA7FCD"/>
    <w:rsid w:val="00E305F5"/>
    <w:rsid w:val="00E365E1"/>
    <w:rsid w:val="00E45AAB"/>
    <w:rsid w:val="00E820A4"/>
    <w:rsid w:val="00EB006A"/>
    <w:rsid w:val="00EB4772"/>
    <w:rsid w:val="00ED169E"/>
    <w:rsid w:val="00ED4235"/>
    <w:rsid w:val="00EE2925"/>
    <w:rsid w:val="00F04346"/>
    <w:rsid w:val="00F075DC"/>
    <w:rsid w:val="00F149E9"/>
    <w:rsid w:val="00F2114F"/>
    <w:rsid w:val="00F5134D"/>
    <w:rsid w:val="00F74202"/>
    <w:rsid w:val="00F87713"/>
    <w:rsid w:val="00FB4360"/>
    <w:rsid w:val="00FD0C70"/>
  </w:rsids>
  <w:docVars>
    <w:docVar w:name="dvdocse" w:val="A10-0149/2026"/>
    <w:docVar w:name="dvlangue" w:val="ET"/>
    <w:docVar w:name="dvnumam" w:val="0"/>
    <w:docVar w:name="dvpe" w:val="787.923"/>
    <w:docVar w:name="dvrapporteur" w:val="Raportöör: "/>
    <w:docVar w:name="dvtitre" w:val="Euroopa Parlamendi .... 2026. aasta seadusandlik resolutsioon mis käsitleb ettepanekut võtta vastu Euroopa Parlamendi ja nõukogu otsus koondatud töötajate toetuseks loodud Globaliseerumisega Kohanemise Euroopa Fondi kasutuselevõtmise kohta (Belgia taotlus – EGF/2025/009 BE/Soliver)(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26A4880"/>
  <w15:chartTrackingRefBased/>
  <w15:docId w15:val="{96504A9F-5164-42FA-BF55-BE29E04AF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83F1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B83F11"/>
    <w:pPr>
      <w:keepNext/>
      <w:spacing w:after="480"/>
      <w:jc w:val="center"/>
    </w:pPr>
    <w:rPr>
      <w:rFonts w:ascii="Arial" w:hAnsi="Arial" w:cs="Arial"/>
      <w:b/>
    </w:rPr>
  </w:style>
  <w:style w:type="paragraph" w:customStyle="1" w:styleId="NormalHanging12a">
    <w:name w:val="NormalHanging12a"/>
    <w:basedOn w:val="Normal"/>
    <w:link w:val="NormalHanging12aChar"/>
    <w:rsid w:val="00B83F11"/>
    <w:pPr>
      <w:spacing w:after="240"/>
      <w:ind w:left="567" w:hanging="567"/>
    </w:pPr>
  </w:style>
  <w:style w:type="paragraph" w:styleId="Header">
    <w:name w:val="header"/>
    <w:basedOn w:val="Normal"/>
    <w:link w:val="HeaderChar"/>
    <w:rsid w:val="00B83F11"/>
    <w:pPr>
      <w:tabs>
        <w:tab w:val="center" w:pos="4513"/>
        <w:tab w:val="right" w:pos="9026"/>
      </w:tabs>
    </w:pPr>
  </w:style>
  <w:style w:type="character" w:customStyle="1" w:styleId="HeaderChar">
    <w:name w:val="Header Char"/>
    <w:basedOn w:val="DefaultParagraphFont"/>
    <w:link w:val="Header"/>
    <w:rsid w:val="00B83F11"/>
    <w:rPr>
      <w:sz w:val="24"/>
      <w:lang w:val="et-EE"/>
    </w:rPr>
  </w:style>
  <w:style w:type="paragraph" w:customStyle="1" w:styleId="EPFooter">
    <w:name w:val="EPFooter"/>
    <w:basedOn w:val="Normal"/>
    <w:rsid w:val="00B83F11"/>
    <w:pPr>
      <w:tabs>
        <w:tab w:val="center" w:pos="4535"/>
        <w:tab w:val="right" w:pos="9071"/>
      </w:tabs>
      <w:spacing w:before="240" w:after="240"/>
    </w:pPr>
    <w:rPr>
      <w:color w:val="010000"/>
      <w:sz w:val="22"/>
    </w:rPr>
  </w:style>
  <w:style w:type="paragraph" w:customStyle="1" w:styleId="EPComma">
    <w:name w:val="EPComma"/>
    <w:basedOn w:val="Normal"/>
    <w:rsid w:val="00B83F11"/>
    <w:pPr>
      <w:spacing w:before="480" w:after="240"/>
    </w:pPr>
  </w:style>
  <w:style w:type="character" w:styleId="Hyperlink">
    <w:name w:val="Hyperlink"/>
    <w:basedOn w:val="DefaultParagraphFont"/>
    <w:uiPriority w:val="99"/>
    <w:rsid w:val="00B83F11"/>
    <w:rPr>
      <w:color w:val="0563C1" w:themeColor="hyperlink"/>
      <w:u w:val="single"/>
    </w:rPr>
  </w:style>
  <w:style w:type="character" w:customStyle="1" w:styleId="NormalHanging12aChar">
    <w:name w:val="NormalHanging12a Char"/>
    <w:basedOn w:val="DefaultParagraphFont"/>
    <w:link w:val="NormalHanging12a"/>
    <w:locked/>
    <w:rsid w:val="00B83F11"/>
    <w:rPr>
      <w:sz w:val="24"/>
      <w:lang w:val="et-EE"/>
    </w:rPr>
  </w:style>
  <w:style w:type="paragraph" w:customStyle="1" w:styleId="Titreobjet">
    <w:name w:val="Titre objet"/>
    <w:basedOn w:val="Normal"/>
    <w:next w:val="Normal"/>
    <w:rsid w:val="00B83F11"/>
    <w:pPr>
      <w:widowControl/>
      <w:spacing w:before="360" w:after="360"/>
      <w:jc w:val="center"/>
    </w:pPr>
    <w:rPr>
      <w:rFonts w:eastAsiaTheme="minorHAnsi"/>
      <w:b/>
      <w:szCs w:val="22"/>
      <w:lang w:eastAsia="en-US"/>
    </w:rPr>
  </w:style>
  <w:style w:type="paragraph" w:customStyle="1" w:styleId="Personnequisigne">
    <w:name w:val="Personne qui signe"/>
    <w:basedOn w:val="Normal"/>
    <w:next w:val="Institutionquisigne"/>
    <w:rsid w:val="00B83F11"/>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B83F11"/>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B83F11"/>
    <w:rPr>
      <w:rFonts w:ascii="Arial" w:hAnsi="Arial" w:cs="Arial"/>
      <w:b/>
      <w:sz w:val="24"/>
      <w:lang w:val="et-EE"/>
    </w:rPr>
  </w:style>
  <w:style w:type="paragraph" w:styleId="Revision">
    <w:name w:val="Revision"/>
    <w:hidden/>
    <w:uiPriority w:val="99"/>
    <w:semiHidden/>
    <w:rsid w:val="002423D8"/>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1333</Words>
  <Characters>10205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2026-06-16T13:04:00Z</dcterms:created>
  <dcterms:modified xsi:type="dcterms:W3CDTF">2026-09-03T12:43:00Z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A10-0149/2026</vt:lpwstr>
  </property>
  <property fmtid="{D5CDD505-2E9C-101B-9397-08002B2CF9AE}" pid="4" name="&lt;Type&gt;">
    <vt:lpwstr>RR</vt:lpwstr>
  </property>
</Properties>
</file>