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9638C9" w14:textId="77777777" w:rsidTr="0010095E">
        <w:tblPrEx>
          <w:tblW w:w="9072" w:type="dxa"/>
          <w:tblLook w:val="01E0"/>
        </w:tblPrEx>
        <w:trPr>
          <w:trHeight w:hRule="exact" w:val="1418"/>
        </w:trPr>
        <w:tc>
          <w:tcPr>
            <w:tcW w:w="6804" w:type="dxa"/>
            <w:shd w:val="clear" w:color="auto" w:fill="auto"/>
            <w:vAlign w:val="center"/>
          </w:tcPr>
          <w:p w:rsidR="00751A4A" w:rsidRPr="00EA2987" w:rsidP="0010095E" w14:paraId="168C5D13" w14:textId="77777777">
            <w:pPr>
              <w:pStyle w:val="EPName"/>
            </w:pPr>
            <w:r w:rsidRPr="00EA2987">
              <w:t>Euroopan parlamentti</w:t>
            </w:r>
          </w:p>
          <w:p w:rsidR="00751A4A" w:rsidRPr="00EA2987" w:rsidP="005F1B17" w14:paraId="21DB6B7C" w14:textId="77777777">
            <w:pPr>
              <w:pStyle w:val="EPTerm"/>
              <w:rPr>
                <w:rStyle w:val="HideTWBExt"/>
                <w:noProof w:val="0"/>
                <w:vanish w:val="0"/>
                <w:color w:val="auto"/>
              </w:rPr>
            </w:pPr>
            <w:r w:rsidRPr="00EA2987">
              <w:t>2024</w:t>
            </w:r>
            <w:r w:rsidRPr="00EA2987" w:rsidR="00817416">
              <w:t>-202</w:t>
            </w:r>
            <w:r w:rsidRPr="00EA2987">
              <w:t>9</w:t>
            </w:r>
          </w:p>
        </w:tc>
        <w:tc>
          <w:tcPr>
            <w:tcW w:w="2268" w:type="dxa"/>
            <w:shd w:val="clear" w:color="auto" w:fill="auto"/>
          </w:tcPr>
          <w:p w:rsidR="00751A4A" w:rsidRPr="00EA2987" w:rsidP="0010095E" w14:paraId="79B735C1" w14:textId="77777777">
            <w:pPr>
              <w:pStyle w:val="EPLogo"/>
            </w:pPr>
            <w:r w:rsidRPr="00EA298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A2987" w:rsidP="004C5D52" w14:paraId="120D1A50" w14:textId="77777777">
      <w:pPr>
        <w:pStyle w:val="LineTop"/>
      </w:pPr>
    </w:p>
    <w:p w:rsidR="00680577" w:rsidRPr="00EA2987" w:rsidP="00680577" w14:paraId="1BB737BF" w14:textId="77777777">
      <w:pPr>
        <w:pStyle w:val="EPBodyTA1"/>
      </w:pPr>
      <w:r w:rsidRPr="00EA2987">
        <w:t>HYVÄKSYTYT TEKSTIT</w:t>
      </w:r>
    </w:p>
    <w:p w:rsidR="00D058B8" w:rsidRPr="00EA2987" w:rsidP="00D058B8" w14:paraId="5EE25534" w14:textId="77777777">
      <w:pPr>
        <w:pStyle w:val="LineBottom"/>
      </w:pPr>
    </w:p>
    <w:p w:rsidR="00360AFA" w:rsidRPr="00EA2987" w:rsidP="00360AFA" w14:paraId="2BEB9C49" w14:textId="665A83F1">
      <w:pPr>
        <w:pStyle w:val="ATHeading1"/>
      </w:pPr>
      <w:bookmarkStart w:id="0" w:name="TANumber"/>
      <w:r w:rsidRPr="00EA2987">
        <w:t>P10_</w:t>
      </w:r>
      <w:r w:rsidRPr="00EA2987">
        <w:t>TA(</w:t>
      </w:r>
      <w:r w:rsidRPr="00EA2987">
        <w:t>2026)0</w:t>
      </w:r>
      <w:r w:rsidR="00B567DC">
        <w:t>201</w:t>
      </w:r>
      <w:bookmarkEnd w:id="0"/>
    </w:p>
    <w:p w:rsidR="00360AFA" w:rsidRPr="00EA2987" w:rsidP="00360AFA" w14:paraId="08D761AF" w14:textId="2F324062">
      <w:pPr>
        <w:pStyle w:val="ATHeading2"/>
      </w:pPr>
      <w:bookmarkStart w:id="1" w:name="title"/>
      <w:r w:rsidRPr="00EA2987">
        <w:t>Työttömiksi jääneitä työntekijöitä tukevan Euroopan globalisaatiorahaston varojen käyttöönot</w:t>
      </w:r>
      <w:r w:rsidRPr="00EA2987" w:rsidR="00BA4547">
        <w:t>t</w:t>
      </w:r>
      <w:r w:rsidRPr="00EA2987">
        <w:t xml:space="preserve">o Belgian hakemuksen </w:t>
      </w:r>
      <w:r w:rsidRPr="00EA2987">
        <w:t>johdosta</w:t>
      </w:r>
      <w:r w:rsidRPr="00EA2987">
        <w:t xml:space="preserve"> – EGF/2025/009 BE/</w:t>
      </w:r>
      <w:r w:rsidRPr="00EA2987">
        <w:t>Soliver</w:t>
      </w:r>
      <w:bookmarkEnd w:id="1"/>
    </w:p>
    <w:p w:rsidR="00360AFA" w:rsidRPr="00EA2987" w:rsidP="00360AFA" w14:paraId="49CB1CCA" w14:textId="77777777">
      <w:pPr>
        <w:rPr>
          <w:i/>
          <w:vanish/>
        </w:rPr>
      </w:pPr>
      <w:r>
        <w:rPr>
          <w:i/>
        </w:rPr>
        <w:fldChar w:fldCharType="begin"/>
      </w:r>
      <w:r w:rsidRPr="00EA2987">
        <w:rPr>
          <w:i/>
        </w:rPr>
        <w:instrText xml:space="preserve"> TC"(</w:instrText>
      </w:r>
      <w:bookmarkStart w:id="2" w:name="DocNumber"/>
      <w:r w:rsidRPr="00EA2987">
        <w:rPr>
          <w:i/>
        </w:rPr>
        <w:instrText>A10-0149/2026</w:instrText>
      </w:r>
      <w:bookmarkEnd w:id="2"/>
      <w:r w:rsidRPr="00EA2987">
        <w:rPr>
          <w:i/>
        </w:rPr>
        <w:instrText xml:space="preserve"> - Esittelijä: </w:instrText>
      </w:r>
      <w:r w:rsidRPr="00EA2987">
        <w:rPr>
          <w:i/>
        </w:rPr>
        <w:instrText>Bogdan</w:instrText>
      </w:r>
      <w:r w:rsidRPr="00EA2987">
        <w:rPr>
          <w:i/>
        </w:rPr>
        <w:instrText xml:space="preserve"> </w:instrText>
      </w:r>
      <w:r w:rsidRPr="00EA2987">
        <w:rPr>
          <w:i/>
        </w:rPr>
        <w:instrText>Rzońca</w:instrText>
      </w:r>
      <w:r w:rsidRPr="00EA2987">
        <w:rPr>
          <w:i/>
        </w:rPr>
        <w:instrText xml:space="preserve">)"\l3 \n&gt; \* MERGEFORMAT </w:instrText>
      </w:r>
      <w:r>
        <w:rPr>
          <w:i/>
        </w:rPr>
        <w:fldChar w:fldCharType="end"/>
      </w:r>
    </w:p>
    <w:p w:rsidR="00360AFA" w:rsidRPr="00EA2987" w:rsidP="00360AFA" w14:paraId="101C3D4A" w14:textId="77777777">
      <w:pPr>
        <w:rPr>
          <w:vanish/>
        </w:rPr>
      </w:pPr>
      <w:bookmarkStart w:id="3" w:name="Commission"/>
      <w:r w:rsidRPr="00EA2987">
        <w:rPr>
          <w:vanish/>
        </w:rPr>
        <w:t>Budjettivaliokunta</w:t>
      </w:r>
      <w:bookmarkEnd w:id="3"/>
    </w:p>
    <w:p w:rsidR="00360AFA" w:rsidRPr="00EA2987" w:rsidP="00360AFA" w14:paraId="2667F36F" w14:textId="77777777">
      <w:pPr>
        <w:rPr>
          <w:vanish/>
        </w:rPr>
      </w:pPr>
      <w:bookmarkStart w:id="4" w:name="PE"/>
      <w:r w:rsidRPr="00EA2987">
        <w:rPr>
          <w:vanish/>
        </w:rPr>
        <w:t>PE787.923</w:t>
      </w:r>
      <w:bookmarkEnd w:id="4"/>
    </w:p>
    <w:p w:rsidR="00360AFA" w:rsidRPr="00EA2987" w:rsidP="00360AFA" w14:paraId="7CF2C1F6" w14:textId="39AC1536">
      <w:pPr>
        <w:pStyle w:val="ATHeading3"/>
      </w:pPr>
      <w:bookmarkStart w:id="5" w:name="Sujet"/>
      <w:r w:rsidRPr="00EA2987">
        <w:t>Euroopan parlamentin päätös</w:t>
      </w:r>
      <w:r w:rsidR="00EF752F">
        <w:t>lauselma</w:t>
      </w:r>
      <w:r w:rsidRPr="00EA2987">
        <w:t xml:space="preserve"> 16. kesäkuuta 2026 ehdotuksesta Euroopan parlamentin ja neuvoston päätökseksi työttömiksi jääneitä työntekijöitä tukevan Euroopan globalisaatiorahaston varojen käyttöönotosta Belgian hakemuksen johdosta – EGF/2025/009 BE/</w:t>
      </w:r>
      <w:r w:rsidRPr="00EA2987">
        <w:t>Soliver</w:t>
      </w:r>
      <w:bookmarkEnd w:id="5"/>
      <w:r w:rsidRPr="00EA2987">
        <w:t xml:space="preserve"> </w:t>
      </w:r>
      <w:bookmarkStart w:id="6" w:name="References"/>
      <w:r w:rsidRPr="00EA2987">
        <w:t>(</w:t>
      </w:r>
      <w:r w:rsidRPr="00EA2987">
        <w:t>COM(</w:t>
      </w:r>
      <w:r w:rsidRPr="00EA2987">
        <w:t>2026)0050 – C10-0111/2026 – 2026/0097(BUD))</w:t>
      </w:r>
      <w:bookmarkEnd w:id="6"/>
    </w:p>
    <w:p w:rsidR="00577D7F" w:rsidRPr="00EA2987" w:rsidP="00577D7F" w14:paraId="62C4D8B6" w14:textId="77777777">
      <w:pPr>
        <w:pStyle w:val="EPComma"/>
        <w:widowControl/>
        <w:rPr>
          <w:noProof/>
        </w:rPr>
      </w:pPr>
      <w:r w:rsidRPr="00EA2987">
        <w:rPr>
          <w:i/>
        </w:rPr>
        <w:t>Euroopan parlamentti</w:t>
      </w:r>
      <w:r w:rsidRPr="00EA2987">
        <w:t>, joka</w:t>
      </w:r>
    </w:p>
    <w:p w:rsidR="00577D7F" w:rsidRPr="00EA2987" w:rsidP="00577D7F" w14:paraId="34BAB734" w14:textId="77777777">
      <w:pPr>
        <w:pStyle w:val="NormalHanging12a"/>
        <w:widowControl/>
        <w:rPr>
          <w:noProof/>
        </w:rPr>
      </w:pPr>
      <w:r w:rsidRPr="00EA2987">
        <w:t>–</w:t>
      </w:r>
      <w:r w:rsidRPr="00EA2987">
        <w:tab/>
        <w:t>ottaa huomioon komission ehdotuksen Euroopan parlamentille ja neuvostolle (</w:t>
      </w:r>
      <w:r w:rsidRPr="00EA2987">
        <w:t>COM(</w:t>
      </w:r>
      <w:r w:rsidRPr="00EA2987">
        <w:t>2026)0050 – C10</w:t>
      </w:r>
      <w:r w:rsidRPr="00EA2987">
        <w:noBreakHyphen/>
        <w:t>0111/2026),</w:t>
      </w:r>
    </w:p>
    <w:p w:rsidR="00577D7F" w:rsidRPr="00EA2987" w:rsidP="00577D7F" w14:paraId="7A130DBE" w14:textId="77777777">
      <w:pPr>
        <w:pStyle w:val="NormalHanging12a"/>
        <w:widowControl/>
      </w:pPr>
      <w:r w:rsidRPr="00EA2987">
        <w:t>–</w:t>
      </w:r>
      <w:r w:rsidRPr="00EA2987">
        <w:tab/>
        <w:t>ottaa huomioon Euroopan globalisaatiorahastosta (EGR) työttömiksi jääneille työntekijöille ja asetuksen (EU) N:o 1309/2013 kumoamisesta 28. huhtikuuta 2021 annetun Euroopan parlamentin ja neuvoston asetuksen (EU) 2021/691</w:t>
      </w:r>
      <w:r>
        <w:rPr>
          <w:vertAlign w:val="superscript"/>
        </w:rPr>
        <w:footnoteReference w:id="2"/>
      </w:r>
      <w:r w:rsidRPr="00EA2987">
        <w:t>, jäljempänä ’EGR-asetus’, sellaisena kuin se on muutettuna asetuksella (EU) 2026/1139</w:t>
      </w:r>
      <w:r>
        <w:rPr>
          <w:vertAlign w:val="superscript"/>
        </w:rPr>
        <w:footnoteReference w:id="3"/>
      </w:r>
      <w:r w:rsidRPr="00EA2987">
        <w:t>,</w:t>
      </w:r>
    </w:p>
    <w:p w:rsidR="00577D7F" w:rsidRPr="00EA2987" w:rsidP="00577D7F" w14:paraId="480339A5" w14:textId="77777777">
      <w:pPr>
        <w:pStyle w:val="NormalHanging12a"/>
        <w:widowControl/>
        <w:rPr>
          <w:noProof/>
        </w:rPr>
      </w:pPr>
      <w:r w:rsidRPr="00EA2987">
        <w:t>–</w:t>
      </w:r>
      <w:r w:rsidRPr="00EA2987">
        <w:tab/>
        <w:t>ottaa huomioon vuosia 2021–2027 koskevan monivuotisen rahoituskehyksen vahvistamisesta 17. joulukuuta 2020 annetun neuvoston asetuksen (EU, Euratom) 2020/2093</w:t>
      </w:r>
      <w:r>
        <w:rPr>
          <w:noProof/>
          <w:vertAlign w:val="superscript"/>
        </w:rPr>
        <w:footnoteReference w:id="4"/>
      </w:r>
      <w:r w:rsidRPr="00EA2987">
        <w:t>, jäljempänä ’rahoituskehysasetus’, sellaisena kuin se on muutettuna asetuksella (EU, Euratom) 2024/765</w:t>
      </w:r>
      <w:r>
        <w:rPr>
          <w:noProof/>
          <w:vertAlign w:val="superscript"/>
        </w:rPr>
        <w:footnoteReference w:id="5"/>
      </w:r>
      <w:r w:rsidRPr="00EA2987">
        <w:t>, ja erityisesti sen 8 artiklan,</w:t>
      </w:r>
    </w:p>
    <w:p w:rsidR="00577D7F" w:rsidRPr="00EA2987" w:rsidP="00577D7F" w14:paraId="3EC74017" w14:textId="77777777">
      <w:pPr>
        <w:pStyle w:val="NormalHanging12a"/>
        <w:widowControl/>
        <w:rPr>
          <w:noProof/>
        </w:rPr>
      </w:pPr>
      <w:r w:rsidRPr="00EA2987">
        <w:t>–</w:t>
      </w:r>
      <w:r w:rsidRPr="00EA2987">
        <w:tab/>
        <w:t xml:space="preserve">ottaa huomioon talousarviota koskevasta kurinalaisuudesta, talousarvioyhteistyöstä ja moitteettomasta varainhoidosta sekä uusista omista varoista, mukaan lukien etenemissuunnitelma uusien omien varojen käyttöönottamiseksi, 16. joulukuuta 2020 </w:t>
      </w:r>
      <w:r w:rsidRPr="00EA2987">
        <w:t>tehdyn Euroopan parlamentin, Euroopan unionin neuvoston ja Euroopan komission välisen toimielinten sopimuksen</w:t>
      </w:r>
      <w:r>
        <w:rPr>
          <w:rStyle w:val="FootnoteReference"/>
          <w:noProof/>
        </w:rPr>
        <w:footnoteReference w:id="6"/>
      </w:r>
      <w:r w:rsidRPr="00EA2987">
        <w:t xml:space="preserve"> ja erityisesti sen 9 kohdan,</w:t>
      </w:r>
    </w:p>
    <w:p w:rsidR="00577D7F" w:rsidRPr="00EA2987" w:rsidP="00577D7F" w14:paraId="7CF28154" w14:textId="77777777">
      <w:pPr>
        <w:pStyle w:val="NormalHanging12a"/>
        <w:widowControl/>
      </w:pPr>
      <w:r w:rsidRPr="00EA2987">
        <w:t>–</w:t>
      </w:r>
      <w:r w:rsidRPr="00EA2987">
        <w:tab/>
        <w:t>ottaa huomioon Euroopan sosiaalisten oikeuksien pilarin,</w:t>
      </w:r>
    </w:p>
    <w:p w:rsidR="00577D7F" w:rsidRPr="00EA2987" w:rsidP="00577D7F" w14:paraId="7E585E96" w14:textId="77777777">
      <w:pPr>
        <w:pStyle w:val="NormalHanging12a"/>
        <w:widowControl/>
      </w:pPr>
      <w:r w:rsidRPr="00EA2987">
        <w:t>–</w:t>
      </w:r>
      <w:r w:rsidRPr="00EA2987">
        <w:tab/>
        <w:t>ottaa huomioon työllisyyden ja sosiaaliasioiden valiokunnan kirjeen,</w:t>
      </w:r>
    </w:p>
    <w:p w:rsidR="00577D7F" w:rsidRPr="00EA2987" w:rsidP="00577D7F" w14:paraId="1F319010" w14:textId="77777777">
      <w:pPr>
        <w:pStyle w:val="NormalHanging12a"/>
        <w:widowControl/>
      </w:pPr>
      <w:r w:rsidRPr="00EA2987">
        <w:t>–</w:t>
      </w:r>
      <w:r w:rsidRPr="00EA2987">
        <w:tab/>
        <w:t>ottaa huomioon budjettivaliokunnan mietinnön (A10-0149/2026),</w:t>
      </w:r>
    </w:p>
    <w:p w:rsidR="00577D7F" w:rsidRPr="00EA2987" w:rsidP="00577D7F" w14:paraId="4B707B1F" w14:textId="543EFB81">
      <w:pPr>
        <w:pStyle w:val="NormalHanging12a"/>
        <w:widowControl/>
      </w:pPr>
      <w:r w:rsidRPr="00EA2987">
        <w:t>A.</w:t>
      </w:r>
      <w:r w:rsidRPr="00EA2987">
        <w:tab/>
        <w:t>ottaa huomioon, että unioni on ottanut käyttöön lainsäädäntö- ja budjettivälineitä tarjotakseen lisätukea työntekijöille, jotka kärsivät maailmankaupan huomattavien rakenteellisten tapahtumien ja muutosten seurauksista, ja auttaakseen heitä palaamaan työmarkkinoille; toteaa, että tuki annetaan rahoitustukena työntekijöille;</w:t>
      </w:r>
      <w:r w:rsidRPr="00EA2987" w:rsidR="00F00176">
        <w:t xml:space="preserve"> </w:t>
      </w:r>
      <w:r w:rsidRPr="00EA2987">
        <w:t>katsoo, että Euroopan teollisuuden kilpailukyvyn säilyttäminen ja innovointiin ja osaamiseen tehtävien investointien lisääminen ovat olennaisen tärkeitä, jotta estetään teollisuuden taantuminen edelleen ja työpaikkojen menetykset kaikkialla unionissa;</w:t>
      </w:r>
    </w:p>
    <w:p w:rsidR="00577D7F" w:rsidRPr="00EA2987" w:rsidP="00577D7F" w14:paraId="35302EC7" w14:textId="77777777">
      <w:pPr>
        <w:pStyle w:val="NormalHanging12a"/>
        <w:widowControl/>
      </w:pPr>
      <w:r w:rsidRPr="00EA2987">
        <w:t>B.</w:t>
      </w:r>
      <w:r w:rsidRPr="00EA2987">
        <w:tab/>
        <w:t>ottaa huomioon, että Belgia toimitti hakemuksen EGF/2025/009 BE/</w:t>
      </w:r>
      <w:r w:rsidRPr="00EA2987">
        <w:t>Soliver</w:t>
      </w:r>
      <w:r w:rsidRPr="00EA2987">
        <w:t xml:space="preserve"> </w:t>
      </w:r>
      <w:r w:rsidRPr="00EA2987">
        <w:t>EGR:n</w:t>
      </w:r>
      <w:r w:rsidRPr="00EA2987">
        <w:t xml:space="preserve"> rahoitustuen saamiseksi </w:t>
      </w:r>
      <w:r w:rsidRPr="00EA2987">
        <w:t>Soliver</w:t>
      </w:r>
      <w:r w:rsidRPr="00EA2987">
        <w:t xml:space="preserve"> NV -yrityksen (</w:t>
      </w:r>
      <w:r w:rsidRPr="00EA2987">
        <w:t>Soliver</w:t>
      </w:r>
      <w:r w:rsidRPr="00EA2987">
        <w:t>) Belgiassa toteuttamien 803 työntekijävähennyksen</w:t>
      </w:r>
      <w:r>
        <w:rPr>
          <w:vertAlign w:val="superscript"/>
        </w:rPr>
        <w:footnoteReference w:id="7"/>
      </w:r>
      <w:r w:rsidRPr="00EA2987">
        <w:t xml:space="preserve"> vuoksi NACE </w:t>
      </w:r>
      <w:r w:rsidRPr="00EA2987">
        <w:t>Rev</w:t>
      </w:r>
      <w:r w:rsidRPr="00EA2987">
        <w:t xml:space="preserve">. 2:n kaksinumerotasoon 46 (Tukkukauppa) luokitellulla toimialalla alueilla </w:t>
      </w:r>
      <w:r w:rsidRPr="00EA2987">
        <w:t>Provincie</w:t>
      </w:r>
      <w:r w:rsidRPr="00EA2987">
        <w:t xml:space="preserve"> </w:t>
      </w:r>
      <w:r w:rsidRPr="00EA2987">
        <w:t>Oost-Vlaanderen</w:t>
      </w:r>
      <w:r w:rsidRPr="00EA2987">
        <w:t xml:space="preserve"> (BE23) ja </w:t>
      </w:r>
      <w:r w:rsidRPr="00EA2987">
        <w:t>Provincie</w:t>
      </w:r>
      <w:r w:rsidRPr="00EA2987">
        <w:t xml:space="preserve"> West</w:t>
      </w:r>
      <w:r w:rsidRPr="00EA2987">
        <w:noBreakHyphen/>
      </w:r>
      <w:r w:rsidRPr="00EA2987">
        <w:t>Vlaanderen</w:t>
      </w:r>
      <w:r w:rsidRPr="00EA2987">
        <w:t xml:space="preserve"> (BE25) Flanderissa viiteajanjaksolla 1. heinäkuuta </w:t>
      </w:r>
      <w:r w:rsidRPr="00EA2987">
        <w:t>2025 – 1</w:t>
      </w:r>
      <w:r w:rsidRPr="00EA2987">
        <w:t>. marraskuuta 2025;</w:t>
      </w:r>
    </w:p>
    <w:p w:rsidR="00577D7F" w:rsidRPr="00EA2987" w:rsidP="00577D7F" w14:paraId="147F4BF5" w14:textId="77777777">
      <w:pPr>
        <w:pStyle w:val="NormalHanging12a"/>
        <w:widowControl/>
      </w:pPr>
      <w:r w:rsidRPr="00EA2987">
        <w:t>C.</w:t>
      </w:r>
      <w:r w:rsidRPr="00EA2987">
        <w:tab/>
        <w:t>ottaa huomioon, että hakemus perustuu EGR-asetuksen 4 artiklan 2 kohdan a alakohdan toimintakriteeriin;</w:t>
      </w:r>
    </w:p>
    <w:p w:rsidR="00577D7F" w:rsidRPr="00EA2987" w:rsidP="00577D7F" w14:paraId="7291AA4D" w14:textId="77777777">
      <w:pPr>
        <w:pStyle w:val="NormalHanging12a"/>
        <w:widowControl/>
        <w:rPr>
          <w:noProof/>
        </w:rPr>
      </w:pPr>
      <w:r w:rsidRPr="00EA2987">
        <w:t>D.</w:t>
      </w:r>
      <w:r w:rsidRPr="00EA2987">
        <w:tab/>
        <w:t xml:space="preserve">ottaa huomioon, että </w:t>
      </w:r>
      <w:r w:rsidRPr="00EA2987">
        <w:t>Soliver</w:t>
      </w:r>
      <w:r w:rsidRPr="00EA2987">
        <w:t xml:space="preserve"> hakeutui konkurssiin joulukuussa 2024; ottaa huomioon, että konkurssit ovat lisääntyneet Belgiassa vuodesta 2022 ja työttömyys on merkittävä ongelma useilla Flanderin alueilla;</w:t>
      </w:r>
    </w:p>
    <w:p w:rsidR="00577D7F" w:rsidRPr="00EA2987" w:rsidP="00577D7F" w14:paraId="593F43EF" w14:textId="77777777">
      <w:pPr>
        <w:pStyle w:val="NormalHanging12a"/>
        <w:widowControl/>
        <w:rPr>
          <w:bCs/>
          <w:iCs/>
          <w:noProof/>
        </w:rPr>
      </w:pPr>
      <w:r w:rsidRPr="00EA2987">
        <w:t>E.</w:t>
      </w:r>
      <w:r w:rsidRPr="00EA2987">
        <w:tab/>
        <w:t xml:space="preserve">ottaa huomioon, että </w:t>
      </w:r>
      <w:r w:rsidRPr="00EA2987">
        <w:t>Soliverin</w:t>
      </w:r>
      <w:r w:rsidRPr="00EA2987">
        <w:t xml:space="preserve"> sulkemisesta kärsivästä työvoimasta suuri osa on ikääntyneitä työntekijöitä, joilla on erityisiä ja monitahoisia esteitä työmarkkinoille palaamiselle, mukaan lukien ikäsyrjintä, osaamisen </w:t>
      </w:r>
      <w:r w:rsidRPr="00EA2987">
        <w:t>kohtaanto</w:t>
      </w:r>
      <w:r w:rsidRPr="00EA2987">
        <w:t>-ongelmat ja rajalliset mahdollisuudet uudelleenkoulutukseen; katsoo, että on otettava käyttöön kohdennettuja toimenpiteitä ikääntyneiden työntekijöiden erityistarpeisiin vastaamiseksi, mukaan lukien ikätasolle sopivat koulutusmuodot, mentorointi ja yhteistyö eri-ikäisten työntekijöiden rekrytointiin sitoutuneiden työnantajien kanssa;</w:t>
      </w:r>
    </w:p>
    <w:p w:rsidR="00577D7F" w:rsidRPr="00EA2987" w:rsidP="00577D7F" w14:paraId="6B1DFA51" w14:textId="77777777">
      <w:pPr>
        <w:pStyle w:val="NormalHanging12a"/>
        <w:widowControl/>
      </w:pPr>
      <w:r w:rsidRPr="00EA2987">
        <w:t>F.</w:t>
      </w:r>
      <w:r w:rsidRPr="00EA2987">
        <w:tab/>
        <w:t>ottaa huomioon, että Flanderin työvoima- ja ammattikoulutuspalvelu (VDAB) tarjoaa kansallista ennakkorahoitusta ja yhteisrahoitusta kyseisiä toimenpiteitä varten;</w:t>
      </w:r>
    </w:p>
    <w:p w:rsidR="00577D7F" w:rsidRPr="00EA2987" w:rsidP="00577D7F" w14:paraId="7818F51A" w14:textId="77777777">
      <w:pPr>
        <w:pStyle w:val="NormalHanging12a"/>
        <w:widowControl/>
      </w:pPr>
      <w:r w:rsidRPr="00EA2987">
        <w:t>G.</w:t>
      </w:r>
      <w:r w:rsidRPr="00EA2987">
        <w:tab/>
        <w:t>ottaa huomioon, että kansallisessa ja unionin lainsäädännössä joukkovähentämisistä säädettyjä vaatimuksia on noudatettu;</w:t>
      </w:r>
    </w:p>
    <w:p w:rsidR="00577D7F" w:rsidRPr="00EA2987" w:rsidP="00577D7F" w14:paraId="707FD410" w14:textId="77777777">
      <w:pPr>
        <w:pStyle w:val="NormalHanging12a"/>
        <w:widowControl/>
      </w:pPr>
      <w:r w:rsidRPr="00EA2987">
        <w:t>H.</w:t>
      </w:r>
      <w:r w:rsidRPr="00EA2987">
        <w:tab/>
        <w:t xml:space="preserve">toteaa, että </w:t>
      </w:r>
      <w:r w:rsidRPr="00EA2987">
        <w:t>EGR:n</w:t>
      </w:r>
      <w:r w:rsidRPr="00EA2987">
        <w:t xml:space="preserve"> rahoitustuki olisi keskitettävä ensisijaisesti aktiivisiin työvoimapoliittisiin toimenpiteisiin ja yksilöllisiin palveluihin, joilla pyritään auttamaan </w:t>
      </w:r>
      <w:r w:rsidRPr="00EA2987">
        <w:t>edunsaajia palaamaan pysyvästi ja laadukkain työehdoin työmarkkinoille ja tarjoamaan heille työmarkkinoille palaamista helpottavia taitoja koskevaa koulutusta;</w:t>
      </w:r>
    </w:p>
    <w:p w:rsidR="00577D7F" w:rsidRPr="00EA2987" w:rsidP="00577D7F" w14:paraId="72F7601F" w14:textId="77777777">
      <w:pPr>
        <w:pStyle w:val="NormalHanging12a"/>
        <w:widowControl/>
      </w:pPr>
      <w:r w:rsidRPr="00EA2987">
        <w:t>I.</w:t>
      </w:r>
      <w:r w:rsidRPr="00EA2987">
        <w:tab/>
        <w:t>ottaa huomioon, että EGR ei saa ylittää 30 miljoonan euron vuotuista enimmäismäärää (vuoden 2018 hintoina)</w:t>
      </w:r>
      <w:r>
        <w:rPr>
          <w:rStyle w:val="FootnoteReference"/>
        </w:rPr>
        <w:footnoteReference w:id="8"/>
      </w:r>
      <w:r w:rsidRPr="00EA2987">
        <w:t>;</w:t>
      </w:r>
    </w:p>
    <w:p w:rsidR="00577D7F" w:rsidRPr="00EA2987" w:rsidP="00577D7F" w14:paraId="172F7E46" w14:textId="77777777">
      <w:pPr>
        <w:pStyle w:val="NormalHanging12a"/>
        <w:widowControl/>
      </w:pPr>
      <w:r w:rsidRPr="00EA2987">
        <w:t>1.</w:t>
      </w:r>
      <w:r w:rsidRPr="00EA2987">
        <w:tab/>
        <w:t>on yhtä mieltä komission kanssa siitä, että EGR-asetuksessa ja erityisesti sen 4 artiklan 2 kohdan a alakohdassa säädetyt edellytykset täyttyvät ja että Belgia on oikeutettu saamaan kyseisen asetuksen mukaista rahoitustukea 2 132 535 euroa eli 85 prosenttia 2 508 865 euron kokonaiskustannuksista, joista yksilöllisten palvelujen osuus on 2 412 465 euroa ja valmistelu-, hallinnointi-, tiedotus-, mainonta-, valvonta- ja raportointitoimien osuus 96 400 euroa;</w:t>
      </w:r>
    </w:p>
    <w:p w:rsidR="00577D7F" w:rsidRPr="00EA2987" w:rsidP="00577D7F" w14:paraId="140C0465" w14:textId="77777777">
      <w:pPr>
        <w:pStyle w:val="NormalHanging12a"/>
        <w:widowControl/>
      </w:pPr>
      <w:r w:rsidRPr="00EA2987">
        <w:t>2.</w:t>
      </w:r>
      <w:r w:rsidRPr="00EA2987">
        <w:tab/>
        <w:t>toteaa, että Belgian viranomaiset jättivät hakemuksen 22. joulukuuta 2025 ja että Belgian toimitettua lisätietoja komissio sai hakemusta koskevan arvionsa valmiiksi 30. huhtikuuta 2026 eli lähes kuukauden etuajassa ja ilmoitti asiasta parlamentille samana päivänä; korostaa, että on tärkeää lyhentää EGR-tukihakemuksen jättämisen ja rahoituspäätöksen välistä aikaa ja samalla turvata täysin Euroopan parlamentin oikeudet yhtenä budjettivallan käyttäjänä;</w:t>
      </w:r>
    </w:p>
    <w:p w:rsidR="00577D7F" w:rsidRPr="00EA2987" w:rsidP="00577D7F" w14:paraId="2C115CAD" w14:textId="77777777">
      <w:pPr>
        <w:pStyle w:val="NormalHanging12a"/>
        <w:widowControl/>
        <w:rPr>
          <w:noProof/>
        </w:rPr>
      </w:pPr>
      <w:r w:rsidRPr="00EA2987">
        <w:t>3.</w:t>
      </w:r>
      <w:r w:rsidRPr="00EA2987">
        <w:tab/>
        <w:t xml:space="preserve">ottaa huomioon, että hakemus koskee 803:a </w:t>
      </w:r>
      <w:r w:rsidRPr="00EA2987">
        <w:t>Soliverista</w:t>
      </w:r>
      <w:r w:rsidRPr="00EA2987">
        <w:t xml:space="preserve"> työttömäksi jäänyttä edunsaajaa;</w:t>
      </w:r>
    </w:p>
    <w:p w:rsidR="00577D7F" w:rsidRPr="00EA2987" w:rsidP="00577D7F" w14:paraId="311D255A" w14:textId="77777777">
      <w:pPr>
        <w:pStyle w:val="NormalHanging12a"/>
        <w:widowControl/>
      </w:pPr>
      <w:r w:rsidRPr="00EA2987">
        <w:t>4.</w:t>
      </w:r>
      <w:r w:rsidRPr="00EA2987">
        <w:tab/>
        <w:t xml:space="preserve">panee merkille, että rakennus- ja autoteollisuuden lasituotteiden valmistajan </w:t>
      </w:r>
      <w:r w:rsidRPr="00EA2987">
        <w:t>Soliverin</w:t>
      </w:r>
      <w:r w:rsidRPr="00EA2987">
        <w:t xml:space="preserve"> painopiste siirtyi yksinomaan korkean teknologian autolasiin American </w:t>
      </w:r>
      <w:r w:rsidRPr="00EA2987">
        <w:t>Glass</w:t>
      </w:r>
      <w:r w:rsidRPr="00EA2987">
        <w:t xml:space="preserve"> Products Holdingin (AGP) ostettua sen vuonna 2018; panee merkille, että yrityksellä alkoi olla pääasiassa autoteollisuuden laskusuhdanteesta johtuvia vaikeuksia niiden automallien tuotannon viivästymisen vuoksi, joihin sen tuotteet oli tarkoitettu, mikä johti lopulta kannattavuuden vakavaan heikkenemiseen ja konkurssiin;</w:t>
      </w:r>
    </w:p>
    <w:p w:rsidR="00577D7F" w:rsidRPr="00EA2987" w:rsidP="00577D7F" w14:paraId="462EB2A1" w14:textId="77777777">
      <w:pPr>
        <w:pStyle w:val="NormalHanging12a"/>
        <w:widowControl/>
        <w:rPr>
          <w:bCs/>
          <w:iCs/>
        </w:rPr>
      </w:pPr>
      <w:r w:rsidRPr="00EA2987">
        <w:t>5.</w:t>
      </w:r>
      <w:r w:rsidRPr="00EA2987">
        <w:tab/>
        <w:t>toteaa, että lasiteollisuus on energiaintensiivinen ala, johon jatkuvasti korkeat energian hinnat ovat vaikuttaneet merkittävästi, mikä on heikentänyt huomattavasti sen kilpailukykyä; korostaa, että kilpailukykyisten energian hintojen saavuttaminen pitkällä aikavälillä edellyttää luotettavan ja kohtuuhintaisen energiahuollon huomattavaa lisäämistä muun muassa monipuolistamalla energialähteitä ja toimitusreittejä, kehittämällä EU:n sisäistä energiantuotantoa ja saattamalla energiaunioni kokonaisuudessaan valmiiksi;</w:t>
      </w:r>
    </w:p>
    <w:p w:rsidR="00577D7F" w:rsidRPr="00EA2987" w:rsidP="00577D7F" w14:paraId="0887A887" w14:textId="77777777">
      <w:pPr>
        <w:pStyle w:val="NormalHanging12a"/>
        <w:widowControl/>
        <w:rPr>
          <w:bCs/>
          <w:iCs/>
        </w:rPr>
      </w:pPr>
      <w:r w:rsidRPr="00EA2987">
        <w:t>6.</w:t>
      </w:r>
      <w:r w:rsidRPr="00EA2987">
        <w:tab/>
        <w:t>toteaa, että teknisesti pätevillä työntekijöillä – tai niillä, jotka ovat halukkaita kouluttautumaan uudelleen – on parhaimmat mahdollisuudet työllistyä, mutta tämä johtuu siitä, että teknisistä osaajista on pulaa, mikä johtuu nuorten vähäisestä osallistumisesta ammatilliseen koulutukseen ja työvoiman ikääntymisestä; korostaa, että irtisanottujen työntekijöiden paluu työmarkkinoille ja laadukkaiden koulutusmahdollisuuksien yhtäläisen saatavuuden varmistaminen ovat keskeisiä edellytyksiä tulevaisuuden vaatimukset huomioon ottavalle Euroopan taloudelle, jolla on vahva teollinen perusta; korostaa, että tässä yhteydessä on tärkeää vahvistaa unionin teollisuuden kilpailukykyä;</w:t>
      </w:r>
    </w:p>
    <w:p w:rsidR="00577D7F" w:rsidRPr="00EA2987" w:rsidP="00577D7F" w14:paraId="5758F4F2" w14:textId="77777777">
      <w:pPr>
        <w:pStyle w:val="NormalHanging12a"/>
        <w:widowControl/>
        <w:rPr>
          <w:noProof/>
        </w:rPr>
      </w:pPr>
      <w:r w:rsidRPr="00EA2987">
        <w:t>7.</w:t>
      </w:r>
      <w:r w:rsidRPr="00EA2987">
        <w:tab/>
        <w:t xml:space="preserve">pitää valitettavana, että konkurssien lisääntyminen muutaman viime vuoden aikana on laskenut työllisyysastetta joillakin Belgian alueilla, erityisesti Flanderissa; korostaa, että Flanderissa vähennetyillä ikääntyneillä työntekijöillä on suurempia esteitä palata </w:t>
      </w:r>
      <w:r w:rsidRPr="00EA2987">
        <w:t>työmarkkinoille; kehottaa Belgian viranomaisia tarjoamaan räätälöityä erityistukea, jotta työntekijöitä voidaan auttaa kehittämään pidemmälle taitoja, joita tarvitaan uusien, laadukkaiden työpaikkojen löytämiseksi, ja samalla toteuttamaan toimenpiteitä konkurssien vähentämiseksi ja ratkaisujen löytämiseksi työvoiman syrjäytymiseen johtavaan sosiaaliseen eriarvoisuuteen;</w:t>
      </w:r>
    </w:p>
    <w:p w:rsidR="00577D7F" w:rsidRPr="00EA2987" w:rsidP="00577D7F" w14:paraId="0AB9C0B5" w14:textId="77777777">
      <w:pPr>
        <w:pStyle w:val="NormalHanging12a"/>
        <w:widowControl/>
      </w:pPr>
      <w:r w:rsidRPr="00EA2987">
        <w:t>8.</w:t>
      </w:r>
      <w:r w:rsidRPr="00EA2987">
        <w:tab/>
        <w:t>muistuttaa, että työntekijöille on tarjottava asiantuntijoiden ja työmarkkinaosapuolten kanssa sovitun mukaisesti yksilöllisten palvelujen paketti, joka koostuu seuraavista toimenpiteistä: kokeneista konsulteista ja työvoimapalveluiden asiantuntijoista koostuva työryhmä, joka tarjoaa yksilöllisiä neuvontapalveluja, uudelleensijoituspalvelut, joissa tarjotaan yksilöllistä ohjausta, avustaminen työpaikan löytämisessä, tehostettu työnhakuneuvonta, koulutus ja uudelleenkoulutus, mukaan lukien työpaikalla annettava koulutus, sekä osallistuminen työpaikkamessuille; korostaa, että on tärkeää edistää laadukkaita ja tulevaisuuteen suuntautuvia työpaikkoja, joilla vahvistetaan kilpailukykyä ja tuetaan digitalisaatiota;</w:t>
      </w:r>
    </w:p>
    <w:p w:rsidR="00577D7F" w:rsidRPr="00EA2987" w:rsidP="00577D7F" w14:paraId="13229C99" w14:textId="77777777">
      <w:pPr>
        <w:pStyle w:val="NormalHanging12a"/>
        <w:widowControl/>
      </w:pPr>
      <w:r w:rsidRPr="00EA2987">
        <w:t>9.</w:t>
      </w:r>
      <w:r w:rsidRPr="00EA2987">
        <w:tab/>
        <w:t xml:space="preserve">muistuttaa, että EGR on solidaarisuuden ja oikeudenmukaisen siirtymän väline ja että vaikka se tarjoaa tukea työpaikkojen menetysten jälkeen, se ei voi korvata ennakoivaa teollisuuspolitiikkaa; katsoo, että </w:t>
      </w:r>
      <w:r w:rsidRPr="00EA2987">
        <w:t>EGR:n</w:t>
      </w:r>
      <w:r w:rsidRPr="00EA2987">
        <w:t xml:space="preserve"> varojen käyttöönotto on sisällytettävä osaksi laajempia toimintapoliittisia toimia kaikilla politiikan tasoilla sen varmistamiseksi, että asianomaiset työntekijät löytävät pätevyyksiään ja taitojaan vastaavia mahdollisuuksia; painottaa, että unionin ensisijaisena tehtävänä on oltava tällaisten sulkemisten estäminen alun pitäenkin luomalla edellytykset sille, että teollisuustuotannon kilpailukyky voidaan säilyttää ja sosiaaliturvajärjestelmät pitää taloudellisesti kestävinä, ja että samalla on investoitava sekä korkeasti koulutettujen että teollisuustyöntekijöiden osaamiseen; korostaa tarvetta tarjota työntekijöiden profiilin mukaan räätälöityä erityistukea ja toteuttaa samalla toimenpiteitä konkurssien vähentämiseksi ja ratkaisujen löytämiseksi sosiaaliseen eriarvoisuuteen, joka johtaa työvoiman syrjäytymiseen; korostaa, että tarpeettoman sääntely- ja hallinnollisen taakan vähentäminen on olennaisen tärkeää teollisuuden kilpailukyvyn tukemiseksi, investointien houkuttelemiseksi ja laadukkaiden työpaikkojen säilyttämiseksi unionissa;</w:t>
      </w:r>
    </w:p>
    <w:p w:rsidR="00577D7F" w:rsidRPr="00EA2987" w:rsidP="00577D7F" w14:paraId="31DE5FF1" w14:textId="77777777">
      <w:pPr>
        <w:pStyle w:val="NormalHanging12a"/>
        <w:widowControl/>
        <w:rPr>
          <w:bCs/>
          <w:iCs/>
        </w:rPr>
      </w:pPr>
      <w:r w:rsidRPr="00EA2987">
        <w:t>10.</w:t>
      </w:r>
      <w:r w:rsidRPr="00EA2987">
        <w:tab/>
        <w:t>korostaa, että Belgian viranomaisten on varmistettava unionin rahoituksen näkyvyys ja pidettävä esillä sen tuomaa lisäarvoa tiedottamalla siitä tehokkaasti ja kohdennetusti edunsaajille, alue- ja paikallisviranomaisille, työmarkkinaosapuolille ja suurelle yleisölle;</w:t>
      </w:r>
    </w:p>
    <w:p w:rsidR="00577D7F" w:rsidRPr="00EA2987" w:rsidP="00577D7F" w14:paraId="3B136988" w14:textId="77777777">
      <w:pPr>
        <w:pStyle w:val="NormalHanging12a"/>
        <w:widowControl/>
      </w:pPr>
      <w:r w:rsidRPr="00EA2987">
        <w:t>11.</w:t>
      </w:r>
      <w:r w:rsidRPr="00EA2987">
        <w:tab/>
        <w:t>kehottaa komissiota varmistamaan välineen yhtäläisen näkyvyyden kaikissa jäsenvaltioissa ja tuomaan esiin sen lisäarvoa levittämällä kohdennettua tietoa kansallisille viranomaisille, joiden olisi välitettävä tällaista tietoa edelleen irtisanomaan joutuneille yrityksille, alue- ja paikallisviranomaisille, työmarkkinaosapuolille ja suurelle yleisölle;</w:t>
      </w:r>
    </w:p>
    <w:p w:rsidR="00577D7F" w:rsidRPr="00EA2987" w:rsidP="00577D7F" w14:paraId="72C45D18" w14:textId="77777777">
      <w:pPr>
        <w:pStyle w:val="NormalHanging12a"/>
        <w:widowControl/>
        <w:rPr>
          <w:bCs/>
          <w:iCs/>
        </w:rPr>
      </w:pPr>
      <w:r w:rsidRPr="00EA2987">
        <w:t>12.</w:t>
      </w:r>
      <w:r w:rsidRPr="00EA2987">
        <w:tab/>
        <w:t xml:space="preserve">kehottaa laatimaan yhteistyössä työmarkkinaosapuolten kanssa toteutetuista toimenpiteistä perusteelliset loppuarvioinnit, joissa esitetään selkeästi ja avoimesti, miten varat on käytetty, ovatko työntekijät päässeet palaamaan työmarkkinoille ja onko </w:t>
      </w:r>
      <w:r w:rsidRPr="00EA2987">
        <w:t>EGR:n</w:t>
      </w:r>
      <w:r w:rsidRPr="00EA2987">
        <w:t xml:space="preserve"> tavoitteet saavutettu; korostaa tässä yhteydessä </w:t>
      </w:r>
      <w:r w:rsidRPr="00EA2987">
        <w:t>EGR:stä</w:t>
      </w:r>
      <w:r w:rsidRPr="00EA2987">
        <w:t xml:space="preserve"> rahoitettujen toimenpiteiden säännöllisen seurannan merkitystä, jotta voidaan arvioida niiden tehokkuutta;</w:t>
      </w:r>
    </w:p>
    <w:p w:rsidR="00577D7F" w:rsidRPr="00EA2987" w:rsidP="00577D7F" w14:paraId="723467FD" w14:textId="77777777">
      <w:pPr>
        <w:pStyle w:val="NormalHanging12a"/>
        <w:widowControl/>
      </w:pPr>
      <w:r w:rsidRPr="00EA2987">
        <w:t>13.</w:t>
      </w:r>
      <w:r w:rsidRPr="00EA2987">
        <w:tab/>
        <w:t xml:space="preserve">panee merkille, että Belgia aloitti yksilöllisten palvelujen tarjoamisen kohteena oleville edunsaajille ja sille on aiheutunut hallinnollisia menoja </w:t>
      </w:r>
      <w:r w:rsidRPr="00EA2987">
        <w:t>EGR:n</w:t>
      </w:r>
      <w:r w:rsidRPr="00EA2987">
        <w:t xml:space="preserve"> täytäntöönpanosta </w:t>
      </w:r>
      <w:r w:rsidRPr="00EA2987">
        <w:t xml:space="preserve">11. kesäkuuta 2025 alkaen ja näin ollen </w:t>
      </w:r>
      <w:r w:rsidRPr="00EA2987">
        <w:t>EGR:n</w:t>
      </w:r>
      <w:r w:rsidRPr="00EA2987">
        <w:t xml:space="preserve"> rahoitustukea voidaan myöntää kaudella, joka alkaa kyseisenä päivänä ja päättyy 24 kuukauden kuluttua (yksilölliset palvelut) ja 31 kuukauden kuluttua (hallinnolliset menot) rahoituspäätöksen voimaantulopäivästä;</w:t>
      </w:r>
    </w:p>
    <w:p w:rsidR="00577D7F" w:rsidRPr="00EA2987" w:rsidP="00577D7F" w14:paraId="5F8641EE" w14:textId="77777777">
      <w:pPr>
        <w:pStyle w:val="NormalHanging12a"/>
        <w:widowControl/>
      </w:pPr>
      <w:r w:rsidRPr="00EA2987">
        <w:t>14.</w:t>
      </w:r>
      <w:r w:rsidRPr="00EA2987">
        <w:tab/>
        <w:t>toteaa Belgian viranomaisten toimittaneen vakuutukset siitä, että suunniteltuihin toimiin osallistumisen ja niiden täytäntöönpanon osalta noudatetaan yhdenvertaisen kohtelun ja syrjimättömyyden periaatteita ja että kaksinkertainen rahoitus estetään;</w:t>
      </w:r>
    </w:p>
    <w:p w:rsidR="00577D7F" w:rsidRPr="00EA2987" w:rsidP="00577D7F" w14:paraId="3C9C2C64" w14:textId="77777777">
      <w:pPr>
        <w:pStyle w:val="NormalHanging12a"/>
        <w:widowControl/>
      </w:pPr>
      <w:r w:rsidRPr="00EA2987">
        <w:t>15.</w:t>
      </w:r>
      <w:r w:rsidRPr="00EA2987">
        <w:tab/>
        <w:t xml:space="preserve">muistuttaa, että </w:t>
      </w:r>
      <w:r w:rsidRPr="00EA2987">
        <w:t>EGR:n</w:t>
      </w:r>
      <w:r w:rsidRPr="00EA2987">
        <w:t xml:space="preserve"> tuki ei saa korvata toimenpiteitä, jotka kansallisen lainsäädännön tai työehtosopimusten nojalla kuuluvat viranomaisten tai yritysten vastuulle; muistuttaa, että EGR on osittainen, kohdennettu ja täydentävä tukiväline;</w:t>
      </w:r>
    </w:p>
    <w:p w:rsidR="00577D7F" w:rsidRPr="00EA2987" w:rsidP="00577D7F" w14:paraId="4E5FC581" w14:textId="77777777">
      <w:pPr>
        <w:pStyle w:val="NormalHanging12a"/>
        <w:widowControl/>
      </w:pPr>
      <w:r w:rsidRPr="00EA2987">
        <w:t>16.</w:t>
      </w:r>
      <w:r w:rsidRPr="00EA2987">
        <w:tab/>
        <w:t>hyväksyy tämän päätöslauselman liitteenä olevan päätöksen;</w:t>
      </w:r>
    </w:p>
    <w:p w:rsidR="00577D7F" w:rsidRPr="00EA2987" w:rsidP="00577D7F" w14:paraId="4B28C326" w14:textId="77777777">
      <w:pPr>
        <w:pStyle w:val="NormalHanging12a"/>
        <w:widowControl/>
      </w:pPr>
      <w:r w:rsidRPr="00EA2987">
        <w:t>17.</w:t>
      </w:r>
      <w:r w:rsidRPr="00EA2987">
        <w:tab/>
        <w:t xml:space="preserve">kehottaa puhemiestä allekirjoittamaan päätöksen neuvoston puheenjohtajan kanssa ja huolehtimaan sen julkaisemisesta </w:t>
      </w:r>
      <w:r w:rsidRPr="00EA2987">
        <w:rPr>
          <w:i/>
        </w:rPr>
        <w:t>Euroopan unionin virallisessa lehdessä</w:t>
      </w:r>
      <w:r w:rsidRPr="00EA2987">
        <w:t>;</w:t>
      </w:r>
    </w:p>
    <w:p w:rsidR="00577D7F" w:rsidRPr="00EA2987" w:rsidP="00577D7F" w14:paraId="4A4DFC2C" w14:textId="2C1E5D63">
      <w:pPr>
        <w:pStyle w:val="NormalHanging12a"/>
        <w:widowControl/>
      </w:pPr>
      <w:r w:rsidRPr="00EA2987">
        <w:t>18.</w:t>
      </w:r>
      <w:r w:rsidRPr="00EA2987">
        <w:tab/>
        <w:t>kehottaa puhemiestä välittämään tämän päätöslauselman liitteineen neuvostolle ja komissiolle.</w:t>
      </w:r>
    </w:p>
    <w:p w:rsidR="00577D7F" w:rsidRPr="00EA2987" w:rsidP="00577D7F" w14:paraId="2CD00385" w14:textId="77777777">
      <w:pPr>
        <w:widowControl/>
        <w:rPr>
          <w:noProof/>
        </w:rPr>
      </w:pPr>
    </w:p>
    <w:p w:rsidR="00577D7F" w:rsidRPr="00EA2987" w:rsidP="00577D7F" w14:paraId="4323CF7F" w14:textId="77777777">
      <w:pPr>
        <w:pStyle w:val="PageHeading"/>
        <w:widowControl/>
        <w:rPr>
          <w:noProof/>
        </w:rPr>
        <w:sectPr w:rsidSect="00A821BA">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C4035" w:rsidP="00577D7F" w14:paraId="29DFAEB1" w14:textId="77777777">
      <w:pPr>
        <w:pStyle w:val="PageHeading"/>
        <w:widowControl/>
        <w:rPr>
          <w:rFonts w:ascii="Times New Roman" w:hAnsi="Times New Roman" w:cs="Times New Roman"/>
        </w:rPr>
      </w:pPr>
      <w:bookmarkStart w:id="7" w:name="_Toc232069657"/>
      <w:r w:rsidRPr="00EA2987">
        <w:rPr>
          <w:rFonts w:ascii="Times New Roman" w:hAnsi="Times New Roman" w:cs="Times New Roman"/>
        </w:rPr>
        <w:t>LIITE</w:t>
      </w:r>
    </w:p>
    <w:p w:rsidR="00577D7F" w:rsidRPr="00EA2987" w:rsidP="00577D7F" w14:paraId="4FDC0E3B" w14:textId="053D79D2">
      <w:pPr>
        <w:pStyle w:val="PageHeading"/>
        <w:widowControl/>
        <w:rPr>
          <w:rFonts w:ascii="Times New Roman" w:hAnsi="Times New Roman" w:cs="Times New Roman"/>
          <w:noProof/>
        </w:rPr>
      </w:pPr>
      <w:r w:rsidRPr="00EA2987">
        <w:rPr>
          <w:rFonts w:ascii="Times New Roman" w:hAnsi="Times New Roman" w:cs="Times New Roman"/>
        </w:rPr>
        <w:t>EUROOPAN PARLAMENTIN JA NEUVOSTON PÄÄTÖS</w:t>
      </w:r>
      <w:bookmarkEnd w:id="7"/>
    </w:p>
    <w:p w:rsidR="00577D7F" w:rsidP="00577D7F" w14:paraId="481AD822" w14:textId="77777777">
      <w:pPr>
        <w:widowControl/>
        <w:rPr>
          <w:b/>
        </w:rPr>
      </w:pPr>
      <w:bookmarkStart w:id="8" w:name="_Hlk228802707"/>
      <w:bookmarkEnd w:id="8"/>
      <w:r w:rsidRPr="00EA2987">
        <w:rPr>
          <w:b/>
        </w:rPr>
        <w:t xml:space="preserve">työttömiksi jääneitä työntekijöitä tukevan Euroopan globalisaatiorahaston varojen käyttöönotosta Belgian hakemuksen </w:t>
      </w:r>
      <w:r w:rsidRPr="00EA2987">
        <w:rPr>
          <w:b/>
        </w:rPr>
        <w:t>johdosta</w:t>
      </w:r>
      <w:r w:rsidRPr="00EA2987">
        <w:rPr>
          <w:b/>
        </w:rPr>
        <w:t xml:space="preserve"> – EGF/2025/009 BE/</w:t>
      </w:r>
      <w:r w:rsidRPr="00EA2987">
        <w:rPr>
          <w:b/>
        </w:rPr>
        <w:t>Soliver</w:t>
      </w:r>
    </w:p>
    <w:p w:rsidR="007C4035" w:rsidRPr="00EA2987" w:rsidP="007C4035" w14:paraId="101D323A" w14:textId="250637F9">
      <w:pPr>
        <w:spacing w:before="240"/>
        <w:rPr>
          <w:b/>
          <w:bCs/>
          <w:noProof/>
        </w:rPr>
      </w:pPr>
      <w:r w:rsidRPr="006E0791">
        <w:rPr>
          <w:i/>
          <w:szCs w:val="24"/>
        </w:rPr>
        <w:t xml:space="preserve">(Tätä liitettä ei esitetä tässä, koska se vastaa lopullista säädöstä, päätöstä </w:t>
      </w:r>
      <w:r>
        <w:rPr>
          <w:i/>
          <w:szCs w:val="24"/>
        </w:rPr>
        <w:t>(</w:t>
      </w:r>
      <w:r w:rsidRPr="006E0791">
        <w:rPr>
          <w:i/>
          <w:szCs w:val="24"/>
        </w:rPr>
        <w:t>EU</w:t>
      </w:r>
      <w:r>
        <w:rPr>
          <w:i/>
          <w:szCs w:val="24"/>
        </w:rPr>
        <w:t>) 20</w:t>
      </w:r>
      <w:r>
        <w:rPr>
          <w:i/>
          <w:szCs w:val="24"/>
        </w:rPr>
        <w:t>26</w:t>
      </w:r>
      <w:r>
        <w:rPr>
          <w:i/>
          <w:szCs w:val="24"/>
        </w:rPr>
        <w:t>/</w:t>
      </w:r>
      <w:r>
        <w:rPr>
          <w:i/>
          <w:szCs w:val="24"/>
        </w:rPr>
        <w:t>1543</w:t>
      </w:r>
      <w:r w:rsidRPr="006E0791">
        <w:rPr>
          <w:i/>
          <w:szCs w:val="24"/>
        </w:rPr>
        <w:t>.)</w:t>
      </w:r>
    </w:p>
    <w:sectPr w:rsidSect="00A821B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7D7F" w:rsidRPr="00A821BA" w:rsidP="00E82897" w14:paraId="612A3039" w14:textId="77777777">
    <w:pPr>
      <w:pStyle w:val="EPFooter"/>
    </w:pPr>
    <w:r w:rsidRPr="00A821BA">
      <w:t>PE</w:t>
    </w:r>
    <w:r w:rsidRPr="00A821BA">
      <w:rPr>
        <w:rStyle w:val="HideTWBExt"/>
      </w:rPr>
      <w:t>&lt;</w:t>
    </w:r>
    <w:r w:rsidRPr="00A821BA">
      <w:rPr>
        <w:rStyle w:val="HideTWBExt"/>
      </w:rPr>
      <w:t>NoPE</w:t>
    </w:r>
    <w:r w:rsidRPr="00A821BA">
      <w:rPr>
        <w:rStyle w:val="HideTWBExt"/>
      </w:rPr>
      <w:t>&gt;</w:t>
    </w:r>
    <w:r w:rsidRPr="00A821BA">
      <w:t>787.923</w:t>
    </w:r>
    <w:r w:rsidRPr="00A821BA">
      <w:rPr>
        <w:rStyle w:val="HideTWBExt"/>
      </w:rPr>
      <w:t>&lt;/</w:t>
    </w:r>
    <w:r w:rsidRPr="00A821BA">
      <w:rPr>
        <w:rStyle w:val="HideTWBExt"/>
      </w:rPr>
      <w:t>NoPE</w:t>
    </w:r>
    <w:r w:rsidRPr="00A821BA">
      <w:rPr>
        <w:rStyle w:val="HideTWBExt"/>
      </w:rPr>
      <w:t>&gt;&lt;Version&gt;</w:t>
    </w:r>
    <w:r w:rsidRPr="00A821BA">
      <w:t>v02-00</w:t>
    </w:r>
    <w:r w:rsidRPr="00A821BA">
      <w:rPr>
        <w:rStyle w:val="HideTWBExt"/>
      </w:rPr>
      <w:t>&lt;/Version&gt;</w:t>
    </w:r>
    <w:r w:rsidRPr="00A821BA">
      <w:tab/>
    </w:r>
    <w:r w:rsidRPr="00A821BA">
      <w:fldChar w:fldCharType="begin"/>
    </w:r>
    <w:r w:rsidRPr="00A821BA">
      <w:instrText xml:space="preserve"> PAGE  \* MERGEFORMAT </w:instrText>
    </w:r>
    <w:r w:rsidRPr="00A821BA">
      <w:fldChar w:fldCharType="separate"/>
    </w:r>
    <w:r w:rsidRPr="00A821BA">
      <w:rPr>
        <w:noProof/>
      </w:rPr>
      <w:t>10</w:t>
    </w:r>
    <w:r w:rsidRPr="00A821BA">
      <w:fldChar w:fldCharType="end"/>
    </w:r>
    <w:r w:rsidRPr="00A821BA">
      <w:t>/</w:t>
    </w:r>
    <w:r>
      <w:fldChar w:fldCharType="begin"/>
    </w:r>
    <w:r>
      <w:instrText xml:space="preserve"> NUMPAGES  \* MERGEFORMAT </w:instrText>
    </w:r>
    <w:r>
      <w:fldChar w:fldCharType="separate"/>
    </w:r>
    <w:r w:rsidRPr="00A821BA">
      <w:rPr>
        <w:noProof/>
      </w:rPr>
      <w:t>20</w:t>
    </w:r>
    <w:r w:rsidRPr="00A821BA">
      <w:rPr>
        <w:noProof/>
      </w:rPr>
      <w:fldChar w:fldCharType="end"/>
    </w:r>
    <w:r w:rsidRPr="00A821BA">
      <w:tab/>
    </w:r>
    <w:r w:rsidRPr="00A821BA">
      <w:rPr>
        <w:rStyle w:val="HideTWBExt"/>
      </w:rPr>
      <w:t>&lt;PathFdR&gt;</w:t>
    </w:r>
    <w:r w:rsidRPr="00A821BA">
      <w:t>RR\1345097FI.docx</w:t>
    </w:r>
    <w:r w:rsidRPr="00A821BA">
      <w:rPr>
        <w:rStyle w:val="HideTWBExt"/>
      </w:rPr>
      <w:t>&lt;/</w:t>
    </w:r>
    <w:r w:rsidRPr="00A821BA">
      <w:rPr>
        <w:rStyle w:val="HideTWBExt"/>
      </w:rPr>
      <w:t>PathFdR</w:t>
    </w:r>
    <w:r w:rsidRPr="00A821BA">
      <w:rPr>
        <w:rStyle w:val="HideTWBExt"/>
      </w:rPr>
      <w:t>&gt;</w:t>
    </w:r>
  </w:p>
  <w:p w:rsidR="00577D7F" w:rsidRPr="00A821BA" w:rsidP="00E82897" w14:paraId="2A88E0E9" w14:textId="77777777">
    <w:pPr>
      <w:pStyle w:val="EPFooter2"/>
    </w:pPr>
    <w:r w:rsidRPr="00A821BA">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77D7F" w:rsidRPr="00A821BA" w:rsidP="00E82897" w14:paraId="23DB4534" w14:textId="77777777">
    <w:pPr>
      <w:pStyle w:val="EPFooter"/>
    </w:pPr>
    <w:r w:rsidRPr="00A821BA">
      <w:rPr>
        <w:rStyle w:val="HideTWBExt"/>
      </w:rPr>
      <w:t>&lt;PathFdR&gt;</w:t>
    </w:r>
    <w:r w:rsidRPr="00A821BA">
      <w:t>RR\1345097FI.docx</w:t>
    </w:r>
    <w:r w:rsidRPr="00A821BA">
      <w:rPr>
        <w:rStyle w:val="HideTWBExt"/>
      </w:rPr>
      <w:t>&lt;/</w:t>
    </w:r>
    <w:r w:rsidRPr="00A821BA">
      <w:rPr>
        <w:rStyle w:val="HideTWBExt"/>
      </w:rPr>
      <w:t>PathFdR</w:t>
    </w:r>
    <w:r w:rsidRPr="00A821BA">
      <w:rPr>
        <w:rStyle w:val="HideTWBExt"/>
      </w:rPr>
      <w:t>&gt;</w:t>
    </w:r>
    <w:r w:rsidRPr="00A821BA">
      <w:tab/>
    </w:r>
    <w:r w:rsidRPr="00A821BA">
      <w:tab/>
      <w:t>PE</w:t>
    </w:r>
    <w:r w:rsidRPr="00A821BA">
      <w:rPr>
        <w:rStyle w:val="HideTWBExt"/>
      </w:rPr>
      <w:t>&lt;</w:t>
    </w:r>
    <w:r w:rsidRPr="00A821BA">
      <w:rPr>
        <w:rStyle w:val="HideTWBExt"/>
      </w:rPr>
      <w:t>NoPE</w:t>
    </w:r>
    <w:r w:rsidRPr="00A821BA">
      <w:rPr>
        <w:rStyle w:val="HideTWBExt"/>
      </w:rPr>
      <w:t>&gt;</w:t>
    </w:r>
    <w:r w:rsidRPr="00A821BA">
      <w:t>787.923</w:t>
    </w:r>
    <w:r w:rsidRPr="00A821BA">
      <w:rPr>
        <w:rStyle w:val="HideTWBExt"/>
      </w:rPr>
      <w:t>&lt;/</w:t>
    </w:r>
    <w:r w:rsidRPr="00A821BA">
      <w:rPr>
        <w:rStyle w:val="HideTWBExt"/>
      </w:rPr>
      <w:t>NoPE</w:t>
    </w:r>
    <w:r w:rsidRPr="00A821BA">
      <w:rPr>
        <w:rStyle w:val="HideTWBExt"/>
      </w:rPr>
      <w:t>&gt;&lt;Version&gt;</w:t>
    </w:r>
    <w:r w:rsidRPr="00A821BA">
      <w:t>v02-00</w:t>
    </w:r>
    <w:r w:rsidRPr="00A821BA">
      <w:rPr>
        <w:rStyle w:val="HideTWBExt"/>
      </w:rPr>
      <w:t>&lt;/Version&gt;</w:t>
    </w:r>
  </w:p>
  <w:p w:rsidR="00577D7F" w:rsidRPr="00A821BA" w:rsidP="00E82897" w14:paraId="2DFAAD1D" w14:textId="77777777">
    <w:pPr>
      <w:pStyle w:val="EPFooter2"/>
    </w:pPr>
    <w:r w:rsidRPr="00A821BA">
      <w:t>FI</w:t>
    </w:r>
    <w:r w:rsidRPr="00A821BA">
      <w:tab/>
    </w:r>
    <w:r w:rsidRPr="00A821BA">
      <w:rPr>
        <w:b w:val="0"/>
        <w:i/>
        <w:color w:val="C0C0C0"/>
        <w:sz w:val="22"/>
      </w:rPr>
      <w:t>Moninaisuudessaan yhtenäinen</w:t>
    </w:r>
    <w:r w:rsidRPr="00A821BA">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1BA" w14:paraId="5373D41B"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1BA" w14:paraId="27D07613"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1BA" w14:paraId="72D6171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0AFA" w:rsidRPr="00A821BA" w14:paraId="3CC10106" w14:textId="77777777">
      <w:r w:rsidRPr="00A821BA">
        <w:separator/>
      </w:r>
    </w:p>
  </w:footnote>
  <w:footnote w:type="continuationSeparator" w:id="1">
    <w:p w:rsidR="00360AFA" w:rsidRPr="00A821BA" w14:paraId="68DEC57B" w14:textId="77777777">
      <w:r w:rsidRPr="00A821BA">
        <w:continuationSeparator/>
      </w:r>
    </w:p>
  </w:footnote>
  <w:footnote w:id="2">
    <w:p w:rsidR="00577D7F" w:rsidRPr="00A821BA" w:rsidP="00A821BA" w14:paraId="730FC6E2" w14:textId="23896F16">
      <w:pPr>
        <w:pStyle w:val="FootnoteText"/>
        <w:ind w:left="567" w:hanging="567"/>
        <w:rPr>
          <w:sz w:val="24"/>
          <w:lang w:val="fi-FI"/>
        </w:rPr>
      </w:pPr>
      <w:r w:rsidRPr="00A821BA">
        <w:rPr>
          <w:rStyle w:val="FootnoteReference"/>
          <w:sz w:val="24"/>
          <w:lang w:val="fi-FI"/>
        </w:rPr>
        <w:footnoteRef/>
      </w:r>
      <w:r w:rsidRPr="00A821BA" w:rsidR="00A821BA">
        <w:rPr>
          <w:sz w:val="24"/>
          <w:lang w:val="fi-FI"/>
        </w:rPr>
        <w:t xml:space="preserve"> </w:t>
      </w:r>
      <w:r w:rsidRPr="00A821BA" w:rsidR="00A821BA">
        <w:rPr>
          <w:sz w:val="24"/>
          <w:lang w:val="fi-FI"/>
        </w:rPr>
        <w:tab/>
      </w:r>
      <w:r w:rsidRPr="00A821BA">
        <w:rPr>
          <w:sz w:val="24"/>
          <w:lang w:val="fi-FI"/>
        </w:rPr>
        <w:t xml:space="preserve">EUVL L 153, 3.5.2021, s. 48, ELI: </w:t>
      </w:r>
      <w:hyperlink r:id="rId1" w:history="1">
        <w:r w:rsidRPr="00A821BA">
          <w:rPr>
            <w:rStyle w:val="Hyperlink"/>
            <w:sz w:val="24"/>
            <w:lang w:val="fi-FI"/>
          </w:rPr>
          <w:t>http://data.europa.eu/eli/reg/2021/691/oj</w:t>
        </w:r>
      </w:hyperlink>
      <w:r w:rsidRPr="00A821BA">
        <w:rPr>
          <w:sz w:val="24"/>
          <w:lang w:val="fi-FI"/>
        </w:rPr>
        <w:t>.</w:t>
      </w:r>
    </w:p>
  </w:footnote>
  <w:footnote w:id="3">
    <w:p w:rsidR="00577D7F" w:rsidRPr="00EA2987" w:rsidP="00A821BA" w14:paraId="3F4DB3A7" w14:textId="03B9BCAF">
      <w:pPr>
        <w:pStyle w:val="FootnoteText"/>
        <w:ind w:left="567" w:hanging="567"/>
        <w:rPr>
          <w:sz w:val="24"/>
          <w:lang w:val="fr-BE"/>
        </w:rPr>
      </w:pPr>
      <w:r w:rsidRPr="00A821BA">
        <w:rPr>
          <w:rStyle w:val="FootnoteReference"/>
          <w:sz w:val="24"/>
          <w:lang w:val="fi-FI"/>
        </w:rPr>
        <w:footnoteRef/>
      </w:r>
      <w:r w:rsidRPr="00EA2987" w:rsidR="00A821BA">
        <w:rPr>
          <w:sz w:val="24"/>
          <w:lang w:val="fr-BE"/>
        </w:rPr>
        <w:t xml:space="preserve"> </w:t>
      </w:r>
      <w:r w:rsidRPr="00EA2987" w:rsidR="00A821BA">
        <w:rPr>
          <w:sz w:val="24"/>
          <w:lang w:val="fr-BE"/>
        </w:rPr>
        <w:tab/>
      </w:r>
      <w:r w:rsidRPr="00EA2987">
        <w:rPr>
          <w:sz w:val="24"/>
          <w:lang w:val="fr-BE"/>
        </w:rPr>
        <w:t xml:space="preserve">EUVL L, 2026/1139, 20.5.2026, </w:t>
      </w:r>
      <w:r w:rsidRPr="00EA2987">
        <w:rPr>
          <w:sz w:val="24"/>
          <w:lang w:val="fr-BE"/>
        </w:rPr>
        <w:t>ELI:</w:t>
      </w:r>
      <w:r w:rsidRPr="00EA2987">
        <w:rPr>
          <w:sz w:val="24"/>
          <w:lang w:val="fr-BE"/>
        </w:rPr>
        <w:t> </w:t>
      </w:r>
      <w:hyperlink r:id="rId2" w:tgtFrame="_blank" w:tooltip="Avaa asiakirjan ELI URI -osoitteen kautta." w:history="1">
        <w:r w:rsidRPr="00EA2987">
          <w:rPr>
            <w:rStyle w:val="Hyperlink"/>
            <w:color w:val="0070C0"/>
            <w:sz w:val="24"/>
            <w:lang w:val="fr-BE"/>
          </w:rPr>
          <w:t>http://data.europa.eu/eli/reg/2026/1139/oj</w:t>
        </w:r>
      </w:hyperlink>
      <w:r w:rsidRPr="00EA2987">
        <w:rPr>
          <w:color w:val="0070C0"/>
          <w:sz w:val="24"/>
          <w:lang w:val="fr-BE"/>
        </w:rPr>
        <w:t>.</w:t>
      </w:r>
    </w:p>
  </w:footnote>
  <w:footnote w:id="4">
    <w:p w:rsidR="00577D7F" w:rsidRPr="00A821BA" w:rsidP="00A821BA" w14:paraId="22F1E8B5" w14:textId="11E183CD">
      <w:pPr>
        <w:pStyle w:val="FootnoteText"/>
        <w:ind w:left="567" w:hanging="567"/>
        <w:rPr>
          <w:sz w:val="24"/>
          <w:lang w:val="fi-FI"/>
        </w:rPr>
      </w:pPr>
      <w:r w:rsidRPr="00A821BA">
        <w:rPr>
          <w:rStyle w:val="FootnoteReference"/>
          <w:sz w:val="24"/>
          <w:lang w:val="fi-FI"/>
        </w:rPr>
        <w:footnoteRef/>
      </w:r>
      <w:r w:rsidRPr="00A821BA" w:rsidR="00A821BA">
        <w:rPr>
          <w:sz w:val="24"/>
          <w:lang w:val="fi-FI"/>
        </w:rPr>
        <w:t xml:space="preserve"> </w:t>
      </w:r>
      <w:r w:rsidRPr="00A821BA" w:rsidR="00A821BA">
        <w:rPr>
          <w:sz w:val="24"/>
          <w:lang w:val="fi-FI"/>
        </w:rPr>
        <w:tab/>
      </w:r>
      <w:r w:rsidRPr="00A821BA">
        <w:rPr>
          <w:sz w:val="24"/>
          <w:lang w:val="fi-FI"/>
        </w:rPr>
        <w:t xml:space="preserve">EUVL L 433 I, 22.12.2020, s. 11, ELI: </w:t>
      </w:r>
      <w:hyperlink r:id="rId3" w:history="1">
        <w:r w:rsidRPr="00A821BA">
          <w:rPr>
            <w:rStyle w:val="Hyperlink"/>
            <w:sz w:val="24"/>
            <w:lang w:val="fi-FI"/>
          </w:rPr>
          <w:t>http://data.europa.eu/eli/reg/2020/2093/oj</w:t>
        </w:r>
      </w:hyperlink>
      <w:r w:rsidRPr="00A821BA">
        <w:rPr>
          <w:sz w:val="24"/>
          <w:lang w:val="fi-FI"/>
        </w:rPr>
        <w:t>.</w:t>
      </w:r>
    </w:p>
  </w:footnote>
  <w:footnote w:id="5">
    <w:p w:rsidR="00577D7F" w:rsidRPr="00A821BA" w:rsidP="00A821BA" w14:paraId="357935D5" w14:textId="30E7D2B8">
      <w:pPr>
        <w:pStyle w:val="FootnoteText"/>
        <w:ind w:left="567" w:hanging="567"/>
        <w:rPr>
          <w:sz w:val="24"/>
          <w:lang w:val="fi-FI"/>
        </w:rPr>
      </w:pPr>
      <w:r w:rsidRPr="00A821BA">
        <w:rPr>
          <w:rStyle w:val="FootnoteReference"/>
          <w:sz w:val="24"/>
          <w:lang w:val="fi-FI"/>
        </w:rPr>
        <w:footnoteRef/>
      </w:r>
      <w:r w:rsidRPr="00A821BA" w:rsidR="00A821BA">
        <w:rPr>
          <w:sz w:val="24"/>
          <w:shd w:val="clear" w:color="auto" w:fill="FFFFFF"/>
          <w:lang w:val="fi-FI"/>
        </w:rPr>
        <w:t xml:space="preserve"> </w:t>
      </w:r>
      <w:r w:rsidRPr="00A821BA" w:rsidR="00A821BA">
        <w:rPr>
          <w:sz w:val="24"/>
          <w:shd w:val="clear" w:color="auto" w:fill="FFFFFF"/>
          <w:lang w:val="fi-FI"/>
        </w:rPr>
        <w:tab/>
      </w:r>
      <w:r w:rsidRPr="00A821BA">
        <w:rPr>
          <w:sz w:val="24"/>
          <w:shd w:val="clear" w:color="auto" w:fill="FFFFFF"/>
          <w:lang w:val="fi-FI"/>
        </w:rPr>
        <w:t>Neuvoston asetus (EU, Euratom) 2024/765, annettu 29. helmikuuta 2024, vuosia 2021–2027 koskevan monivuotisen rahoituskehyksen vahvistamisesta annetun asetuksen (EU, Euratom) 2020/2093 muuttamisesta (EUVL L, 2024/765, 29.2.2024, ELI:</w:t>
      </w:r>
      <w:r w:rsidRPr="00A821BA">
        <w:rPr>
          <w:color w:val="333333"/>
          <w:sz w:val="24"/>
          <w:shd w:val="clear" w:color="auto" w:fill="FFFFFF"/>
          <w:lang w:val="fi-FI"/>
        </w:rPr>
        <w:t xml:space="preserve"> </w:t>
      </w:r>
      <w:hyperlink r:id="rId4" w:history="1">
        <w:r w:rsidRPr="00A821BA">
          <w:rPr>
            <w:rStyle w:val="Hyperlink"/>
            <w:sz w:val="24"/>
            <w:shd w:val="clear" w:color="auto" w:fill="FFFFFF"/>
            <w:lang w:val="fi-FI"/>
          </w:rPr>
          <w:t>http://data.europa.eu/eli/reg/2024/765/oj</w:t>
        </w:r>
      </w:hyperlink>
      <w:r w:rsidRPr="00F00176">
        <w:rPr>
          <w:iCs/>
          <w:sz w:val="24"/>
          <w:shd w:val="clear" w:color="auto" w:fill="FFFFFF"/>
          <w:lang w:val="fi-FI"/>
        </w:rPr>
        <w:t>).</w:t>
      </w:r>
    </w:p>
  </w:footnote>
  <w:footnote w:id="6">
    <w:p w:rsidR="00577D7F" w:rsidRPr="00A821BA" w:rsidP="00A821BA" w14:paraId="0612EA33" w14:textId="2EE9F76B">
      <w:pPr>
        <w:pStyle w:val="FootnoteText"/>
        <w:ind w:left="567" w:hanging="567"/>
        <w:rPr>
          <w:sz w:val="24"/>
          <w:lang w:val="fi-FI"/>
        </w:rPr>
      </w:pPr>
      <w:r w:rsidRPr="00A821BA">
        <w:rPr>
          <w:rStyle w:val="FootnoteReference"/>
          <w:sz w:val="24"/>
          <w:lang w:val="fi-FI"/>
        </w:rPr>
        <w:footnoteRef/>
      </w:r>
      <w:r w:rsidRPr="00A821BA" w:rsidR="00A821BA">
        <w:rPr>
          <w:sz w:val="24"/>
          <w:lang w:val="fi-FI"/>
        </w:rPr>
        <w:t xml:space="preserve"> </w:t>
      </w:r>
      <w:r w:rsidRPr="00A821BA" w:rsidR="00A821BA">
        <w:rPr>
          <w:sz w:val="24"/>
          <w:lang w:val="fi-FI"/>
        </w:rPr>
        <w:tab/>
      </w:r>
      <w:r w:rsidRPr="00A821BA">
        <w:rPr>
          <w:sz w:val="24"/>
          <w:lang w:val="fi-FI"/>
        </w:rPr>
        <w:t xml:space="preserve">EUVL L 433 I, 22.12.2020, s. 28, ELI: </w:t>
      </w:r>
      <w:hyperlink r:id="rId5" w:history="1">
        <w:r w:rsidRPr="00A821BA">
          <w:rPr>
            <w:rStyle w:val="Hyperlink"/>
            <w:sz w:val="24"/>
            <w:lang w:val="fi-FI"/>
          </w:rPr>
          <w:t>http://data.europa.eu/eli/agree_interinstit/2020/1222/oj</w:t>
        </w:r>
      </w:hyperlink>
      <w:r w:rsidRPr="00A821BA">
        <w:rPr>
          <w:sz w:val="24"/>
          <w:lang w:val="fi-FI"/>
        </w:rPr>
        <w:t>.</w:t>
      </w:r>
    </w:p>
  </w:footnote>
  <w:footnote w:id="7">
    <w:p w:rsidR="00577D7F" w:rsidRPr="00A821BA" w:rsidP="00A821BA" w14:paraId="1EAF5463" w14:textId="1471ACA2">
      <w:pPr>
        <w:pStyle w:val="FootnoteText"/>
        <w:ind w:left="567" w:hanging="567"/>
        <w:rPr>
          <w:sz w:val="24"/>
          <w:lang w:val="fi-FI"/>
        </w:rPr>
      </w:pPr>
      <w:r w:rsidRPr="00A821BA">
        <w:rPr>
          <w:rStyle w:val="FootnoteReference"/>
          <w:sz w:val="24"/>
          <w:lang w:val="fi-FI"/>
        </w:rPr>
        <w:footnoteRef/>
      </w:r>
      <w:r w:rsidRPr="00A821BA" w:rsidR="00A821BA">
        <w:rPr>
          <w:sz w:val="24"/>
          <w:lang w:val="fi-FI"/>
        </w:rPr>
        <w:t xml:space="preserve"> </w:t>
      </w:r>
      <w:r w:rsidRPr="00A821BA" w:rsidR="00A821BA">
        <w:rPr>
          <w:sz w:val="24"/>
          <w:lang w:val="fi-FI"/>
        </w:rPr>
        <w:tab/>
      </w:r>
      <w:r w:rsidRPr="00A821BA">
        <w:rPr>
          <w:sz w:val="24"/>
          <w:lang w:val="fi-FI"/>
        </w:rPr>
        <w:t>EGR-asetuksen 3 artiklan mukaisessa merkityksessä.</w:t>
      </w:r>
    </w:p>
  </w:footnote>
  <w:footnote w:id="8">
    <w:p w:rsidR="00577D7F" w:rsidRPr="00A821BA" w:rsidP="00A821BA" w14:paraId="474513BC" w14:textId="44334B6B">
      <w:pPr>
        <w:pStyle w:val="FootnoteText"/>
        <w:ind w:left="567" w:hanging="567"/>
        <w:rPr>
          <w:sz w:val="24"/>
          <w:lang w:val="fi-FI"/>
        </w:rPr>
      </w:pPr>
      <w:r w:rsidRPr="00A821BA">
        <w:rPr>
          <w:rStyle w:val="FootnoteReference"/>
          <w:sz w:val="24"/>
          <w:lang w:val="fi-FI"/>
        </w:rPr>
        <w:footnoteRef/>
      </w:r>
      <w:r w:rsidRPr="00A821BA" w:rsidR="00A821BA">
        <w:rPr>
          <w:sz w:val="24"/>
          <w:lang w:val="fi-FI"/>
        </w:rPr>
        <w:t xml:space="preserve"> </w:t>
      </w:r>
      <w:r w:rsidRPr="00A821BA" w:rsidR="00A821BA">
        <w:rPr>
          <w:sz w:val="24"/>
          <w:lang w:val="fi-FI"/>
        </w:rPr>
        <w:tab/>
      </w:r>
      <w:r w:rsidRPr="00A821BA">
        <w:rPr>
          <w:sz w:val="24"/>
          <w:lang w:val="fi-FI"/>
        </w:rPr>
        <w:t>Rahoituskehysasetuksen 8 artikla.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1BA" w14:paraId="1AD7AF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1BA" w14:paraId="3DF093B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821BA" w14:paraId="73AFAD4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1892A17"/>
    <w:multiLevelType w:val="hybridMultilevel"/>
    <w:tmpl w:val="E36C4112"/>
    <w:lvl w:ilvl="0">
      <w:start w:val="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569356C"/>
    <w:multiLevelType w:val="hybridMultilevel"/>
    <w:tmpl w:val="8E92FE8A"/>
    <w:lvl w:ilvl="0">
      <w:start w:val="1"/>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6398978">
    <w:abstractNumId w:val="9"/>
  </w:num>
  <w:num w:numId="2" w16cid:durableId="1215696318">
    <w:abstractNumId w:val="9"/>
  </w:num>
  <w:num w:numId="3" w16cid:durableId="148057156">
    <w:abstractNumId w:val="7"/>
  </w:num>
  <w:num w:numId="4" w16cid:durableId="996956601">
    <w:abstractNumId w:val="7"/>
  </w:num>
  <w:num w:numId="5" w16cid:durableId="102773573">
    <w:abstractNumId w:val="6"/>
  </w:num>
  <w:num w:numId="6" w16cid:durableId="690112151">
    <w:abstractNumId w:val="6"/>
  </w:num>
  <w:num w:numId="7" w16cid:durableId="481893159">
    <w:abstractNumId w:val="5"/>
  </w:num>
  <w:num w:numId="8" w16cid:durableId="1204364004">
    <w:abstractNumId w:val="5"/>
  </w:num>
  <w:num w:numId="9" w16cid:durableId="1591543071">
    <w:abstractNumId w:val="4"/>
  </w:num>
  <w:num w:numId="10" w16cid:durableId="1008629944">
    <w:abstractNumId w:val="4"/>
  </w:num>
  <w:num w:numId="11" w16cid:durableId="1185048127">
    <w:abstractNumId w:val="8"/>
  </w:num>
  <w:num w:numId="12" w16cid:durableId="1363093079">
    <w:abstractNumId w:val="8"/>
  </w:num>
  <w:num w:numId="13" w16cid:durableId="881285594">
    <w:abstractNumId w:val="3"/>
  </w:num>
  <w:num w:numId="14" w16cid:durableId="1248804929">
    <w:abstractNumId w:val="3"/>
  </w:num>
  <w:num w:numId="15" w16cid:durableId="745693031">
    <w:abstractNumId w:val="2"/>
  </w:num>
  <w:num w:numId="16" w16cid:durableId="1645768782">
    <w:abstractNumId w:val="2"/>
  </w:num>
  <w:num w:numId="17" w16cid:durableId="429664149">
    <w:abstractNumId w:val="1"/>
  </w:num>
  <w:num w:numId="18" w16cid:durableId="861018662">
    <w:abstractNumId w:val="1"/>
  </w:num>
  <w:num w:numId="19" w16cid:durableId="1752267165">
    <w:abstractNumId w:val="0"/>
  </w:num>
  <w:num w:numId="20" w16cid:durableId="544218189">
    <w:abstractNumId w:val="0"/>
  </w:num>
  <w:num w:numId="21" w16cid:durableId="1611162561">
    <w:abstractNumId w:val="9"/>
  </w:num>
  <w:num w:numId="22" w16cid:durableId="111946931">
    <w:abstractNumId w:val="7"/>
  </w:num>
  <w:num w:numId="23" w16cid:durableId="93139890">
    <w:abstractNumId w:val="6"/>
  </w:num>
  <w:num w:numId="24" w16cid:durableId="801464856">
    <w:abstractNumId w:val="5"/>
  </w:num>
  <w:num w:numId="25" w16cid:durableId="271011066">
    <w:abstractNumId w:val="4"/>
  </w:num>
  <w:num w:numId="26" w16cid:durableId="1406881511">
    <w:abstractNumId w:val="8"/>
  </w:num>
  <w:num w:numId="27" w16cid:durableId="861093603">
    <w:abstractNumId w:val="3"/>
  </w:num>
  <w:num w:numId="28" w16cid:durableId="2011131500">
    <w:abstractNumId w:val="2"/>
  </w:num>
  <w:num w:numId="29" w16cid:durableId="1648899240">
    <w:abstractNumId w:val="1"/>
  </w:num>
  <w:num w:numId="30" w16cid:durableId="1313868986">
    <w:abstractNumId w:val="0"/>
  </w:num>
  <w:num w:numId="31" w16cid:durableId="852304485">
    <w:abstractNumId w:val="9"/>
  </w:num>
  <w:num w:numId="32" w16cid:durableId="1397969727">
    <w:abstractNumId w:val="7"/>
  </w:num>
  <w:num w:numId="33" w16cid:durableId="1584218614">
    <w:abstractNumId w:val="6"/>
  </w:num>
  <w:num w:numId="34" w16cid:durableId="848983318">
    <w:abstractNumId w:val="5"/>
  </w:num>
  <w:num w:numId="35" w16cid:durableId="1771731869">
    <w:abstractNumId w:val="4"/>
  </w:num>
  <w:num w:numId="36" w16cid:durableId="1168980132">
    <w:abstractNumId w:val="8"/>
  </w:num>
  <w:num w:numId="37" w16cid:durableId="1250312185">
    <w:abstractNumId w:val="3"/>
  </w:num>
  <w:num w:numId="38" w16cid:durableId="574125466">
    <w:abstractNumId w:val="2"/>
  </w:num>
  <w:num w:numId="39" w16cid:durableId="1585992104">
    <w:abstractNumId w:val="1"/>
  </w:num>
  <w:num w:numId="40" w16cid:durableId="1750342692">
    <w:abstractNumId w:val="0"/>
  </w:num>
  <w:num w:numId="41" w16cid:durableId="1849756267">
    <w:abstractNumId w:val="10"/>
  </w:num>
  <w:num w:numId="42" w16cid:durableId="1849372455">
    <w:abstractNumId w:val="10"/>
  </w:num>
  <w:num w:numId="43" w16cid:durableId="304817224">
    <w:abstractNumId w:val="10"/>
  </w:num>
  <w:num w:numId="44" w16cid:durableId="1267230564">
    <w:abstractNumId w:val="13"/>
  </w:num>
  <w:num w:numId="45" w16cid:durableId="712077799">
    <w:abstractNumId w:val="11"/>
  </w:num>
  <w:num w:numId="46" w16cid:durableId="10339166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AFA"/>
    <w:rsid w:val="00002272"/>
    <w:rsid w:val="00064002"/>
    <w:rsid w:val="000677B9"/>
    <w:rsid w:val="000831BA"/>
    <w:rsid w:val="000A42CC"/>
    <w:rsid w:val="000B45B2"/>
    <w:rsid w:val="000E7DD9"/>
    <w:rsid w:val="0010095E"/>
    <w:rsid w:val="00125B37"/>
    <w:rsid w:val="00153DEB"/>
    <w:rsid w:val="00187494"/>
    <w:rsid w:val="001933D7"/>
    <w:rsid w:val="001F32AE"/>
    <w:rsid w:val="002767FF"/>
    <w:rsid w:val="002B18FE"/>
    <w:rsid w:val="002B5493"/>
    <w:rsid w:val="00343214"/>
    <w:rsid w:val="00360AFA"/>
    <w:rsid w:val="00361C00"/>
    <w:rsid w:val="00395FA1"/>
    <w:rsid w:val="003E15D4"/>
    <w:rsid w:val="00411CCE"/>
    <w:rsid w:val="0041666E"/>
    <w:rsid w:val="00421060"/>
    <w:rsid w:val="004430D2"/>
    <w:rsid w:val="00471C19"/>
    <w:rsid w:val="004867E3"/>
    <w:rsid w:val="00494A28"/>
    <w:rsid w:val="004C0004"/>
    <w:rsid w:val="004C5D52"/>
    <w:rsid w:val="0050519A"/>
    <w:rsid w:val="005072A1"/>
    <w:rsid w:val="00514517"/>
    <w:rsid w:val="00545827"/>
    <w:rsid w:val="00560270"/>
    <w:rsid w:val="00577D7F"/>
    <w:rsid w:val="005C2568"/>
    <w:rsid w:val="005F1B17"/>
    <w:rsid w:val="006037C0"/>
    <w:rsid w:val="00604A69"/>
    <w:rsid w:val="006631B6"/>
    <w:rsid w:val="00680577"/>
    <w:rsid w:val="006D7917"/>
    <w:rsid w:val="006E0791"/>
    <w:rsid w:val="006F74FA"/>
    <w:rsid w:val="00731ADD"/>
    <w:rsid w:val="00734777"/>
    <w:rsid w:val="00747932"/>
    <w:rsid w:val="00751A4A"/>
    <w:rsid w:val="00756632"/>
    <w:rsid w:val="00762C74"/>
    <w:rsid w:val="00786EC0"/>
    <w:rsid w:val="007C403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135"/>
    <w:rsid w:val="00A1687D"/>
    <w:rsid w:val="00A43E52"/>
    <w:rsid w:val="00A4678D"/>
    <w:rsid w:val="00A778C7"/>
    <w:rsid w:val="00A821BA"/>
    <w:rsid w:val="00AB441E"/>
    <w:rsid w:val="00AB6293"/>
    <w:rsid w:val="00AE0928"/>
    <w:rsid w:val="00AF3B82"/>
    <w:rsid w:val="00B12E95"/>
    <w:rsid w:val="00B22876"/>
    <w:rsid w:val="00B558F0"/>
    <w:rsid w:val="00B567DC"/>
    <w:rsid w:val="00BA4547"/>
    <w:rsid w:val="00BD48FE"/>
    <w:rsid w:val="00BD7BD8"/>
    <w:rsid w:val="00BE6ADC"/>
    <w:rsid w:val="00C05BFE"/>
    <w:rsid w:val="00C23CD4"/>
    <w:rsid w:val="00C61C0C"/>
    <w:rsid w:val="00C75AFC"/>
    <w:rsid w:val="00C941CB"/>
    <w:rsid w:val="00CC2357"/>
    <w:rsid w:val="00CF071A"/>
    <w:rsid w:val="00D058B8"/>
    <w:rsid w:val="00D56C11"/>
    <w:rsid w:val="00D834A0"/>
    <w:rsid w:val="00D872DF"/>
    <w:rsid w:val="00D91E21"/>
    <w:rsid w:val="00DA7FCD"/>
    <w:rsid w:val="00DF4D76"/>
    <w:rsid w:val="00E365E1"/>
    <w:rsid w:val="00E820A4"/>
    <w:rsid w:val="00E82897"/>
    <w:rsid w:val="00EA2987"/>
    <w:rsid w:val="00EB006A"/>
    <w:rsid w:val="00EB4772"/>
    <w:rsid w:val="00ED169E"/>
    <w:rsid w:val="00ED4235"/>
    <w:rsid w:val="00EF752F"/>
    <w:rsid w:val="00F00176"/>
    <w:rsid w:val="00F04346"/>
    <w:rsid w:val="00F075DC"/>
    <w:rsid w:val="00F149E9"/>
    <w:rsid w:val="00F5134D"/>
    <w:rsid w:val="00F74202"/>
    <w:rsid w:val="00F87713"/>
    <w:rsid w:val="00FB4360"/>
    <w:rsid w:val="00FD0C70"/>
  </w:rsids>
  <w:docVars>
    <w:docVar w:name="dvdocse" w:val="A10-0149/2026"/>
    <w:docVar w:name="dvlangue" w:val="FI"/>
    <w:docVar w:name="dvnumam" w:val="0"/>
    <w:docVar w:name="dvpe" w:val="787.923"/>
    <w:docVar w:name="dvrapporteur" w:val="Esittelijä: "/>
    <w:docVar w:name="dvtitre" w:val="Euroopan parlamentin päätös 16. kesäkuuta 2026 ehdotuksesta Euroopan parlamentin ja neuvoston päätökseksi työttömiksi jääneitä työntekijöitä tukevan Euroopan globalisaatiorahaston varojen käyttöönotosta Belgian hakemuksen johdosta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5C7A027"/>
  <w15:chartTrackingRefBased/>
  <w15:docId w15:val="{247944F7-D73B-479E-A25F-DE5828FE0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7D7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77D7F"/>
    <w:pPr>
      <w:keepNext/>
      <w:spacing w:after="480"/>
      <w:jc w:val="center"/>
    </w:pPr>
    <w:rPr>
      <w:rFonts w:ascii="Arial" w:hAnsi="Arial" w:cs="Arial"/>
      <w:b/>
    </w:rPr>
  </w:style>
  <w:style w:type="paragraph" w:customStyle="1" w:styleId="NormalHanging12a">
    <w:name w:val="NormalHanging12a"/>
    <w:basedOn w:val="Normal"/>
    <w:link w:val="NormalHanging12aChar"/>
    <w:rsid w:val="00577D7F"/>
    <w:pPr>
      <w:spacing w:after="240"/>
      <w:ind w:left="567" w:hanging="567"/>
    </w:pPr>
  </w:style>
  <w:style w:type="paragraph" w:styleId="Header">
    <w:name w:val="header"/>
    <w:basedOn w:val="Normal"/>
    <w:link w:val="HeaderChar"/>
    <w:rsid w:val="00577D7F"/>
    <w:pPr>
      <w:tabs>
        <w:tab w:val="center" w:pos="4513"/>
        <w:tab w:val="right" w:pos="9026"/>
      </w:tabs>
    </w:pPr>
  </w:style>
  <w:style w:type="character" w:customStyle="1" w:styleId="HeaderChar">
    <w:name w:val="Header Char"/>
    <w:basedOn w:val="DefaultParagraphFont"/>
    <w:link w:val="Header"/>
    <w:rsid w:val="00577D7F"/>
    <w:rPr>
      <w:sz w:val="24"/>
      <w:lang w:val="fi-FI"/>
    </w:rPr>
  </w:style>
  <w:style w:type="paragraph" w:customStyle="1" w:styleId="EPFooter">
    <w:name w:val="EPFooter"/>
    <w:basedOn w:val="Normal"/>
    <w:rsid w:val="00577D7F"/>
    <w:pPr>
      <w:tabs>
        <w:tab w:val="center" w:pos="4535"/>
        <w:tab w:val="right" w:pos="9071"/>
      </w:tabs>
      <w:spacing w:before="240" w:after="240"/>
    </w:pPr>
    <w:rPr>
      <w:color w:val="010000"/>
      <w:sz w:val="22"/>
    </w:rPr>
  </w:style>
  <w:style w:type="paragraph" w:customStyle="1" w:styleId="EPComma">
    <w:name w:val="EPComma"/>
    <w:basedOn w:val="Normal"/>
    <w:rsid w:val="00577D7F"/>
    <w:pPr>
      <w:spacing w:before="480" w:after="240"/>
    </w:pPr>
  </w:style>
  <w:style w:type="character" w:styleId="Hyperlink">
    <w:name w:val="Hyperlink"/>
    <w:basedOn w:val="DefaultParagraphFont"/>
    <w:uiPriority w:val="99"/>
    <w:rsid w:val="00577D7F"/>
    <w:rPr>
      <w:color w:val="0563C1" w:themeColor="hyperlink"/>
      <w:u w:val="single"/>
    </w:rPr>
  </w:style>
  <w:style w:type="character" w:customStyle="1" w:styleId="NormalHanging12aChar">
    <w:name w:val="NormalHanging12a Char"/>
    <w:basedOn w:val="DefaultParagraphFont"/>
    <w:link w:val="NormalHanging12a"/>
    <w:locked/>
    <w:rsid w:val="00577D7F"/>
    <w:rPr>
      <w:sz w:val="24"/>
      <w:lang w:val="fi-FI"/>
    </w:rPr>
  </w:style>
  <w:style w:type="paragraph" w:customStyle="1" w:styleId="Personnequisigne">
    <w:name w:val="Personne qui signe"/>
    <w:basedOn w:val="Normal"/>
    <w:next w:val="Institutionquisigne"/>
    <w:rsid w:val="00577D7F"/>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577D7F"/>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577D7F"/>
    <w:rPr>
      <w:rFonts w:ascii="Arial" w:hAnsi="Arial" w:cs="Arial"/>
      <w:b/>
      <w:sz w:val="24"/>
      <w:lang w:val="fi-FI"/>
    </w:rPr>
  </w:style>
  <w:style w:type="paragraph" w:customStyle="1" w:styleId="Fait">
    <w:name w:val="Fait à"/>
    <w:basedOn w:val="Normal"/>
    <w:next w:val="Institutionquisigne"/>
    <w:rsid w:val="00577D7F"/>
    <w:pPr>
      <w:keepNext/>
      <w:widowControl/>
      <w:spacing w:before="120" w:line="360" w:lineRule="auto"/>
    </w:pPr>
    <w:rPr>
      <w:rFonts w:eastAsiaTheme="minorHAnsi"/>
      <w:szCs w:val="22"/>
      <w:lang w:eastAsia="fi-FI" w:bidi="fi-FI"/>
    </w:rPr>
  </w:style>
  <w:style w:type="paragraph" w:customStyle="1" w:styleId="Formuledadoption">
    <w:name w:val="Formule d'adoption"/>
    <w:basedOn w:val="Normal"/>
    <w:next w:val="Titrearticle"/>
    <w:rsid w:val="00577D7F"/>
    <w:pPr>
      <w:keepNext/>
      <w:widowControl/>
      <w:spacing w:before="120" w:after="120" w:line="360" w:lineRule="auto"/>
    </w:pPr>
    <w:rPr>
      <w:rFonts w:eastAsiaTheme="minorHAnsi"/>
      <w:szCs w:val="22"/>
      <w:lang w:eastAsia="fi-FI" w:bidi="fi-FI"/>
    </w:rPr>
  </w:style>
  <w:style w:type="paragraph" w:customStyle="1" w:styleId="Institutionquiagit">
    <w:name w:val="Institution qui agit"/>
    <w:basedOn w:val="Normal"/>
    <w:next w:val="Normal"/>
    <w:rsid w:val="00577D7F"/>
    <w:pPr>
      <w:keepNext/>
      <w:widowControl/>
      <w:spacing w:before="600" w:after="120" w:line="360" w:lineRule="auto"/>
    </w:pPr>
    <w:rPr>
      <w:rFonts w:eastAsiaTheme="minorHAnsi"/>
      <w:szCs w:val="22"/>
      <w:lang w:eastAsia="fi-FI" w:bidi="fi-FI"/>
    </w:rPr>
  </w:style>
  <w:style w:type="paragraph" w:customStyle="1" w:styleId="ManualConsidrant">
    <w:name w:val="Manual Considérant"/>
    <w:basedOn w:val="Normal"/>
    <w:rsid w:val="00577D7F"/>
    <w:pPr>
      <w:widowControl/>
      <w:spacing w:before="120" w:after="120" w:line="360" w:lineRule="auto"/>
      <w:ind w:left="850" w:hanging="850"/>
    </w:pPr>
    <w:rPr>
      <w:rFonts w:eastAsiaTheme="minorHAnsi"/>
      <w:szCs w:val="22"/>
      <w:lang w:eastAsia="fi-FI" w:bidi="fi-FI"/>
    </w:rPr>
  </w:style>
  <w:style w:type="paragraph" w:customStyle="1" w:styleId="Titrearticle">
    <w:name w:val="Titre article"/>
    <w:basedOn w:val="Normal"/>
    <w:next w:val="Normal"/>
    <w:rsid w:val="00577D7F"/>
    <w:pPr>
      <w:keepNext/>
      <w:widowControl/>
      <w:spacing w:before="360" w:after="120" w:line="360" w:lineRule="auto"/>
      <w:jc w:val="center"/>
    </w:pPr>
    <w:rPr>
      <w:rFonts w:eastAsiaTheme="minorHAnsi"/>
      <w:i/>
      <w:szCs w:val="22"/>
      <w:lang w:eastAsia="fi-FI" w:bidi="fi-FI"/>
    </w:rPr>
  </w:style>
  <w:style w:type="paragraph" w:styleId="Footer">
    <w:name w:val="footer"/>
    <w:basedOn w:val="Normal"/>
    <w:link w:val="FooterChar"/>
    <w:rsid w:val="00BA4547"/>
    <w:pPr>
      <w:tabs>
        <w:tab w:val="center" w:pos="4513"/>
        <w:tab w:val="right" w:pos="9026"/>
      </w:tabs>
    </w:pPr>
  </w:style>
  <w:style w:type="character" w:customStyle="1" w:styleId="FooterChar">
    <w:name w:val="Footer Char"/>
    <w:basedOn w:val="DefaultParagraphFont"/>
    <w:link w:val="Footer"/>
    <w:rsid w:val="00BA454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1315</Words>
  <Characters>11206</Characters>
  <Application>Microsoft Office Word</Application>
  <DocSecurity>0</DocSecurity>
  <Lines>93</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2026-09-01T12:53:00Z</dcterms:created>
  <dcterms:modified xsi:type="dcterms:W3CDTF">2026-09-01T12:53:00Z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P10_TA(2026)0201_</vt:lpwstr>
  </property>
  <property fmtid="{D5CDD505-2E9C-101B-9397-08002B2CF9AE}" pid="4" name="&lt;Type&gt;">
    <vt:lpwstr>RR</vt:lpwstr>
  </property>
</Properties>
</file>