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EC7B79E" w14:textId="77777777" w:rsidTr="0010095E">
        <w:tblPrEx>
          <w:tblW w:w="9072" w:type="dxa"/>
          <w:tblLook w:val="01E0"/>
        </w:tblPrEx>
        <w:trPr>
          <w:trHeight w:hRule="exact" w:val="1418"/>
        </w:trPr>
        <w:tc>
          <w:tcPr>
            <w:tcW w:w="6804" w:type="dxa"/>
            <w:shd w:val="clear" w:color="auto" w:fill="auto"/>
            <w:vAlign w:val="center"/>
          </w:tcPr>
          <w:p w:rsidR="00751A4A" w:rsidRPr="00672C7C" w:rsidP="0010095E" w14:paraId="3D0FE5A1" w14:textId="77777777">
            <w:pPr>
              <w:pStyle w:val="EPName"/>
            </w:pPr>
            <w:r w:rsidRPr="00672C7C">
              <w:t>Europski parlament</w:t>
            </w:r>
          </w:p>
          <w:p w:rsidR="00751A4A" w:rsidRPr="00672C7C" w:rsidP="005F1B17" w14:paraId="25E91DC4" w14:textId="77777777">
            <w:pPr>
              <w:pStyle w:val="EPTerm"/>
              <w:rPr>
                <w:rStyle w:val="HideTWBExt"/>
                <w:noProof w:val="0"/>
                <w:vanish w:val="0"/>
                <w:color w:val="auto"/>
              </w:rPr>
            </w:pPr>
            <w:r w:rsidRPr="00672C7C">
              <w:t>2024</w:t>
            </w:r>
            <w:r w:rsidRPr="00672C7C" w:rsidR="00817416">
              <w:t>-202</w:t>
            </w:r>
            <w:r w:rsidRPr="00672C7C">
              <w:t>9</w:t>
            </w:r>
          </w:p>
        </w:tc>
        <w:tc>
          <w:tcPr>
            <w:tcW w:w="2268" w:type="dxa"/>
            <w:shd w:val="clear" w:color="auto" w:fill="auto"/>
          </w:tcPr>
          <w:p w:rsidR="00751A4A" w:rsidRPr="00672C7C" w:rsidP="0010095E" w14:paraId="7B27BE98" w14:textId="77777777">
            <w:pPr>
              <w:pStyle w:val="EPLogo"/>
            </w:pPr>
            <w:r w:rsidRPr="00672C7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72C7C" w:rsidP="004C5D52" w14:paraId="0EDBFF8B" w14:textId="77777777">
      <w:pPr>
        <w:pStyle w:val="LineTop"/>
      </w:pPr>
    </w:p>
    <w:p w:rsidR="00680577" w:rsidRPr="00672C7C" w:rsidP="00680577" w14:paraId="28E7347D" w14:textId="77777777">
      <w:pPr>
        <w:pStyle w:val="EPBodyTA1"/>
      </w:pPr>
      <w:r w:rsidRPr="00672C7C">
        <w:t>USVOJENI TEKSTOVI</w:t>
      </w:r>
    </w:p>
    <w:p w:rsidR="00D058B8" w:rsidRPr="00672C7C" w:rsidP="00D058B8" w14:paraId="48D573B4" w14:textId="77777777">
      <w:pPr>
        <w:pStyle w:val="LineBottom"/>
      </w:pPr>
    </w:p>
    <w:p w:rsidR="00E2074A" w:rsidRPr="00672C7C" w:rsidP="00E2074A" w14:paraId="3FC4A77E" w14:textId="1FEB8AAA">
      <w:pPr>
        <w:pStyle w:val="ATHeading1"/>
      </w:pPr>
      <w:bookmarkStart w:id="0" w:name="TANumber"/>
      <w:r w:rsidRPr="00672C7C">
        <w:t>P10_TA(2026)0</w:t>
      </w:r>
      <w:r w:rsidR="00C9155E">
        <w:t>201</w:t>
      </w:r>
      <w:bookmarkEnd w:id="0"/>
    </w:p>
    <w:p w:rsidR="00E2074A" w:rsidRPr="00672C7C" w:rsidP="00E2074A" w14:paraId="765A6436" w14:textId="0E714513">
      <w:pPr>
        <w:pStyle w:val="ATHeading2"/>
      </w:pPr>
      <w:bookmarkStart w:id="1" w:name="title"/>
      <w:r>
        <w:t>M</w:t>
      </w:r>
      <w:r w:rsidRPr="00F74680">
        <w:t>obilizacij</w:t>
      </w:r>
      <w:r>
        <w:t>a</w:t>
      </w:r>
      <w:r w:rsidRPr="00F74680">
        <w:t xml:space="preserve"> Europskog fonda za prilagodbu globalizaciji za radnike koji su proglašeni viškom na temelju zahtjeva Belgije – EGF/2025/009 BE/</w:t>
      </w:r>
      <w:r w:rsidRPr="00F74680">
        <w:t>Soliver</w:t>
      </w:r>
      <w:r w:rsidRPr="00F74680">
        <w:t xml:space="preserve"> </w:t>
      </w:r>
      <w:bookmarkEnd w:id="1"/>
    </w:p>
    <w:p w:rsidR="00E2074A" w:rsidRPr="00672C7C" w:rsidP="00E2074A" w14:paraId="04C36AD9" w14:textId="77777777">
      <w:pPr>
        <w:rPr>
          <w:i/>
          <w:vanish/>
        </w:rPr>
      </w:pPr>
      <w:r>
        <w:rPr>
          <w:i/>
        </w:rPr>
        <w:fldChar w:fldCharType="begin"/>
      </w:r>
      <w:r w:rsidRPr="00672C7C">
        <w:rPr>
          <w:i/>
        </w:rPr>
        <w:instrText xml:space="preserve"> TC"(</w:instrText>
      </w:r>
      <w:bookmarkStart w:id="2" w:name="DocNumber"/>
      <w:r w:rsidRPr="00672C7C">
        <w:rPr>
          <w:i/>
        </w:rPr>
        <w:instrText>A10-0149/2026</w:instrText>
      </w:r>
      <w:bookmarkEnd w:id="2"/>
      <w:r w:rsidRPr="00672C7C">
        <w:rPr>
          <w:i/>
        </w:rPr>
        <w:instrText xml:space="preserve"> - Izvjestitelj: Bogdan </w:instrText>
      </w:r>
      <w:r w:rsidRPr="00672C7C">
        <w:rPr>
          <w:i/>
        </w:rPr>
        <w:instrText>Rzońca</w:instrText>
      </w:r>
      <w:r w:rsidRPr="00672C7C">
        <w:rPr>
          <w:i/>
        </w:rPr>
        <w:instrText xml:space="preserve">)"\l3 \n&gt; \* MERGEFORMAT </w:instrText>
      </w:r>
      <w:r>
        <w:rPr>
          <w:i/>
        </w:rPr>
        <w:fldChar w:fldCharType="end"/>
      </w:r>
    </w:p>
    <w:p w:rsidR="00E2074A" w:rsidRPr="00672C7C" w:rsidP="00E2074A" w14:paraId="57E6CACA" w14:textId="77777777">
      <w:pPr>
        <w:rPr>
          <w:vanish/>
        </w:rPr>
      </w:pPr>
      <w:bookmarkStart w:id="3" w:name="Commission"/>
      <w:r w:rsidRPr="00672C7C">
        <w:rPr>
          <w:vanish/>
        </w:rPr>
        <w:t>Odbor za proračune</w:t>
      </w:r>
      <w:bookmarkEnd w:id="3"/>
    </w:p>
    <w:p w:rsidR="00E2074A" w:rsidRPr="00672C7C" w:rsidP="00E2074A" w14:paraId="4BFE9DEB" w14:textId="77777777">
      <w:pPr>
        <w:rPr>
          <w:vanish/>
        </w:rPr>
      </w:pPr>
      <w:bookmarkStart w:id="4" w:name="PE"/>
      <w:r w:rsidRPr="00672C7C">
        <w:rPr>
          <w:vanish/>
        </w:rPr>
        <w:t>PE787.923</w:t>
      </w:r>
      <w:bookmarkEnd w:id="4"/>
    </w:p>
    <w:p w:rsidR="00E2074A" w:rsidRPr="00672C7C" w:rsidP="00E2074A" w14:paraId="01FD27DA" w14:textId="46C58730">
      <w:pPr>
        <w:pStyle w:val="ATHeading3"/>
      </w:pPr>
      <w:bookmarkStart w:id="5" w:name="Sujet"/>
      <w:r w:rsidRPr="00672C7C">
        <w:t>Rezolucija Europskog parlamenta od</w:t>
      </w:r>
      <w:r w:rsidR="00F74680">
        <w:t xml:space="preserve"> 16</w:t>
      </w:r>
      <w:r w:rsidR="00630F0B">
        <w:t>.</w:t>
      </w:r>
      <w:r w:rsidRPr="00672C7C">
        <w:t xml:space="preserve"> </w:t>
      </w:r>
      <w:r w:rsidR="00F74680">
        <w:t>lipnja</w:t>
      </w:r>
      <w:r w:rsidRPr="00672C7C">
        <w:t xml:space="preserve"> 2026. o Prijedlogu odluke Europskog parlamenta i Vijeća o mobilizaciji Europskog fonda za prilagodbu globalizaciji za radnike koji su proglašeni viškom na temelju zahtjeva Belgije – EGF/2025/009 BE/</w:t>
      </w:r>
      <w:r w:rsidRPr="00672C7C">
        <w:t>Soliver</w:t>
      </w:r>
      <w:bookmarkEnd w:id="5"/>
      <w:r w:rsidRPr="00672C7C">
        <w:t xml:space="preserve"> </w:t>
      </w:r>
      <w:bookmarkStart w:id="6" w:name="References"/>
      <w:r w:rsidRPr="00672C7C">
        <w:t>(COM(2026)0050 – C10-0111/2026 – 2026/0097(BUD))</w:t>
      </w:r>
      <w:bookmarkEnd w:id="6"/>
    </w:p>
    <w:p w:rsidR="00D96EDF" w:rsidRPr="00672C7C" w:rsidP="00D96EDF" w14:paraId="1A2CA620" w14:textId="77777777">
      <w:pPr>
        <w:pStyle w:val="EPComma"/>
        <w:rPr>
          <w:noProof/>
        </w:rPr>
      </w:pPr>
      <w:r w:rsidRPr="00672C7C">
        <w:rPr>
          <w:i/>
        </w:rPr>
        <w:t>Europski parlament</w:t>
      </w:r>
      <w:r w:rsidRPr="00672C7C">
        <w:t>,</w:t>
      </w:r>
    </w:p>
    <w:p w:rsidR="00D96EDF" w:rsidRPr="00672C7C" w:rsidP="00D96EDF" w14:paraId="3DEDD784" w14:textId="77777777">
      <w:pPr>
        <w:pStyle w:val="NormalHanging12a"/>
        <w:rPr>
          <w:noProof/>
        </w:rPr>
      </w:pPr>
      <w:r w:rsidRPr="00672C7C">
        <w:t>–</w:t>
      </w:r>
      <w:r w:rsidRPr="00672C7C">
        <w:tab/>
        <w:t>uzimajući u obzir prijedlog Komisije upućen Europskom parlamentu i Vijeću (COM(2026)0050 – C10</w:t>
      </w:r>
      <w:r w:rsidRPr="00672C7C">
        <w:noBreakHyphen/>
        <w:t>0111/2026),</w:t>
      </w:r>
    </w:p>
    <w:p w:rsidR="00D96EDF" w:rsidRPr="00672C7C" w:rsidP="00D96EDF" w14:paraId="6871BE24" w14:textId="77777777">
      <w:pPr>
        <w:pStyle w:val="NormalHanging12a"/>
      </w:pPr>
      <w:r w:rsidRPr="00672C7C">
        <w:t>–</w:t>
      </w:r>
      <w:r w:rsidRPr="00672C7C">
        <w:tab/>
        <w:t>uzimajući u obzir Uredbu (EU) 2021/691 Europskog parlamenta i Vijeća od 28. travnja 2021. o Europskom fondu za prilagodbu globalizaciji za radnike koji su proglašeni viškom (EGF) i stavljanju izvan snage Uredbe (EU) br. 1309/2013</w:t>
      </w:r>
      <w:r>
        <w:rPr>
          <w:vertAlign w:val="superscript"/>
        </w:rPr>
        <w:footnoteReference w:id="2"/>
      </w:r>
      <w:r w:rsidRPr="00672C7C">
        <w:t xml:space="preserve"> („Uredba o EGF-u”), kako je izmijenjena Uredbom (EU) 2026/1139</w:t>
      </w:r>
      <w:r>
        <w:rPr>
          <w:vertAlign w:val="superscript"/>
        </w:rPr>
        <w:footnoteReference w:id="3"/>
      </w:r>
      <w:r w:rsidRPr="00672C7C">
        <w:t xml:space="preserve">, </w:t>
      </w:r>
    </w:p>
    <w:p w:rsidR="00D96EDF" w:rsidRPr="00672C7C" w:rsidP="00D96EDF" w14:paraId="6E984716" w14:textId="77777777">
      <w:pPr>
        <w:pStyle w:val="NormalHanging12a"/>
        <w:rPr>
          <w:noProof/>
        </w:rPr>
      </w:pPr>
      <w:r w:rsidRPr="00672C7C">
        <w:t>–</w:t>
      </w:r>
      <w:r w:rsidRPr="00672C7C">
        <w:tab/>
        <w:t>uzimajući u obzir Uredbu Vijeća (EU, Euratom) 2020/2093 od 17. prosinca 2020. kojom se utvrđuje višegodišnji financijski okvir za razdoblje 2021. – 2027. („Uredba o VFO-u”)</w:t>
      </w:r>
      <w:r>
        <w:rPr>
          <w:noProof/>
          <w:vertAlign w:val="superscript"/>
        </w:rPr>
        <w:footnoteReference w:id="4"/>
      </w:r>
      <w:r w:rsidRPr="00672C7C">
        <w:t>, kako je izmijenjena Uredbom (EU, Euratom) 2024/765</w:t>
      </w:r>
      <w:r>
        <w:rPr>
          <w:noProof/>
          <w:vertAlign w:val="superscript"/>
        </w:rPr>
        <w:footnoteReference w:id="5"/>
      </w:r>
      <w:r w:rsidRPr="00672C7C">
        <w:t>, a posebno njezin članak 8.,</w:t>
      </w:r>
    </w:p>
    <w:p w:rsidR="00D96EDF" w:rsidRPr="00672C7C" w:rsidP="00D96EDF" w14:paraId="62EC194A" w14:textId="77777777">
      <w:pPr>
        <w:pStyle w:val="NormalHanging12a"/>
        <w:rPr>
          <w:noProof/>
        </w:rPr>
      </w:pPr>
      <w:r w:rsidRPr="00672C7C">
        <w:t>–</w:t>
      </w:r>
      <w:r w:rsidRPr="00672C7C">
        <w:tab/>
        <w:t xml:space="preserve">uzimajući u obzir </w:t>
      </w:r>
      <w:r w:rsidRPr="00672C7C">
        <w:t>Međuinstitucijski</w:t>
      </w:r>
      <w:r w:rsidRPr="00672C7C">
        <w:t xml:space="preserve"> sporazum od 16. prosinca 2020. između Europskog parlamenta, Vijeća Europske unije i Europske komisije o proračunskoj disciplini, suradnji u proračunskim pitanjima i dobrom financijskom upravljanju te novim </w:t>
      </w:r>
      <w:r w:rsidRPr="00672C7C">
        <w:t>vlastitim sredstvima, uključujući plan za uvođenje novih vlastitih sredstava</w:t>
      </w:r>
      <w:r>
        <w:rPr>
          <w:rStyle w:val="FootnoteReference"/>
          <w:noProof/>
        </w:rPr>
        <w:footnoteReference w:id="6"/>
      </w:r>
      <w:r w:rsidRPr="00672C7C">
        <w:t>, a posebno njegovu točku 9.,</w:t>
      </w:r>
    </w:p>
    <w:p w:rsidR="00D96EDF" w:rsidRPr="00672C7C" w:rsidP="00D96EDF" w14:paraId="1693274B" w14:textId="77777777">
      <w:pPr>
        <w:pStyle w:val="NormalHanging12a"/>
      </w:pPr>
      <w:r w:rsidRPr="00672C7C">
        <w:t>–</w:t>
      </w:r>
      <w:r w:rsidRPr="00672C7C">
        <w:tab/>
        <w:t>uzimajući u obzir europski stup socijalnih prava,</w:t>
      </w:r>
    </w:p>
    <w:p w:rsidR="00D96EDF" w:rsidRPr="00672C7C" w:rsidP="00D96EDF" w14:paraId="265721F1" w14:textId="77777777">
      <w:pPr>
        <w:pStyle w:val="NormalHanging12a"/>
      </w:pPr>
      <w:r w:rsidRPr="00672C7C">
        <w:t>–</w:t>
      </w:r>
      <w:r w:rsidRPr="00672C7C">
        <w:tab/>
        <w:t>uzimajući u obzir pismo Odbora za zapošljavanje i socijalna pitanja,</w:t>
      </w:r>
    </w:p>
    <w:p w:rsidR="00D96EDF" w:rsidRPr="00672C7C" w:rsidP="00D96EDF" w14:paraId="77BDEF24" w14:textId="77777777">
      <w:pPr>
        <w:pStyle w:val="NormalHanging12a"/>
      </w:pPr>
      <w:r w:rsidRPr="00672C7C">
        <w:t>–</w:t>
      </w:r>
      <w:r w:rsidRPr="00672C7C">
        <w:tab/>
        <w:t>uzimajući u obzir izvješće Odbora za proračune (A10</w:t>
      </w:r>
      <w:r w:rsidRPr="00672C7C">
        <w:noBreakHyphen/>
        <w:t>0149/2026),</w:t>
      </w:r>
    </w:p>
    <w:p w:rsidR="00D96EDF" w:rsidRPr="00672C7C" w:rsidP="00D96EDF" w14:paraId="4C8C3B0D" w14:textId="77777777">
      <w:pPr>
        <w:pStyle w:val="NormalHanging12a"/>
      </w:pPr>
      <w:r w:rsidRPr="00672C7C">
        <w:t>A.</w:t>
      </w:r>
      <w:r w:rsidRPr="00672C7C">
        <w:tab/>
        <w:t>budući da je Unija uspostavila zakonodavne i proračunske instrumente kako bi pružila dodatnu potporu radnicima koji su pogođeni posljedicama velikih strukturnih događaja i promjena u svjetskim trgovinskim tokovima te kako bi im se pružila pomoć prilikom njihova ponovnog uključivanja na tržište rada; budući da se ta pomoć ostvaruje u obliku financijske potpore radnicima; budući da su održavanje konkurentnosti europske industrije i jačanje ulaganja u inovacije i vještine ključni za sprečavanje daljnjeg pada industrije i gubitka radnih mjesta diljem Unije;</w:t>
      </w:r>
    </w:p>
    <w:p w:rsidR="00D96EDF" w:rsidRPr="00672C7C" w:rsidP="00D96EDF" w14:paraId="3AC24F0B" w14:textId="7D61715C">
      <w:pPr>
        <w:pStyle w:val="NormalHanging12a"/>
      </w:pPr>
      <w:r w:rsidRPr="00672C7C">
        <w:t>B.</w:t>
      </w:r>
      <w:r w:rsidRPr="00672C7C">
        <w:tab/>
        <w:t>budući da je Belgija podnijela zahtjev EGF/2025/009 BE/</w:t>
      </w:r>
      <w:r w:rsidRPr="00672C7C">
        <w:t>Soliver</w:t>
      </w:r>
      <w:r w:rsidRPr="00672C7C">
        <w:t xml:space="preserve"> za financijski doprinos iz EGF-a nakon otpuštanja 803 radnika</w:t>
      </w:r>
      <w:r>
        <w:rPr>
          <w:vertAlign w:val="superscript"/>
        </w:rPr>
        <w:footnoteReference w:id="7"/>
      </w:r>
      <w:r w:rsidRPr="00672C7C">
        <w:t xml:space="preserve"> u poduzeću </w:t>
      </w:r>
      <w:r w:rsidRPr="00672C7C">
        <w:t>Soliver</w:t>
      </w:r>
      <w:r w:rsidRPr="00672C7C">
        <w:t xml:space="preserve"> NV (</w:t>
      </w:r>
      <w:r w:rsidRPr="00672C7C">
        <w:t>Soliver</w:t>
      </w:r>
      <w:r w:rsidRPr="00672C7C">
        <w:t>) u sektoru gospodarstva svrstanom u odjeljak 46. NACE-a </w:t>
      </w:r>
      <w:r w:rsidRPr="00672C7C">
        <w:t>Rev</w:t>
      </w:r>
      <w:r w:rsidRPr="00672C7C">
        <w:t xml:space="preserve">. 2 (Trgovina na veliko) u pokrajinama </w:t>
      </w:r>
      <w:r w:rsidRPr="00672C7C">
        <w:t>Provincie</w:t>
      </w:r>
      <w:r w:rsidRPr="00672C7C">
        <w:t xml:space="preserve"> </w:t>
      </w:r>
      <w:r w:rsidRPr="00672C7C">
        <w:t>Oost-Vlaanderen</w:t>
      </w:r>
      <w:r w:rsidRPr="00672C7C">
        <w:t xml:space="preserve"> (BE23) i </w:t>
      </w:r>
      <w:r w:rsidRPr="00672C7C">
        <w:t>Provincie</w:t>
      </w:r>
      <w:r w:rsidRPr="00672C7C">
        <w:t xml:space="preserve"> West-</w:t>
      </w:r>
      <w:r w:rsidRPr="00672C7C">
        <w:t>Vlaanderen</w:t>
      </w:r>
      <w:r w:rsidRPr="00672C7C">
        <w:t xml:space="preserve"> (BE25) u Flandriji, u referentnom razdoblju od 1. srpnja 2025. do 1. studenoga 2025.;</w:t>
      </w:r>
    </w:p>
    <w:p w:rsidR="00D96EDF" w:rsidRPr="00672C7C" w:rsidP="00D96EDF" w14:paraId="4B5F335C" w14:textId="25B6C9E7">
      <w:pPr>
        <w:pStyle w:val="NormalHanging12a"/>
      </w:pPr>
      <w:r w:rsidRPr="00672C7C">
        <w:t>C.</w:t>
      </w:r>
      <w:r w:rsidRPr="00672C7C">
        <w:tab/>
        <w:t xml:space="preserve">budući da </w:t>
      </w:r>
      <w:r w:rsidR="008B1B77">
        <w:t>s</w:t>
      </w:r>
      <w:r w:rsidRPr="00672C7C">
        <w:t>e zahtjev temelj</w:t>
      </w:r>
      <w:r w:rsidR="008B1B77">
        <w:t>i</w:t>
      </w:r>
      <w:r w:rsidRPr="00672C7C">
        <w:t xml:space="preserve"> </w:t>
      </w:r>
      <w:r w:rsidR="008B1B77">
        <w:t xml:space="preserve">na </w:t>
      </w:r>
      <w:r w:rsidRPr="00672C7C">
        <w:t>intervencijski</w:t>
      </w:r>
      <w:r w:rsidR="008B1B77">
        <w:t>m</w:t>
      </w:r>
      <w:r w:rsidRPr="00672C7C">
        <w:t xml:space="preserve"> kriterij</w:t>
      </w:r>
      <w:r w:rsidR="008B1B77">
        <w:t>im</w:t>
      </w:r>
      <w:r w:rsidRPr="00672C7C">
        <w:t>a iz članka 4. stavka 2. točke (a) Uredbe o EGF-u;</w:t>
      </w:r>
    </w:p>
    <w:p w:rsidR="00D96EDF" w:rsidRPr="00672C7C" w:rsidP="00D96EDF" w14:paraId="1E422C83" w14:textId="77777777">
      <w:pPr>
        <w:pStyle w:val="NormalHanging12a"/>
        <w:rPr>
          <w:noProof/>
        </w:rPr>
      </w:pPr>
      <w:r w:rsidRPr="00672C7C">
        <w:t>D.</w:t>
      </w:r>
      <w:r w:rsidRPr="00672C7C">
        <w:tab/>
        <w:t xml:space="preserve">budući da je </w:t>
      </w:r>
      <w:r w:rsidRPr="00672C7C">
        <w:t>Soliver</w:t>
      </w:r>
      <w:r w:rsidRPr="00672C7C">
        <w:t xml:space="preserve"> u prosincu 2024. pokrenuo stečajni postupak; budući da su od 2022. stečajevi u Belgiji u porastu i da nezaposlenost ozbiljno pogađa nekoliko regija u Flandriji;</w:t>
      </w:r>
    </w:p>
    <w:p w:rsidR="00D96EDF" w:rsidRPr="00672C7C" w:rsidP="00D96EDF" w14:paraId="6BB25A21" w14:textId="77777777">
      <w:pPr>
        <w:pStyle w:val="NormalHanging12a"/>
        <w:rPr>
          <w:bCs/>
          <w:iCs/>
          <w:noProof/>
        </w:rPr>
      </w:pPr>
      <w:r w:rsidRPr="00672C7C">
        <w:t>E.</w:t>
      </w:r>
      <w:r w:rsidRPr="00672C7C">
        <w:tab/>
        <w:t xml:space="preserve">budući da radna snaga pogođena zatvaranjem poduzeća </w:t>
      </w:r>
      <w:r w:rsidRPr="00672C7C">
        <w:t>Soliver</w:t>
      </w:r>
      <w:r w:rsidRPr="00672C7C">
        <w:t xml:space="preserve"> uključuje znatan udio starijih radnika, koji se suočavaju s posebnim i složenim preprekama pri ponovnom uključivanju na tržište rada, uključujući dobnu diskriminaciju, neusklađenost vještina i ograničen pristup mogućnostima prekvalifikacije; budući da je potrebno uvesti ciljane mjere kako bi se odgovorilo na posebne potrebe starijih radnika, uključujući oblike osposobljavanja prilagođene dobi, mentorstvo i suradnju s poslodavcima koji se zalažu za zapošljavanje osoba različitih dobi;</w:t>
      </w:r>
    </w:p>
    <w:p w:rsidR="00D96EDF" w:rsidRPr="00672C7C" w:rsidP="00D96EDF" w14:paraId="34389B33" w14:textId="77777777">
      <w:pPr>
        <w:pStyle w:val="NormalHanging12a"/>
      </w:pPr>
      <w:r w:rsidRPr="00672C7C">
        <w:t>F.</w:t>
      </w:r>
      <w:r w:rsidRPr="00672C7C">
        <w:tab/>
        <w:t xml:space="preserve">budući da flamanska služba za zapošljavanje (VDAB) osigurava nacionalno </w:t>
      </w:r>
      <w:r w:rsidRPr="00672C7C">
        <w:t>pretfinanciranje</w:t>
      </w:r>
      <w:r w:rsidRPr="00672C7C">
        <w:t xml:space="preserve"> i sufinanciranje mjera;</w:t>
      </w:r>
    </w:p>
    <w:p w:rsidR="00D96EDF" w:rsidRPr="00672C7C" w:rsidP="00D96EDF" w14:paraId="7AA6CD10" w14:textId="77777777">
      <w:pPr>
        <w:pStyle w:val="NormalHanging12a"/>
      </w:pPr>
      <w:r w:rsidRPr="00672C7C">
        <w:t>G.</w:t>
      </w:r>
      <w:r w:rsidRPr="00672C7C">
        <w:tab/>
        <w:t>budući da su ispunjeni zahtjevi utvrđeni zakonodavstvom Unije i nacionalnim zakonodavstvom o kolektivnom otpuštanju;</w:t>
      </w:r>
    </w:p>
    <w:p w:rsidR="00D96EDF" w:rsidRPr="00672C7C" w:rsidP="00D96EDF" w14:paraId="6C15E156" w14:textId="77777777">
      <w:pPr>
        <w:pStyle w:val="NormalHanging12a"/>
      </w:pPr>
      <w:r w:rsidRPr="00672C7C">
        <w:t>H.</w:t>
      </w:r>
      <w:r w:rsidRPr="00672C7C">
        <w:tab/>
        <w:t xml:space="preserve">budući da bi financijski doprinos iz EGF-a ponajprije trebao biti usmjeren na aktivne mjere politike tržišta rada i personalizirane usluge čiji je cilj trajna reintegracija korisnika na tržište rada s kvalitetnim uvjetima zapošljavanja, pri čemu im je potrebno osigurati osposobljavanje radi stjecanja vještina kako bi im se olakšalo ponovno </w:t>
      </w:r>
      <w:r w:rsidRPr="00672C7C">
        <w:t>uključivanje na tržište rada;</w:t>
      </w:r>
    </w:p>
    <w:p w:rsidR="00D96EDF" w:rsidRPr="00672C7C" w:rsidP="00D96EDF" w14:paraId="1E728A45" w14:textId="77777777">
      <w:pPr>
        <w:pStyle w:val="NormalHanging12a"/>
      </w:pPr>
      <w:r w:rsidRPr="00672C7C">
        <w:t>I.</w:t>
      </w:r>
      <w:r w:rsidRPr="00672C7C">
        <w:tab/>
        <w:t>budući da EGF ne smije premašiti najviši dopušteni godišnji iznos od 30 milijuna EUR (u cijenama iz 2018.)</w:t>
      </w:r>
      <w:r>
        <w:rPr>
          <w:rStyle w:val="FootnoteReference"/>
        </w:rPr>
        <w:footnoteReference w:id="8"/>
      </w:r>
      <w:r w:rsidRPr="00672C7C">
        <w:t>;</w:t>
      </w:r>
    </w:p>
    <w:p w:rsidR="00D96EDF" w:rsidRPr="00672C7C" w:rsidP="00D96EDF" w14:paraId="2B2F2D71" w14:textId="77777777">
      <w:pPr>
        <w:pStyle w:val="NormalHanging12a"/>
      </w:pPr>
      <w:r w:rsidRPr="00672C7C">
        <w:t>1.</w:t>
      </w:r>
      <w:r w:rsidRPr="00672C7C">
        <w:tab/>
        <w:t>slaže se s Komisijom da su uvjeti iz Uredbe o EGF-u, a posebno oni iz njezina članka 4. stavka 2. točke (a), ispunjeni i da Belgija u skladu s tom Uredbom ima pravo na financijski doprinos u iznosu od 2 132 535 EUR, odnosno 85 % ukupnog troška od 2 508 865 EUR, što obuhvaća troškove za personalizirane usluge u iznosu od 2 412 465 EUR i troškove za aktivnosti pripreme, upravljanja, informiranja i promidžbe te kontrole i izvješćivanja u iznosu od 96 400 EUR;</w:t>
      </w:r>
    </w:p>
    <w:p w:rsidR="00D96EDF" w:rsidRPr="00672C7C" w:rsidP="00D96EDF" w14:paraId="4BEF209E" w14:textId="77777777">
      <w:pPr>
        <w:pStyle w:val="NormalHanging12a"/>
      </w:pPr>
      <w:r w:rsidRPr="00672C7C">
        <w:t>2.</w:t>
      </w:r>
      <w:r w:rsidRPr="00672C7C">
        <w:tab/>
        <w:t>primjećuje da su belgijske vlasti zahtjev podnijele 22. prosinca 2025. te da je, na temelju primitka dodatnih informacija od Belgije, Komisija dovršila ocjenjivanje zahtjeva gotovo mjesec dana prije roka, 30. travnja 2026., i o tome istoga dana obavijestila Parlament; naglašava da je važno skratiti vrijeme između podnošenja zahtjeva za pomoć iz EGF-a i odluke o financiranju uz istodobnu punu zaštitu prava Europskog parlamenta kao jedne grane proračunskog tijela;</w:t>
      </w:r>
    </w:p>
    <w:p w:rsidR="00D96EDF" w:rsidRPr="00672C7C" w:rsidP="00D96EDF" w14:paraId="2FC31BB3" w14:textId="77777777">
      <w:pPr>
        <w:pStyle w:val="NormalHanging12a"/>
        <w:rPr>
          <w:noProof/>
        </w:rPr>
      </w:pPr>
      <w:r w:rsidRPr="00672C7C">
        <w:t>3.</w:t>
      </w:r>
      <w:r w:rsidRPr="00672C7C">
        <w:tab/>
        <w:t xml:space="preserve">prima na znanje da se zahtjev odnosi na 803 ciljana korisnika koji su proglašeni viškom u poduzeću </w:t>
      </w:r>
      <w:r w:rsidRPr="00672C7C">
        <w:t>Soliver</w:t>
      </w:r>
      <w:r w:rsidRPr="00672C7C">
        <w:t>;</w:t>
      </w:r>
    </w:p>
    <w:p w:rsidR="00D96EDF" w:rsidRPr="00672C7C" w:rsidP="00D96EDF" w14:paraId="6B0A74BF" w14:textId="77777777">
      <w:pPr>
        <w:pStyle w:val="NormalHanging12a"/>
      </w:pPr>
      <w:r w:rsidRPr="00672C7C">
        <w:t>4.</w:t>
      </w:r>
      <w:r w:rsidRPr="00672C7C">
        <w:tab/>
        <w:t xml:space="preserve">prima na znanje da se </w:t>
      </w:r>
      <w:r w:rsidRPr="00672C7C">
        <w:t>Soliver</w:t>
      </w:r>
      <w:r w:rsidRPr="00672C7C">
        <w:t>, proizvođač staklenih proizvoda za građevinski i automobilski sektor, nakon što ga je 2018. kupio American Glass Products Holding (AGP), usmjerio isključivo na visokotehnološko automobilsko staklo; konstatira da se to poduzeće počelo suočavati s poteškoćama koje su uglavnom bile povezane s padom aktivnosti u automobilskom sektoru, koji je pak bio posljedica kašnjenja u proizvodnji modela automobila za koje su njegovi proizvodi bili namijenjeni, što je u konačnici dovelo do ozbiljnog smanjenja profitabilnosti i na koncu do stečaja;</w:t>
      </w:r>
    </w:p>
    <w:p w:rsidR="00D96EDF" w:rsidRPr="00672C7C" w:rsidP="00D96EDF" w14:paraId="0B2DB19C" w14:textId="77777777">
      <w:pPr>
        <w:pStyle w:val="NormalHanging12a"/>
        <w:rPr>
          <w:bCs/>
          <w:iCs/>
        </w:rPr>
      </w:pPr>
      <w:r w:rsidRPr="00672C7C">
        <w:t>5.</w:t>
      </w:r>
      <w:r w:rsidRPr="00672C7C">
        <w:tab/>
        <w:t>napominje da je industrija stakla energetski intenzivan sektor i da je ozbiljno pogođena trajno visokim cijenama energije, koje su znatno ugrozile njezinu konkurentnost; naglašava da dugoročno postizanje konkurentnih cijena energije iziskuje znatno povećanje pouzdane i cjenovno pristupačne opskrbe energijom, među ostalim diversifikacijom izvora energije i opskrbnih pravaca, razvojem domaće proizvodnje energije i potpunim dovršetkom energetske unije;</w:t>
      </w:r>
    </w:p>
    <w:p w:rsidR="00D96EDF" w:rsidRPr="00672C7C" w:rsidP="00D96EDF" w14:paraId="730368A3" w14:textId="706C72F0">
      <w:pPr>
        <w:pStyle w:val="NormalHanging12a"/>
        <w:rPr>
          <w:bCs/>
          <w:iCs/>
        </w:rPr>
      </w:pPr>
      <w:r w:rsidRPr="00672C7C">
        <w:t>6.</w:t>
      </w:r>
      <w:r w:rsidRPr="00672C7C">
        <w:tab/>
      </w:r>
      <w:r w:rsidR="008B1B77">
        <w:t>primjećuje</w:t>
      </w:r>
      <w:r w:rsidRPr="00672C7C" w:rsidR="008B1B77">
        <w:t xml:space="preserve"> </w:t>
      </w:r>
      <w:r w:rsidRPr="00672C7C">
        <w:t>da tehnički kvalificirani radnici ili oni koji se žele prekvalificirati imaju najbolje izglede za zapošljavanje, no tomu je tako zbog nedostatka radnika u tehničkim zanimanjima, što je posljedica slabog interesa mladih za strukovno osposobljavanje i starenja radne snage; naglašava da su ponovno uključivanje otpuštenih radnika na tržište rada i osiguravanje kvalitetnih mogućnosti osposobljavanja ključni za europsko gospodarstvo sa snažnom industrijskom bazom i spremno za promjene u budućnosti; naglašava važnost jačanja industrijske konkurentnosti Unije u tom kontekstu;</w:t>
      </w:r>
    </w:p>
    <w:p w:rsidR="00D96EDF" w:rsidRPr="00672C7C" w:rsidP="00D96EDF" w14:paraId="64D2338B" w14:textId="77777777">
      <w:pPr>
        <w:pStyle w:val="NormalHanging12a"/>
        <w:rPr>
          <w:noProof/>
        </w:rPr>
      </w:pPr>
      <w:r w:rsidRPr="00672C7C">
        <w:t>7.</w:t>
      </w:r>
      <w:r w:rsidRPr="00672C7C">
        <w:tab/>
        <w:t xml:space="preserve">žali zbog toga što je povećanje broja stečajeva tijekom posljednjih nekoliko godina negativno utjecalo na stopu zaposlenosti u nekim regijama u Belgiji, osobito u Flandriji; naglašava da se u Flandriji otpušteni stariji radnici suočavaju s većim preprekama pri ponovnom ulasku na tržište rada; poziva belgijske vlasti da pruže posebnu potporu prilagođenu kako bi se radnicima pomoglo da dodatno razviju vještine potrebne za </w:t>
      </w:r>
      <w:r w:rsidRPr="00672C7C">
        <w:t>pronalazak novih kvalitetnih radnih mjesta, kao i da poduzmu mjere za smanjenje stečajeva i ispravljanje socijalnih razlika koje dovode do isključenosti radne snage;</w:t>
      </w:r>
    </w:p>
    <w:p w:rsidR="00D96EDF" w:rsidRPr="00672C7C" w:rsidP="00D96EDF" w14:paraId="6F103EEC" w14:textId="77777777">
      <w:pPr>
        <w:pStyle w:val="NormalHanging12a"/>
      </w:pPr>
      <w:r w:rsidRPr="00672C7C">
        <w:t>8.</w:t>
      </w:r>
      <w:r w:rsidRPr="00672C7C">
        <w:tab/>
        <w:t>podsjeća na to da se, u dogovoru sa stručnjacima i socijalnim partnerima, personalizirane usluge koje će se pružati radnicima sastoje od sljedećih mjera: radna skupina iskusnih savjetnika i referenata koja pruža personalizirane savjetodavne usluge; usluge pronalaženja novog radnog mjesta uz individualno usmjeravanje; pomoć u pronalasku radnog mjesta; dodatna pomoć pri traženju zaposlenja; osposobljavanje i prekvalificiranje, uključujući osposobljavanje na radnom mjestu; sudjelovanje na sajmovima poslova; ističe važnost poticanja kvalitetnih radnih mjesta usmjerenih na budućnost kojima se jača konkurentnost i podržava digitalna transformacija;</w:t>
      </w:r>
    </w:p>
    <w:p w:rsidR="00D96EDF" w:rsidRPr="00672C7C" w:rsidP="00D96EDF" w14:paraId="5D4AE55C" w14:textId="77777777">
      <w:pPr>
        <w:pStyle w:val="NormalHanging12a"/>
      </w:pPr>
      <w:r w:rsidRPr="00672C7C">
        <w:t>9.</w:t>
      </w:r>
      <w:r w:rsidRPr="00672C7C">
        <w:tab/>
        <w:t>podsjeća da je EGF instrument solidarnosti i pravedne tranzicije te da, iako pruža potporu nakon gubitka radnih mjesta, ne može zamijeniti proaktivnu industrijsku politiku; smatra da mobilizacija EGF-a treba biti ugrađena u širi politički odgovor na svim političkim razinama kako bi se osiguralo da pogođeni radnici pronađu odgovarajuće mogućnosti u skladu sa svojim kvalifikacijama i vještinama; naglašava da primarna zadaća Unije mora biti sprečavanje takvih zatvaranja, prije svega stvaranjem uvjeta da industrijska proizvodnja ostane konkurentna, a sustavi socijalne sigurnosti financijski održivi, uz istodobno ulaganje u vještine i za visokokvalificirane i za industrijske radnike; naglašava da je potrebno pružiti posebnu potporu prilagođenu profilima radnika, uz istodobno poduzimanje mjera za smanjenje stečajeva i rješavanje socijalnih nejednakosti koje dovode do isključenosti iz radne snage; naglašava da je smanjenje nepotrebnih regulatornih i administrativnih opterećenja ključno za potporu industrijskoj konkurentnosti, privlačenje ulaganja i očuvanje kvalitetnih radnih mjesta u Uniji;</w:t>
      </w:r>
    </w:p>
    <w:p w:rsidR="00D96EDF" w:rsidRPr="00672C7C" w:rsidP="00D96EDF" w14:paraId="4F394FFA" w14:textId="77777777">
      <w:pPr>
        <w:pStyle w:val="NormalHanging12a"/>
        <w:rPr>
          <w:bCs/>
          <w:iCs/>
        </w:rPr>
      </w:pPr>
      <w:r w:rsidRPr="00672C7C">
        <w:t>10.</w:t>
      </w:r>
      <w:r w:rsidRPr="00672C7C">
        <w:tab/>
        <w:t>naglašava da belgijske vlasti moraju osigurati vidljivost financiranja Unije i istaknuti njegovu dodanu vrijednost pružanjem učinkovitih i ciljanih informacija korisnicima, regionalnim i lokalnim vlastima, socijalnim partnerima i široj javnosti;</w:t>
      </w:r>
    </w:p>
    <w:p w:rsidR="00D96EDF" w:rsidRPr="00672C7C" w:rsidP="00D96EDF" w14:paraId="64BDF6EB" w14:textId="77777777">
      <w:pPr>
        <w:pStyle w:val="NormalHanging12a"/>
      </w:pPr>
      <w:r w:rsidRPr="00672C7C">
        <w:t>11.</w:t>
      </w:r>
      <w:r w:rsidRPr="00672C7C">
        <w:tab/>
        <w:t>poziva Komisiju da osigura jednaku vidljivost instrumenta u svim državama članicama i da promiče njegovu dodanu vrijednost širenjem ciljanih informacija nacionalnim tijelima, koja bi te informacije trebala dodatno prenijeti poduzećima pogođenima otpuštanjima, regionalnim i lokalnim tijelima, socijalnim partnerima i široj javnosti;</w:t>
      </w:r>
    </w:p>
    <w:p w:rsidR="00D96EDF" w:rsidRPr="00672C7C" w:rsidP="00D96EDF" w14:paraId="66B6920D" w14:textId="77777777">
      <w:pPr>
        <w:pStyle w:val="NormalHanging12a"/>
        <w:rPr>
          <w:bCs/>
          <w:iCs/>
        </w:rPr>
      </w:pPr>
      <w:r w:rsidRPr="00672C7C">
        <w:t>12.</w:t>
      </w:r>
      <w:r w:rsidRPr="00672C7C">
        <w:tab/>
        <w:t>poziva na provedbu temeljite završne evaluacije provedenih mjera zajedno sa socijalnim partnerima, koja će uključivati jasne i transparentne informacije o načinu na koji su sredstva iskorištena, ponovnom uključivanju radnika na tržište rada i o tome jesu li ostvareni ciljevi EGF-a; u tom kontekstu ističe važnost redovitog praćenja mjera koje se financiraju iz EGF-a kako bi se ocijenila njihova učinkovitost;</w:t>
      </w:r>
    </w:p>
    <w:p w:rsidR="00D96EDF" w:rsidRPr="00672C7C" w:rsidP="00D96EDF" w14:paraId="050DE028" w14:textId="77777777">
      <w:pPr>
        <w:pStyle w:val="NormalHanging12a"/>
      </w:pPr>
      <w:r w:rsidRPr="00672C7C">
        <w:t>13.</w:t>
      </w:r>
      <w:r w:rsidRPr="00672C7C">
        <w:tab/>
        <w:t>prima na znanje da je Belgija 11. lipnja 2025. ciljanim korisnicima počela pružati i personalizirane usluge i snositi administrativne izdatke provedbe EGF-a i da će stoga razdoblje prihvatljivosti za financijski doprinos iz EGF-a trajati od tog datuma do datuma koji nastupi 24 mjeseca, odnosno 31 mjesec nakon stupanja na snagu odluke o financiranju;</w:t>
      </w:r>
    </w:p>
    <w:p w:rsidR="00D96EDF" w:rsidRPr="00672C7C" w:rsidP="00D96EDF" w14:paraId="005D136F" w14:textId="77777777">
      <w:pPr>
        <w:pStyle w:val="NormalHanging12a"/>
      </w:pPr>
      <w:r w:rsidRPr="00672C7C">
        <w:t>14.</w:t>
      </w:r>
      <w:r w:rsidRPr="00672C7C">
        <w:tab/>
        <w:t>primjećuje da su belgijske vlasti pružile jamstvo da će se u pristupu predloženim mjerama i u njihovoj provedbi poštovati načela jednakog postupanja i nediskriminacije te da će se spriječiti svako dvostruko financiranje;</w:t>
      </w:r>
    </w:p>
    <w:p w:rsidR="00D96EDF" w:rsidRPr="00672C7C" w:rsidP="00D96EDF" w14:paraId="0DBF45F2" w14:textId="77777777">
      <w:pPr>
        <w:pStyle w:val="NormalHanging12a"/>
      </w:pPr>
      <w:r w:rsidRPr="00672C7C">
        <w:t>15.</w:t>
      </w:r>
      <w:r w:rsidRPr="00672C7C">
        <w:tab/>
        <w:t>ponovno ističe da pomoć iz EGF-a ne smije zamijeniti mjere za koje su prema nacionalnom pravu ili kolektivnim ugovorima odgovorna javna tijela ili poduzeća; podsjeća da je EGF ograničen, ciljan i dopunski mehanizam;</w:t>
      </w:r>
    </w:p>
    <w:p w:rsidR="00D96EDF" w:rsidRPr="00672C7C" w:rsidP="00D96EDF" w14:paraId="7DEB065D" w14:textId="77777777">
      <w:pPr>
        <w:pStyle w:val="NormalHanging12a"/>
      </w:pPr>
      <w:r w:rsidRPr="00672C7C">
        <w:t>16.</w:t>
      </w:r>
      <w:r w:rsidRPr="00672C7C">
        <w:tab/>
        <w:t>odobrava Odluku priloženu ovoj Rezoluciji;</w:t>
      </w:r>
    </w:p>
    <w:p w:rsidR="00D96EDF" w:rsidRPr="00672C7C" w:rsidP="00D96EDF" w14:paraId="3C6027DC" w14:textId="77777777">
      <w:pPr>
        <w:pStyle w:val="NormalHanging12a"/>
      </w:pPr>
      <w:r w:rsidRPr="00672C7C">
        <w:t>17.</w:t>
      </w:r>
      <w:r w:rsidRPr="00672C7C">
        <w:tab/>
        <w:t xml:space="preserve">nalaže svojoj predsjednici da potpiše ovu Odluku zajedno s predsjednikom Vijeća te da je da na objavu u </w:t>
      </w:r>
      <w:r w:rsidRPr="00672C7C">
        <w:rPr>
          <w:i/>
        </w:rPr>
        <w:t>Službenom listu Europske unije</w:t>
      </w:r>
      <w:r w:rsidRPr="00672C7C">
        <w:t>;</w:t>
      </w:r>
    </w:p>
    <w:p w:rsidR="00D96EDF" w:rsidRPr="00672C7C" w:rsidP="00D96EDF" w14:paraId="4FE5FB90" w14:textId="77777777">
      <w:pPr>
        <w:pStyle w:val="NormalHanging12a"/>
      </w:pPr>
      <w:r w:rsidRPr="00672C7C">
        <w:t>18.</w:t>
      </w:r>
      <w:r w:rsidRPr="00672C7C">
        <w:tab/>
        <w:t>nalaže svojoj predsjednici da ovu Rezoluciju, zajedno s njezinim Prilogom, proslijedi Vijeću i Komisiji.</w:t>
      </w:r>
    </w:p>
    <w:p w:rsidR="00D96EDF" w:rsidRPr="00672C7C" w:rsidP="00D96EDF" w14:paraId="44F09895" w14:textId="77777777">
      <w:pPr>
        <w:pStyle w:val="NormalHanging12a"/>
      </w:pPr>
    </w:p>
    <w:p w:rsidR="00D96EDF" w:rsidRPr="00672C7C" w:rsidP="00D96EDF" w14:paraId="5D1A5ABA" w14:textId="77777777">
      <w:pPr>
        <w:rPr>
          <w:noProof/>
        </w:rPr>
      </w:pPr>
    </w:p>
    <w:p w:rsidR="00D96EDF" w:rsidRPr="00672C7C" w:rsidP="00D96EDF" w14:paraId="5717802A" w14:textId="77777777">
      <w:pPr>
        <w:pStyle w:val="PageHeading"/>
        <w:rPr>
          <w:noProof/>
        </w:rPr>
        <w:sectPr w:rsidSect="00672C7C">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D22EE" w:rsidRPr="000D22EE" w:rsidP="00D96EDF" w14:paraId="25F62881" w14:textId="77777777">
      <w:pPr>
        <w:pStyle w:val="PageHeading"/>
        <w:rPr>
          <w:rFonts w:ascii="Times New Roman" w:hAnsi="Times New Roman" w:cs="Times New Roman"/>
        </w:rPr>
      </w:pPr>
      <w:bookmarkStart w:id="7" w:name="_Toc232149267"/>
      <w:r w:rsidRPr="000D22EE">
        <w:rPr>
          <w:rFonts w:ascii="Times New Roman" w:hAnsi="Times New Roman" w:cs="Times New Roman"/>
        </w:rPr>
        <w:t>PRILOG</w:t>
      </w:r>
    </w:p>
    <w:p w:rsidR="00D96EDF" w:rsidRPr="000D22EE" w:rsidP="00D96EDF" w14:paraId="3B9CA8FE" w14:textId="35194844">
      <w:pPr>
        <w:pStyle w:val="PageHeading"/>
        <w:rPr>
          <w:rFonts w:ascii="Times New Roman" w:hAnsi="Times New Roman" w:cs="Times New Roman"/>
          <w:noProof/>
        </w:rPr>
      </w:pPr>
      <w:r w:rsidRPr="000D22EE">
        <w:rPr>
          <w:rFonts w:ascii="Times New Roman" w:hAnsi="Times New Roman" w:cs="Times New Roman"/>
        </w:rPr>
        <w:t>ODLUKA EUROPSKOG PARLAMENTA I VIJEĆA</w:t>
      </w:r>
      <w:bookmarkEnd w:id="7"/>
    </w:p>
    <w:p w:rsidR="00D96EDF" w:rsidP="00D96EDF" w14:paraId="040BFB08" w14:textId="77777777">
      <w:pPr>
        <w:pStyle w:val="Titreobjet"/>
        <w:jc w:val="left"/>
      </w:pPr>
      <w:r w:rsidRPr="00672C7C">
        <w:t>o mobilizaciji Europskog fonda za prilagodbu globalizaciji za radnike koji su proglašeni viškom na temelju zahtjeva Belgije – EGF/2025/009 BE/</w:t>
      </w:r>
      <w:r w:rsidRPr="00672C7C">
        <w:t>Soliver</w:t>
      </w:r>
    </w:p>
    <w:p w:rsidR="000D22EE" w:rsidRPr="000D22EE" w:rsidP="000D22EE" w14:paraId="2A32B25E" w14:textId="16808275">
      <w:pPr>
        <w:rPr>
          <w:lang w:eastAsia="en-US"/>
        </w:rPr>
      </w:pPr>
      <w:r w:rsidRPr="000D22EE">
        <w:rPr>
          <w:i/>
        </w:rPr>
        <w:t>(Tekst ovog priloga nije naveden ovdje budući da odgovara konačnom aktu, Odluci (EU) 2026/1543</w:t>
      </w:r>
      <w:r>
        <w:rPr>
          <w:i/>
        </w:rPr>
        <w:t>.</w:t>
      </w:r>
      <w:r w:rsidRPr="000D22EE">
        <w:rPr>
          <w:i/>
        </w:rPr>
        <w:t>)</w:t>
      </w:r>
    </w:p>
    <w:sectPr w:rsidSect="00672C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6EDF" w:rsidRPr="00672C7C" w:rsidP="00F956EC" w14:paraId="36771C15" w14:textId="77777777">
    <w:pPr>
      <w:pStyle w:val="EPFooter"/>
    </w:pPr>
    <w:r w:rsidRPr="00672C7C">
      <w:t>PE</w:t>
    </w:r>
    <w:r w:rsidRPr="00672C7C">
      <w:rPr>
        <w:rStyle w:val="HideTWBExt"/>
      </w:rPr>
      <w:t>&lt;</w:t>
    </w:r>
    <w:r w:rsidRPr="00672C7C">
      <w:rPr>
        <w:rStyle w:val="HideTWBExt"/>
      </w:rPr>
      <w:t>NoPE</w:t>
    </w:r>
    <w:r w:rsidRPr="00672C7C">
      <w:rPr>
        <w:rStyle w:val="HideTWBExt"/>
      </w:rPr>
      <w:t>&gt;</w:t>
    </w:r>
    <w:r w:rsidRPr="00672C7C">
      <w:t>787.923</w:t>
    </w:r>
    <w:r w:rsidRPr="00672C7C">
      <w:rPr>
        <w:rStyle w:val="HideTWBExt"/>
      </w:rPr>
      <w:t>&lt;/</w:t>
    </w:r>
    <w:r w:rsidRPr="00672C7C">
      <w:rPr>
        <w:rStyle w:val="HideTWBExt"/>
      </w:rPr>
      <w:t>NoPE</w:t>
    </w:r>
    <w:r w:rsidRPr="00672C7C">
      <w:rPr>
        <w:rStyle w:val="HideTWBExt"/>
      </w:rPr>
      <w:t>&gt;&lt;Version&gt;</w:t>
    </w:r>
    <w:r w:rsidRPr="00672C7C">
      <w:t>v02-00</w:t>
    </w:r>
    <w:r w:rsidRPr="00672C7C">
      <w:rPr>
        <w:rStyle w:val="HideTWBExt"/>
      </w:rPr>
      <w:t>&lt;/</w:t>
    </w:r>
    <w:r w:rsidRPr="00672C7C">
      <w:rPr>
        <w:rStyle w:val="HideTWBExt"/>
      </w:rPr>
      <w:t>Version</w:t>
    </w:r>
    <w:r w:rsidRPr="00672C7C">
      <w:rPr>
        <w:rStyle w:val="HideTWBExt"/>
      </w:rPr>
      <w:t>&gt;</w:t>
    </w:r>
    <w:r w:rsidRPr="00672C7C">
      <w:tab/>
    </w:r>
    <w:r w:rsidRPr="00672C7C">
      <w:fldChar w:fldCharType="begin"/>
    </w:r>
    <w:r w:rsidRPr="00672C7C">
      <w:instrText xml:space="preserve"> PAGE  \* MERGEFORMAT </w:instrText>
    </w:r>
    <w:r w:rsidRPr="00672C7C">
      <w:fldChar w:fldCharType="separate"/>
    </w:r>
    <w:r w:rsidRPr="00672C7C">
      <w:rPr>
        <w:noProof/>
      </w:rPr>
      <w:t>1</w:t>
    </w:r>
    <w:r w:rsidRPr="00672C7C">
      <w:fldChar w:fldCharType="end"/>
    </w:r>
    <w:r w:rsidRPr="00672C7C">
      <w:t>/</w:t>
    </w:r>
    <w:r>
      <w:fldChar w:fldCharType="begin"/>
    </w:r>
    <w:r>
      <w:instrText xml:space="preserve"> NUMPAGES  \* MERGEFORMAT </w:instrText>
    </w:r>
    <w:r>
      <w:fldChar w:fldCharType="separate"/>
    </w:r>
    <w:r w:rsidRPr="00672C7C">
      <w:rPr>
        <w:noProof/>
      </w:rPr>
      <w:t>2</w:t>
    </w:r>
    <w:r w:rsidRPr="00672C7C">
      <w:rPr>
        <w:noProof/>
      </w:rPr>
      <w:fldChar w:fldCharType="end"/>
    </w:r>
    <w:r w:rsidRPr="00672C7C">
      <w:tab/>
    </w:r>
    <w:r w:rsidRPr="00672C7C">
      <w:rPr>
        <w:rStyle w:val="HideTWBExt"/>
      </w:rPr>
      <w:t>&lt;PathFdR&gt;</w:t>
    </w:r>
    <w:r w:rsidRPr="00672C7C">
      <w:t>RR\1345097HR.docx</w:t>
    </w:r>
    <w:r w:rsidRPr="00672C7C">
      <w:rPr>
        <w:rStyle w:val="HideTWBExt"/>
      </w:rPr>
      <w:t>&lt;/</w:t>
    </w:r>
    <w:r w:rsidRPr="00672C7C">
      <w:rPr>
        <w:rStyle w:val="HideTWBExt"/>
      </w:rPr>
      <w:t>PathFdR</w:t>
    </w:r>
    <w:r w:rsidRPr="00672C7C">
      <w:rPr>
        <w:rStyle w:val="HideTWBExt"/>
      </w:rPr>
      <w:t>&gt;</w:t>
    </w:r>
  </w:p>
  <w:p w:rsidR="00D96EDF" w:rsidRPr="00672C7C" w:rsidP="00F956EC" w14:paraId="127D23AE" w14:textId="77777777">
    <w:pPr>
      <w:pStyle w:val="EPFooter2"/>
    </w:pPr>
    <w:r w:rsidRPr="00672C7C">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6EDF" w:rsidRPr="00672C7C" w:rsidP="00F956EC" w14:paraId="7440863F" w14:textId="77777777">
    <w:pPr>
      <w:pStyle w:val="EPFooter"/>
    </w:pPr>
    <w:r w:rsidRPr="00672C7C">
      <w:rPr>
        <w:rStyle w:val="HideTWBExt"/>
      </w:rPr>
      <w:t>&lt;PathFdR&gt;</w:t>
    </w:r>
    <w:r w:rsidRPr="00672C7C">
      <w:t>RR\1345097HR.docx</w:t>
    </w:r>
    <w:r w:rsidRPr="00672C7C">
      <w:rPr>
        <w:rStyle w:val="HideTWBExt"/>
      </w:rPr>
      <w:t>&lt;/</w:t>
    </w:r>
    <w:r w:rsidRPr="00672C7C">
      <w:rPr>
        <w:rStyle w:val="HideTWBExt"/>
      </w:rPr>
      <w:t>PathFdR</w:t>
    </w:r>
    <w:r w:rsidRPr="00672C7C">
      <w:rPr>
        <w:rStyle w:val="HideTWBExt"/>
      </w:rPr>
      <w:t>&gt;</w:t>
    </w:r>
    <w:r w:rsidRPr="00672C7C">
      <w:tab/>
    </w:r>
    <w:r w:rsidRPr="00672C7C">
      <w:tab/>
      <w:t>PE</w:t>
    </w:r>
    <w:r w:rsidRPr="00672C7C">
      <w:rPr>
        <w:rStyle w:val="HideTWBExt"/>
      </w:rPr>
      <w:t>&lt;</w:t>
    </w:r>
    <w:r w:rsidRPr="00672C7C">
      <w:rPr>
        <w:rStyle w:val="HideTWBExt"/>
      </w:rPr>
      <w:t>NoPE</w:t>
    </w:r>
    <w:r w:rsidRPr="00672C7C">
      <w:rPr>
        <w:rStyle w:val="HideTWBExt"/>
      </w:rPr>
      <w:t>&gt;</w:t>
    </w:r>
    <w:r w:rsidRPr="00672C7C">
      <w:t>787.923</w:t>
    </w:r>
    <w:r w:rsidRPr="00672C7C">
      <w:rPr>
        <w:rStyle w:val="HideTWBExt"/>
      </w:rPr>
      <w:t>&lt;/</w:t>
    </w:r>
    <w:r w:rsidRPr="00672C7C">
      <w:rPr>
        <w:rStyle w:val="HideTWBExt"/>
      </w:rPr>
      <w:t>NoPE</w:t>
    </w:r>
    <w:r w:rsidRPr="00672C7C">
      <w:rPr>
        <w:rStyle w:val="HideTWBExt"/>
      </w:rPr>
      <w:t>&gt;&lt;Version&gt;</w:t>
    </w:r>
    <w:r w:rsidRPr="00672C7C">
      <w:t>v02-00</w:t>
    </w:r>
    <w:r w:rsidRPr="00672C7C">
      <w:rPr>
        <w:rStyle w:val="HideTWBExt"/>
      </w:rPr>
      <w:t>&lt;/</w:t>
    </w:r>
    <w:r w:rsidRPr="00672C7C">
      <w:rPr>
        <w:rStyle w:val="HideTWBExt"/>
      </w:rPr>
      <w:t>Version</w:t>
    </w:r>
    <w:r w:rsidRPr="00672C7C">
      <w:rPr>
        <w:rStyle w:val="HideTWBExt"/>
      </w:rPr>
      <w:t>&gt;</w:t>
    </w:r>
  </w:p>
  <w:p w:rsidR="00D96EDF" w:rsidRPr="00672C7C" w:rsidP="00F956EC" w14:paraId="6A6B0B61" w14:textId="77777777">
    <w:pPr>
      <w:pStyle w:val="EPFooter2"/>
    </w:pPr>
    <w:r w:rsidRPr="00672C7C">
      <w:t>HR</w:t>
    </w:r>
    <w:r w:rsidRPr="00672C7C">
      <w:tab/>
    </w:r>
    <w:r w:rsidRPr="00672C7C">
      <w:rPr>
        <w:b w:val="0"/>
        <w:i/>
        <w:color w:val="C0C0C0"/>
        <w:sz w:val="22"/>
      </w:rPr>
      <w:t>Ujedinjena u raznolikosti</w:t>
    </w:r>
    <w:r w:rsidRPr="00672C7C">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2C7C" w14:paraId="3DBA0B84"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2C7C" w14:paraId="5470B9AB"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2C7C" w14:paraId="0F0D793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2074A" w:rsidRPr="00672C7C" w14:paraId="7CDAA295" w14:textId="77777777">
      <w:r w:rsidRPr="00672C7C">
        <w:separator/>
      </w:r>
    </w:p>
  </w:footnote>
  <w:footnote w:type="continuationSeparator" w:id="1">
    <w:p w:rsidR="00E2074A" w:rsidRPr="00672C7C" w14:paraId="04038C21" w14:textId="77777777">
      <w:r w:rsidRPr="00672C7C">
        <w:continuationSeparator/>
      </w:r>
    </w:p>
  </w:footnote>
  <w:footnote w:id="2">
    <w:p w:rsidR="00D96EDF" w:rsidRPr="00672C7C" w:rsidP="00392B52" w14:paraId="234C7345" w14:textId="397B20FD">
      <w:pPr>
        <w:pStyle w:val="FootnoteText"/>
        <w:ind w:left="567" w:hanging="567"/>
        <w:rPr>
          <w:sz w:val="24"/>
          <w:lang w:val="hr-HR"/>
        </w:rPr>
      </w:pPr>
      <w:r w:rsidRPr="00672C7C">
        <w:rPr>
          <w:rStyle w:val="FootnoteReference"/>
          <w:sz w:val="24"/>
          <w:lang w:val="hr-HR"/>
        </w:rPr>
        <w:footnoteRef/>
      </w:r>
      <w:r w:rsidRPr="00672C7C" w:rsidR="00672C7C">
        <w:rPr>
          <w:sz w:val="24"/>
          <w:lang w:val="hr-HR"/>
        </w:rPr>
        <w:t xml:space="preserve"> </w:t>
      </w:r>
      <w:r w:rsidRPr="00672C7C" w:rsidR="00672C7C">
        <w:rPr>
          <w:sz w:val="24"/>
          <w:lang w:val="hr-HR"/>
        </w:rPr>
        <w:tab/>
      </w:r>
      <w:r w:rsidRPr="00672C7C">
        <w:rPr>
          <w:sz w:val="24"/>
          <w:lang w:val="hr-HR"/>
        </w:rPr>
        <w:t xml:space="preserve">SL L 153, 3.5.2021., str. 48., ELI: </w:t>
      </w:r>
      <w:hyperlink r:id="rId1" w:history="1">
        <w:r w:rsidRPr="00672C7C">
          <w:rPr>
            <w:rStyle w:val="Hyperlink"/>
            <w:sz w:val="24"/>
            <w:lang w:val="hr-HR"/>
          </w:rPr>
          <w:t>http://data.europa.eu/eli/reg/2021/691/oj</w:t>
        </w:r>
      </w:hyperlink>
      <w:r w:rsidRPr="00672C7C">
        <w:rPr>
          <w:sz w:val="24"/>
          <w:lang w:val="hr-HR"/>
        </w:rPr>
        <w:t>.</w:t>
      </w:r>
    </w:p>
  </w:footnote>
  <w:footnote w:id="3">
    <w:p w:rsidR="00D96EDF" w:rsidRPr="00672C7C" w:rsidP="00392B52" w14:paraId="46EEEE04" w14:textId="6C2961D1">
      <w:pPr>
        <w:pStyle w:val="FootnoteText"/>
        <w:ind w:left="567" w:hanging="567"/>
        <w:rPr>
          <w:sz w:val="24"/>
          <w:lang w:val="hr-HR"/>
        </w:rPr>
      </w:pPr>
      <w:r w:rsidRPr="00672C7C">
        <w:rPr>
          <w:rStyle w:val="FootnoteReference"/>
          <w:sz w:val="24"/>
          <w:lang w:val="hr-HR"/>
        </w:rPr>
        <w:footnoteRef/>
      </w:r>
      <w:r w:rsidRPr="00672C7C" w:rsidR="00672C7C">
        <w:rPr>
          <w:sz w:val="24"/>
          <w:lang w:val="hr-HR"/>
        </w:rPr>
        <w:t xml:space="preserve"> </w:t>
      </w:r>
      <w:r w:rsidRPr="00672C7C" w:rsidR="00672C7C">
        <w:rPr>
          <w:sz w:val="24"/>
          <w:lang w:val="hr-HR"/>
        </w:rPr>
        <w:tab/>
      </w:r>
      <w:r w:rsidRPr="00672C7C">
        <w:rPr>
          <w:sz w:val="24"/>
          <w:lang w:val="hr-HR"/>
        </w:rPr>
        <w:t>SL L, 2026/1139, 20.5.2026., ELI: </w:t>
      </w:r>
      <w:hyperlink r:id="rId2" w:tgtFrame="_blank" w:tooltip="ELI URI za pristup dokumentu." w:history="1">
        <w:r w:rsidRPr="00672C7C">
          <w:rPr>
            <w:rStyle w:val="Hyperlink"/>
            <w:color w:val="0070C0"/>
            <w:sz w:val="24"/>
            <w:lang w:val="hr-HR"/>
          </w:rPr>
          <w:t>http://data.europa.eu/eli/reg/2026/1139/oj</w:t>
        </w:r>
      </w:hyperlink>
      <w:r w:rsidRPr="00672C7C">
        <w:rPr>
          <w:color w:val="0070C0"/>
          <w:sz w:val="24"/>
          <w:lang w:val="hr-HR"/>
        </w:rPr>
        <w:t>.</w:t>
      </w:r>
    </w:p>
  </w:footnote>
  <w:footnote w:id="4">
    <w:p w:rsidR="00D96EDF" w:rsidRPr="00672C7C" w:rsidP="00392B52" w14:paraId="572DE206" w14:textId="67073002">
      <w:pPr>
        <w:pStyle w:val="FootnoteText"/>
        <w:ind w:left="567" w:hanging="567"/>
        <w:rPr>
          <w:sz w:val="24"/>
          <w:lang w:val="hr-HR"/>
        </w:rPr>
      </w:pPr>
      <w:r w:rsidRPr="00672C7C">
        <w:rPr>
          <w:rStyle w:val="FootnoteReference"/>
          <w:sz w:val="24"/>
          <w:lang w:val="hr-HR"/>
        </w:rPr>
        <w:footnoteRef/>
      </w:r>
      <w:r w:rsidRPr="00672C7C" w:rsidR="00672C7C">
        <w:rPr>
          <w:sz w:val="24"/>
          <w:lang w:val="hr-HR"/>
        </w:rPr>
        <w:t xml:space="preserve"> </w:t>
      </w:r>
      <w:r w:rsidRPr="00672C7C" w:rsidR="00672C7C">
        <w:rPr>
          <w:sz w:val="24"/>
          <w:lang w:val="hr-HR"/>
        </w:rPr>
        <w:tab/>
      </w:r>
      <w:r w:rsidRPr="00672C7C">
        <w:rPr>
          <w:sz w:val="24"/>
          <w:lang w:val="hr-HR"/>
        </w:rPr>
        <w:t xml:space="preserve">SL L 433 I, 22.12.2020., str. </w:t>
      </w:r>
      <w:r w:rsidRPr="00672C7C">
        <w:rPr>
          <w:sz w:val="24"/>
          <w:lang w:val="hr-HR"/>
        </w:rPr>
        <w:t xml:space="preserve">11., ELI: </w:t>
      </w:r>
      <w:hyperlink r:id="rId3" w:history="1">
        <w:r w:rsidRPr="00672C7C">
          <w:rPr>
            <w:rStyle w:val="Hyperlink"/>
            <w:sz w:val="24"/>
            <w:lang w:val="hr-HR"/>
          </w:rPr>
          <w:t>http://data.europa.eu/eli/reg/2020/2093/oj</w:t>
        </w:r>
      </w:hyperlink>
      <w:r w:rsidRPr="00672C7C">
        <w:rPr>
          <w:sz w:val="24"/>
          <w:lang w:val="hr-HR"/>
        </w:rPr>
        <w:t>.</w:t>
      </w:r>
    </w:p>
  </w:footnote>
  <w:footnote w:id="5">
    <w:p w:rsidR="00D96EDF" w:rsidRPr="00672C7C" w:rsidP="00392B52" w14:paraId="1644E077" w14:textId="68FD83AD">
      <w:pPr>
        <w:pStyle w:val="FootnoteText"/>
        <w:ind w:left="567" w:hanging="567"/>
        <w:rPr>
          <w:sz w:val="24"/>
          <w:lang w:val="hr-HR"/>
        </w:rPr>
      </w:pPr>
      <w:r w:rsidRPr="00672C7C">
        <w:rPr>
          <w:rStyle w:val="FootnoteReference"/>
          <w:sz w:val="24"/>
          <w:lang w:val="hr-HR"/>
        </w:rPr>
        <w:footnoteRef/>
      </w:r>
      <w:r w:rsidRPr="00672C7C" w:rsidR="00672C7C">
        <w:rPr>
          <w:sz w:val="24"/>
          <w:shd w:val="clear" w:color="auto" w:fill="FFFFFF"/>
          <w:lang w:val="hr-HR"/>
        </w:rPr>
        <w:t xml:space="preserve"> </w:t>
      </w:r>
      <w:r w:rsidRPr="00672C7C" w:rsidR="00672C7C">
        <w:rPr>
          <w:sz w:val="24"/>
          <w:shd w:val="clear" w:color="auto" w:fill="FFFFFF"/>
          <w:lang w:val="hr-HR"/>
        </w:rPr>
        <w:tab/>
      </w:r>
      <w:r w:rsidRPr="00672C7C">
        <w:rPr>
          <w:sz w:val="24"/>
          <w:shd w:val="clear" w:color="auto" w:fill="FFFFFF"/>
          <w:lang w:val="hr-HR"/>
        </w:rPr>
        <w:t xml:space="preserve">Uredba Vijeća (EU, Euratom) 2024/765 od 29. veljače 2024. o izmjeni Uredbe (EU, Euratom) 2020/2093 kojom se utvrđuje višegodišnji financijski okvir za razdoblje 2021. – 2027. </w:t>
      </w:r>
      <w:r w:rsidRPr="00672C7C">
        <w:rPr>
          <w:sz w:val="24"/>
          <w:shd w:val="clear" w:color="auto" w:fill="FFFFFF"/>
          <w:lang w:val="hr-HR"/>
        </w:rPr>
        <w:t>(SL L, 2024/765, 29.2.2024., ELI:</w:t>
      </w:r>
      <w:r w:rsidRPr="00672C7C">
        <w:rPr>
          <w:color w:val="333333"/>
          <w:sz w:val="24"/>
          <w:shd w:val="clear" w:color="auto" w:fill="FFFFFF"/>
          <w:lang w:val="hr-HR"/>
        </w:rPr>
        <w:t xml:space="preserve"> </w:t>
      </w:r>
      <w:hyperlink r:id="rId4" w:history="1">
        <w:r w:rsidRPr="00672C7C">
          <w:rPr>
            <w:rStyle w:val="Hyperlink"/>
            <w:sz w:val="24"/>
            <w:shd w:val="clear" w:color="auto" w:fill="FFFFFF"/>
            <w:lang w:val="hr-HR"/>
          </w:rPr>
          <w:t>http://data.europa.eu/eli/reg/2024/765/oj</w:t>
        </w:r>
      </w:hyperlink>
      <w:r w:rsidRPr="00672C7C">
        <w:rPr>
          <w:i/>
          <w:color w:val="333333"/>
          <w:sz w:val="24"/>
          <w:shd w:val="clear" w:color="auto" w:fill="FFFFFF"/>
          <w:lang w:val="hr-HR"/>
        </w:rPr>
        <w:t>).</w:t>
      </w:r>
    </w:p>
  </w:footnote>
  <w:footnote w:id="6">
    <w:p w:rsidR="00D96EDF" w:rsidRPr="00672C7C" w:rsidP="00392B52" w14:paraId="6B63F85D" w14:textId="14632110">
      <w:pPr>
        <w:pStyle w:val="FootnoteText"/>
        <w:ind w:left="567" w:hanging="567"/>
        <w:rPr>
          <w:sz w:val="24"/>
          <w:lang w:val="hr-HR"/>
        </w:rPr>
      </w:pPr>
      <w:r w:rsidRPr="00672C7C">
        <w:rPr>
          <w:rStyle w:val="FootnoteReference"/>
          <w:sz w:val="24"/>
          <w:lang w:val="hr-HR"/>
        </w:rPr>
        <w:footnoteRef/>
      </w:r>
      <w:r w:rsidRPr="00672C7C" w:rsidR="00672C7C">
        <w:rPr>
          <w:sz w:val="24"/>
          <w:lang w:val="hr-HR"/>
        </w:rPr>
        <w:t xml:space="preserve"> </w:t>
      </w:r>
      <w:r w:rsidRPr="00672C7C" w:rsidR="00672C7C">
        <w:rPr>
          <w:sz w:val="24"/>
          <w:lang w:val="hr-HR"/>
        </w:rPr>
        <w:tab/>
      </w:r>
      <w:r w:rsidRPr="00672C7C">
        <w:rPr>
          <w:sz w:val="24"/>
          <w:lang w:val="hr-HR"/>
        </w:rPr>
        <w:t>SL L 433 I, 22.12.2020., str. </w:t>
      </w:r>
      <w:r w:rsidRPr="00672C7C">
        <w:rPr>
          <w:sz w:val="24"/>
          <w:lang w:val="hr-HR"/>
        </w:rPr>
        <w:t xml:space="preserve">28., ELI: </w:t>
      </w:r>
      <w:hyperlink r:id="rId5" w:tooltip="http://data.europa.eu/eli/agree_interinstit/2020/1222/oj" w:history="1">
        <w:r w:rsidRPr="00672C7C">
          <w:rPr>
            <w:rStyle w:val="Hyperlink"/>
            <w:sz w:val="24"/>
            <w:lang w:val="hr-HR"/>
          </w:rPr>
          <w:t>http://data.europa.eu/eli/agree_interinstit/2020/1222/oj</w:t>
        </w:r>
      </w:hyperlink>
      <w:r w:rsidRPr="00672C7C">
        <w:rPr>
          <w:sz w:val="24"/>
          <w:lang w:val="hr-HR"/>
        </w:rPr>
        <w:t>.</w:t>
      </w:r>
    </w:p>
  </w:footnote>
  <w:footnote w:id="7">
    <w:p w:rsidR="00D96EDF" w:rsidRPr="00672C7C" w:rsidP="00392B52" w14:paraId="753BFE65" w14:textId="7E8CFA44">
      <w:pPr>
        <w:pStyle w:val="FootnoteText"/>
        <w:ind w:left="567" w:hanging="567"/>
        <w:rPr>
          <w:sz w:val="24"/>
          <w:lang w:val="hr-HR"/>
        </w:rPr>
      </w:pPr>
      <w:r w:rsidRPr="00672C7C">
        <w:rPr>
          <w:rStyle w:val="FootnoteReference"/>
          <w:sz w:val="24"/>
          <w:lang w:val="hr-HR"/>
        </w:rPr>
        <w:footnoteRef/>
      </w:r>
      <w:r w:rsidRPr="00672C7C" w:rsidR="00672C7C">
        <w:rPr>
          <w:sz w:val="24"/>
          <w:lang w:val="hr-HR"/>
        </w:rPr>
        <w:t xml:space="preserve"> </w:t>
      </w:r>
      <w:r w:rsidRPr="00672C7C" w:rsidR="00672C7C">
        <w:rPr>
          <w:sz w:val="24"/>
          <w:lang w:val="hr-HR"/>
        </w:rPr>
        <w:tab/>
      </w:r>
      <w:r w:rsidRPr="00672C7C">
        <w:rPr>
          <w:sz w:val="24"/>
          <w:lang w:val="hr-HR"/>
        </w:rPr>
        <w:t>U smislu članka 3. Uredbe o EGF-u.</w:t>
      </w:r>
    </w:p>
  </w:footnote>
  <w:footnote w:id="8">
    <w:p w:rsidR="00D96EDF" w:rsidRPr="00672C7C" w:rsidP="00392B52" w14:paraId="199B5737" w14:textId="59BF3E4F">
      <w:pPr>
        <w:pStyle w:val="FootnoteText"/>
        <w:ind w:left="567" w:hanging="567"/>
        <w:rPr>
          <w:sz w:val="24"/>
          <w:lang w:val="hr-HR"/>
        </w:rPr>
      </w:pPr>
      <w:r w:rsidRPr="00672C7C">
        <w:rPr>
          <w:rStyle w:val="FootnoteReference"/>
          <w:sz w:val="24"/>
          <w:lang w:val="hr-HR"/>
        </w:rPr>
        <w:footnoteRef/>
      </w:r>
      <w:r w:rsidRPr="00672C7C" w:rsidR="00672C7C">
        <w:rPr>
          <w:sz w:val="24"/>
          <w:lang w:val="hr-HR"/>
        </w:rPr>
        <w:t xml:space="preserve"> </w:t>
      </w:r>
      <w:r w:rsidRPr="00672C7C" w:rsidR="00672C7C">
        <w:rPr>
          <w:sz w:val="24"/>
          <w:lang w:val="hr-HR"/>
        </w:rPr>
        <w:tab/>
      </w:r>
      <w:r w:rsidRPr="00672C7C">
        <w:rPr>
          <w:sz w:val="24"/>
          <w:lang w:val="hr-HR"/>
        </w:rPr>
        <w:t>Članak 8. Uredbe o VFO-u.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2C7C" w14:paraId="0C16A7F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2C7C" w14:paraId="0C6DB88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2C7C" w14:paraId="397D0D7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7271062">
    <w:abstractNumId w:val="9"/>
  </w:num>
  <w:num w:numId="2" w16cid:durableId="1577940335">
    <w:abstractNumId w:val="9"/>
  </w:num>
  <w:num w:numId="3" w16cid:durableId="1167399476">
    <w:abstractNumId w:val="7"/>
  </w:num>
  <w:num w:numId="4" w16cid:durableId="1504122385">
    <w:abstractNumId w:val="7"/>
  </w:num>
  <w:num w:numId="5" w16cid:durableId="805702510">
    <w:abstractNumId w:val="6"/>
  </w:num>
  <w:num w:numId="6" w16cid:durableId="1718240781">
    <w:abstractNumId w:val="6"/>
  </w:num>
  <w:num w:numId="7" w16cid:durableId="1267735288">
    <w:abstractNumId w:val="5"/>
  </w:num>
  <w:num w:numId="8" w16cid:durableId="1789081316">
    <w:abstractNumId w:val="5"/>
  </w:num>
  <w:num w:numId="9" w16cid:durableId="412623618">
    <w:abstractNumId w:val="4"/>
  </w:num>
  <w:num w:numId="10" w16cid:durableId="797140073">
    <w:abstractNumId w:val="4"/>
  </w:num>
  <w:num w:numId="11" w16cid:durableId="1605722320">
    <w:abstractNumId w:val="8"/>
  </w:num>
  <w:num w:numId="12" w16cid:durableId="308680147">
    <w:abstractNumId w:val="8"/>
  </w:num>
  <w:num w:numId="13" w16cid:durableId="2045254214">
    <w:abstractNumId w:val="3"/>
  </w:num>
  <w:num w:numId="14" w16cid:durableId="795218138">
    <w:abstractNumId w:val="3"/>
  </w:num>
  <w:num w:numId="15" w16cid:durableId="15618145">
    <w:abstractNumId w:val="2"/>
  </w:num>
  <w:num w:numId="16" w16cid:durableId="2059353420">
    <w:abstractNumId w:val="2"/>
  </w:num>
  <w:num w:numId="17" w16cid:durableId="385495393">
    <w:abstractNumId w:val="1"/>
  </w:num>
  <w:num w:numId="18" w16cid:durableId="784466245">
    <w:abstractNumId w:val="1"/>
  </w:num>
  <w:num w:numId="19" w16cid:durableId="379551412">
    <w:abstractNumId w:val="0"/>
  </w:num>
  <w:num w:numId="20" w16cid:durableId="922836015">
    <w:abstractNumId w:val="0"/>
  </w:num>
  <w:num w:numId="21" w16cid:durableId="1295596698">
    <w:abstractNumId w:val="9"/>
  </w:num>
  <w:num w:numId="22" w16cid:durableId="1725449333">
    <w:abstractNumId w:val="7"/>
  </w:num>
  <w:num w:numId="23" w16cid:durableId="1584224537">
    <w:abstractNumId w:val="6"/>
  </w:num>
  <w:num w:numId="24" w16cid:durableId="1415666379">
    <w:abstractNumId w:val="5"/>
  </w:num>
  <w:num w:numId="25" w16cid:durableId="1943685722">
    <w:abstractNumId w:val="4"/>
  </w:num>
  <w:num w:numId="26" w16cid:durableId="412748442">
    <w:abstractNumId w:val="8"/>
  </w:num>
  <w:num w:numId="27" w16cid:durableId="1750421552">
    <w:abstractNumId w:val="3"/>
  </w:num>
  <w:num w:numId="28" w16cid:durableId="1254165599">
    <w:abstractNumId w:val="2"/>
  </w:num>
  <w:num w:numId="29" w16cid:durableId="1914390640">
    <w:abstractNumId w:val="1"/>
  </w:num>
  <w:num w:numId="30" w16cid:durableId="448353466">
    <w:abstractNumId w:val="0"/>
  </w:num>
  <w:num w:numId="31" w16cid:durableId="177164023">
    <w:abstractNumId w:val="9"/>
  </w:num>
  <w:num w:numId="32" w16cid:durableId="796293658">
    <w:abstractNumId w:val="7"/>
  </w:num>
  <w:num w:numId="33" w16cid:durableId="714237872">
    <w:abstractNumId w:val="6"/>
  </w:num>
  <w:num w:numId="34" w16cid:durableId="1008872004">
    <w:abstractNumId w:val="5"/>
  </w:num>
  <w:num w:numId="35" w16cid:durableId="2091810148">
    <w:abstractNumId w:val="4"/>
  </w:num>
  <w:num w:numId="36" w16cid:durableId="1584602962">
    <w:abstractNumId w:val="8"/>
  </w:num>
  <w:num w:numId="37" w16cid:durableId="650908966">
    <w:abstractNumId w:val="3"/>
  </w:num>
  <w:num w:numId="38" w16cid:durableId="1394425934">
    <w:abstractNumId w:val="2"/>
  </w:num>
  <w:num w:numId="39" w16cid:durableId="2106264951">
    <w:abstractNumId w:val="1"/>
  </w:num>
  <w:num w:numId="40" w16cid:durableId="1846359038">
    <w:abstractNumId w:val="0"/>
  </w:num>
  <w:num w:numId="41" w16cid:durableId="1295670867">
    <w:abstractNumId w:val="10"/>
  </w:num>
  <w:num w:numId="42" w16cid:durableId="1078557678">
    <w:abstractNumId w:val="10"/>
  </w:num>
  <w:num w:numId="43" w16cid:durableId="1400130971">
    <w:abstractNumId w:val="10"/>
  </w:num>
  <w:num w:numId="44" w16cid:durableId="15546609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74A"/>
    <w:rsid w:val="00002272"/>
    <w:rsid w:val="00064002"/>
    <w:rsid w:val="000677B9"/>
    <w:rsid w:val="00076527"/>
    <w:rsid w:val="000831BA"/>
    <w:rsid w:val="000A42CC"/>
    <w:rsid w:val="000D22EE"/>
    <w:rsid w:val="000E7DD9"/>
    <w:rsid w:val="0010095E"/>
    <w:rsid w:val="00125B37"/>
    <w:rsid w:val="00187494"/>
    <w:rsid w:val="001F32AE"/>
    <w:rsid w:val="00227670"/>
    <w:rsid w:val="00267BAC"/>
    <w:rsid w:val="002767FF"/>
    <w:rsid w:val="002B18FE"/>
    <w:rsid w:val="002B5493"/>
    <w:rsid w:val="00343214"/>
    <w:rsid w:val="00361C00"/>
    <w:rsid w:val="00392B52"/>
    <w:rsid w:val="00395FA1"/>
    <w:rsid w:val="003A644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0F0B"/>
    <w:rsid w:val="006631B6"/>
    <w:rsid w:val="00672C7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B7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615"/>
    <w:rsid w:val="00C9155E"/>
    <w:rsid w:val="00C941CB"/>
    <w:rsid w:val="00CC2357"/>
    <w:rsid w:val="00CF071A"/>
    <w:rsid w:val="00D058B8"/>
    <w:rsid w:val="00D56C11"/>
    <w:rsid w:val="00D834A0"/>
    <w:rsid w:val="00D872DF"/>
    <w:rsid w:val="00D91E21"/>
    <w:rsid w:val="00D96EDF"/>
    <w:rsid w:val="00DA7FCD"/>
    <w:rsid w:val="00E2074A"/>
    <w:rsid w:val="00E365E1"/>
    <w:rsid w:val="00E820A4"/>
    <w:rsid w:val="00EA5AB5"/>
    <w:rsid w:val="00EB006A"/>
    <w:rsid w:val="00EB4772"/>
    <w:rsid w:val="00ED169E"/>
    <w:rsid w:val="00ED4235"/>
    <w:rsid w:val="00F04346"/>
    <w:rsid w:val="00F075DC"/>
    <w:rsid w:val="00F149E9"/>
    <w:rsid w:val="00F5134D"/>
    <w:rsid w:val="00F74202"/>
    <w:rsid w:val="00F74680"/>
    <w:rsid w:val="00F87713"/>
    <w:rsid w:val="00F956EC"/>
    <w:rsid w:val="00FB4360"/>
    <w:rsid w:val="00FD0C70"/>
  </w:rsids>
  <w:docVars>
    <w:docVar w:name="dvdocse" w:val="A10-0149/2026"/>
    <w:docVar w:name="dvlangue" w:val="HR"/>
    <w:docVar w:name="dvnumam" w:val="0"/>
    <w:docVar w:name="dvpe" w:val="787.923"/>
    <w:docVar w:name="dvrapporteur" w:val="Izvjestitelj: "/>
    <w:docVar w:name="dvtitre" w:val="Rezolucija Europskog parlamenta od .... 2026. o Prijedlogu odluke Europskog parlamenta i Vijeća o mobilizaciji Europskog fonda za prilagodbu globalizaciji za radnike koji su proglašeni viškom na temelju zahtjeva Belgije –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4F7045A"/>
  <w15:chartTrackingRefBased/>
  <w15:docId w15:val="{C418FADC-962C-4E42-9696-93420FAE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96ED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96EDF"/>
    <w:pPr>
      <w:keepNext/>
      <w:spacing w:after="480"/>
      <w:jc w:val="center"/>
    </w:pPr>
    <w:rPr>
      <w:rFonts w:ascii="Arial" w:hAnsi="Arial" w:cs="Arial"/>
      <w:b/>
    </w:rPr>
  </w:style>
  <w:style w:type="paragraph" w:customStyle="1" w:styleId="NormalHanging12a">
    <w:name w:val="NormalHanging12a"/>
    <w:basedOn w:val="Normal"/>
    <w:link w:val="NormalHanging12aChar"/>
    <w:rsid w:val="00D96EDF"/>
    <w:pPr>
      <w:spacing w:after="240"/>
      <w:ind w:left="567" w:hanging="567"/>
    </w:pPr>
  </w:style>
  <w:style w:type="paragraph" w:styleId="Header">
    <w:name w:val="header"/>
    <w:basedOn w:val="Normal"/>
    <w:link w:val="HeaderChar"/>
    <w:rsid w:val="00D96EDF"/>
    <w:pPr>
      <w:tabs>
        <w:tab w:val="center" w:pos="4513"/>
        <w:tab w:val="right" w:pos="9026"/>
      </w:tabs>
    </w:pPr>
  </w:style>
  <w:style w:type="character" w:customStyle="1" w:styleId="HeaderChar">
    <w:name w:val="Header Char"/>
    <w:basedOn w:val="DefaultParagraphFont"/>
    <w:link w:val="Header"/>
    <w:rsid w:val="00D96EDF"/>
    <w:rPr>
      <w:sz w:val="24"/>
      <w:lang w:val="hr-HR"/>
    </w:rPr>
  </w:style>
  <w:style w:type="paragraph" w:customStyle="1" w:styleId="EPFooter">
    <w:name w:val="EPFooter"/>
    <w:basedOn w:val="Normal"/>
    <w:rsid w:val="00D96EDF"/>
    <w:pPr>
      <w:tabs>
        <w:tab w:val="center" w:pos="4535"/>
        <w:tab w:val="right" w:pos="9071"/>
      </w:tabs>
      <w:spacing w:before="240" w:after="240"/>
    </w:pPr>
    <w:rPr>
      <w:color w:val="010000"/>
      <w:sz w:val="22"/>
    </w:rPr>
  </w:style>
  <w:style w:type="paragraph" w:customStyle="1" w:styleId="EPComma">
    <w:name w:val="EPComma"/>
    <w:basedOn w:val="Normal"/>
    <w:rsid w:val="00D96EDF"/>
    <w:pPr>
      <w:spacing w:before="480" w:after="240"/>
    </w:pPr>
  </w:style>
  <w:style w:type="character" w:styleId="Hyperlink">
    <w:name w:val="Hyperlink"/>
    <w:basedOn w:val="DefaultParagraphFont"/>
    <w:uiPriority w:val="99"/>
    <w:rsid w:val="00D96EDF"/>
    <w:rPr>
      <w:color w:val="0563C1" w:themeColor="hyperlink"/>
      <w:u w:val="single"/>
    </w:rPr>
  </w:style>
  <w:style w:type="character" w:customStyle="1" w:styleId="NormalHanging12aChar">
    <w:name w:val="NormalHanging12a Char"/>
    <w:basedOn w:val="DefaultParagraphFont"/>
    <w:link w:val="NormalHanging12a"/>
    <w:locked/>
    <w:rsid w:val="00D96EDF"/>
    <w:rPr>
      <w:sz w:val="24"/>
      <w:lang w:val="hr-HR"/>
    </w:rPr>
  </w:style>
  <w:style w:type="paragraph" w:customStyle="1" w:styleId="Titreobjet">
    <w:name w:val="Titre objet"/>
    <w:basedOn w:val="Normal"/>
    <w:next w:val="Normal"/>
    <w:rsid w:val="00D96EDF"/>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D96EDF"/>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D96EDF"/>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D96EDF"/>
    <w:rPr>
      <w:rFonts w:ascii="Arial" w:hAnsi="Arial" w:cs="Arial"/>
      <w:b/>
      <w:sz w:val="24"/>
      <w:lang w:val="hr-HR"/>
    </w:rPr>
  </w:style>
  <w:style w:type="paragraph" w:styleId="Revision">
    <w:name w:val="Revision"/>
    <w:hidden/>
    <w:uiPriority w:val="99"/>
    <w:semiHidden/>
    <w:rsid w:val="00F74680"/>
    <w:rPr>
      <w:sz w:val="24"/>
      <w:lang w:val="hr-HR"/>
    </w:rPr>
  </w:style>
  <w:style w:type="character" w:styleId="FollowedHyperlink">
    <w:name w:val="FollowedHyperlink"/>
    <w:basedOn w:val="DefaultParagraphFont"/>
    <w:rsid w:val="00F746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1632</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2026-08-31T15:24:00Z</dcterms:created>
  <dcterms:modified xsi:type="dcterms:W3CDTF">2026-08-31T15:24:00Z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P10_TA(2026)0201_</vt:lpwstr>
  </property>
  <property fmtid="{D5CDD505-2E9C-101B-9397-08002B2CF9AE}" pid="4" name="&lt;Type&gt;">
    <vt:lpwstr>RR</vt:lpwstr>
  </property>
</Properties>
</file>