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5FA55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6A99" w:rsidP="0010095E" w14:paraId="3ADDC1EB" w14:textId="77777777">
            <w:pPr>
              <w:pStyle w:val="EPName"/>
            </w:pPr>
            <w:r w:rsidRPr="000F6A99">
              <w:t>Európai Parlament</w:t>
            </w:r>
          </w:p>
          <w:p w:rsidR="00751A4A" w:rsidRPr="000F6A99" w:rsidP="005F1B17" w14:paraId="6865275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6A99">
              <w:t>2024</w:t>
            </w:r>
            <w:r w:rsidRPr="000F6A99" w:rsidR="00817416">
              <w:t>-202</w:t>
            </w:r>
            <w:r w:rsidRPr="000F6A9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6A99" w:rsidP="0010095E" w14:paraId="0BA22B31" w14:textId="77777777">
            <w:pPr>
              <w:pStyle w:val="EPLogo"/>
            </w:pPr>
            <w:r w:rsidRPr="000F6A9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6A99" w:rsidP="004C5D52" w14:paraId="5B568000" w14:textId="77777777">
      <w:pPr>
        <w:pStyle w:val="LineTop"/>
      </w:pPr>
    </w:p>
    <w:p w:rsidR="00680577" w:rsidRPr="000F6A99" w:rsidP="00680577" w14:paraId="20795CD7" w14:textId="77777777">
      <w:pPr>
        <w:pStyle w:val="EPBodyTA1"/>
      </w:pPr>
      <w:r w:rsidRPr="000F6A99">
        <w:t>ELFOGADOTT SZÖVEGEK</w:t>
      </w:r>
    </w:p>
    <w:p w:rsidR="00D058B8" w:rsidRPr="000F6A99" w:rsidP="00D058B8" w14:paraId="6AEB599A" w14:textId="77777777">
      <w:pPr>
        <w:pStyle w:val="LineBottom"/>
      </w:pPr>
    </w:p>
    <w:p w:rsidR="009B0839" w:rsidRPr="000F6A99" w:rsidP="009B0839" w14:paraId="61D95D4F" w14:textId="4828E59B">
      <w:pPr>
        <w:pStyle w:val="ATHeading1"/>
      </w:pPr>
      <w:bookmarkStart w:id="0" w:name="TANumber"/>
      <w:r w:rsidRPr="000F6A99">
        <w:t>P10_</w:t>
      </w:r>
      <w:r w:rsidRPr="000F6A99">
        <w:t>TA(</w:t>
      </w:r>
      <w:r w:rsidRPr="000F6A99">
        <w:t>2026)0</w:t>
      </w:r>
      <w:r w:rsidRPr="000F6A99" w:rsidR="000F6A99">
        <w:t>201</w:t>
      </w:r>
      <w:bookmarkEnd w:id="0"/>
    </w:p>
    <w:p w:rsidR="009B0839" w:rsidRPr="000F6A99" w:rsidP="001C0289" w14:paraId="6ADD7CFC" w14:textId="553F0607">
      <w:pPr>
        <w:pStyle w:val="ATHeading2"/>
      </w:pPr>
      <w:bookmarkStart w:id="1" w:name="title"/>
      <w:bookmarkStart w:id="2" w:name="_Hlk232407311"/>
      <w:r w:rsidRPr="000F6A99">
        <w:t>A</w:t>
      </w:r>
      <w:r w:rsidRPr="000F6A99" w:rsidR="002F7922">
        <w:t xml:space="preserve">z elbocsátott munkavállalók támogatását szolgáló </w:t>
      </w:r>
      <w:r w:rsidRPr="000F6A99">
        <w:t>Európai Globalizációs Alkalmazkodási Alap igénybevétele:</w:t>
      </w:r>
      <w:bookmarkEnd w:id="1"/>
      <w:r w:rsidRPr="000F6A99">
        <w:t xml:space="preserve"> Belgium EGF/2025/009 BE/</w:t>
      </w:r>
      <w:r w:rsidRPr="000F6A99">
        <w:t>Soliver</w:t>
      </w:r>
      <w:r w:rsidRPr="000F6A99">
        <w:t xml:space="preserve"> referenciaszámú kérelme</w:t>
      </w:r>
      <w:bookmarkEnd w:id="2"/>
    </w:p>
    <w:p w:rsidR="009B0839" w:rsidRPr="000F6A99" w:rsidP="009B0839" w14:paraId="4E10AEDB" w14:textId="77777777">
      <w:pPr>
        <w:rPr>
          <w:i/>
          <w:vanish/>
        </w:rPr>
      </w:pPr>
      <w:r>
        <w:rPr>
          <w:i/>
        </w:rPr>
        <w:fldChar w:fldCharType="begin"/>
      </w:r>
      <w:r w:rsidRPr="000F6A99">
        <w:rPr>
          <w:i/>
        </w:rPr>
        <w:instrText xml:space="preserve"> TC"(</w:instrText>
      </w:r>
      <w:bookmarkStart w:id="3" w:name="DocNumber"/>
      <w:r w:rsidRPr="000F6A99">
        <w:rPr>
          <w:i/>
        </w:rPr>
        <w:instrText>A10-0149/2026</w:instrText>
      </w:r>
      <w:bookmarkEnd w:id="3"/>
      <w:r w:rsidRPr="000F6A99">
        <w:rPr>
          <w:i/>
        </w:rPr>
        <w:instrText xml:space="preserve"> - Előadó: Bogdan Rzońca)"\l3 \n&gt; \* MERGEFORMAT </w:instrText>
      </w:r>
      <w:r>
        <w:rPr>
          <w:i/>
        </w:rPr>
        <w:fldChar w:fldCharType="end"/>
      </w:r>
    </w:p>
    <w:p w:rsidR="009B0839" w:rsidRPr="000F6A99" w:rsidP="009B0839" w14:paraId="7110E331" w14:textId="77777777">
      <w:pPr>
        <w:rPr>
          <w:vanish/>
        </w:rPr>
      </w:pPr>
      <w:bookmarkStart w:id="4" w:name="Commission"/>
      <w:r w:rsidRPr="000F6A99">
        <w:rPr>
          <w:vanish/>
        </w:rPr>
        <w:t>Költségvetési Bizottság</w:t>
      </w:r>
      <w:bookmarkEnd w:id="4"/>
    </w:p>
    <w:p w:rsidR="009B0839" w:rsidRPr="000F6A99" w:rsidP="009B0839" w14:paraId="2FE8D4A0" w14:textId="77777777">
      <w:pPr>
        <w:rPr>
          <w:vanish/>
        </w:rPr>
      </w:pPr>
      <w:bookmarkStart w:id="5" w:name="PE"/>
      <w:r w:rsidRPr="000F6A99">
        <w:rPr>
          <w:vanish/>
        </w:rPr>
        <w:t>PE787.923</w:t>
      </w:r>
      <w:bookmarkEnd w:id="5"/>
    </w:p>
    <w:p w:rsidR="009B0839" w:rsidRPr="000F6A99" w:rsidP="009B0839" w14:paraId="1231C17D" w14:textId="50E71DFD">
      <w:pPr>
        <w:pStyle w:val="ATHeading3"/>
      </w:pPr>
      <w:bookmarkStart w:id="6" w:name="Sujet"/>
      <w:r w:rsidRPr="000F6A99">
        <w:t xml:space="preserve">Az Európai Parlament 2026. </w:t>
      </w:r>
      <w:r w:rsidRPr="000F6A99" w:rsidR="000D011A">
        <w:t>június 16</w:t>
      </w:r>
      <w:r w:rsidRPr="000F6A99">
        <w:t>-i állásfoglalása az elbocsátott munkavállalók támogatását szolgáló Európai Globalizációs Alkalmazkodási Alapnak Belgium EGF/2025/009 BE/</w:t>
      </w:r>
      <w:r w:rsidRPr="000F6A99">
        <w:t>Soliver</w:t>
      </w:r>
      <w:r w:rsidRPr="000F6A99">
        <w:t xml:space="preserve"> referenciaszámú kérelme nyomán történő igénybevételéről szóló európai parlamenti és tanácsi határozatra irányuló javaslatról</w:t>
      </w:r>
      <w:bookmarkEnd w:id="6"/>
      <w:r w:rsidRPr="000F6A99">
        <w:t xml:space="preserve"> </w:t>
      </w:r>
      <w:bookmarkStart w:id="7" w:name="References"/>
      <w:r w:rsidRPr="000F6A99">
        <w:t>(</w:t>
      </w:r>
      <w:r w:rsidRPr="000F6A99">
        <w:t>COM(</w:t>
      </w:r>
      <w:r w:rsidRPr="000F6A99">
        <w:t>2026)0050 – C10-0111/2026 – 2026/0097(BUD))</w:t>
      </w:r>
      <w:bookmarkEnd w:id="7"/>
    </w:p>
    <w:p w:rsidR="00754B73" w:rsidRPr="000F6A99" w:rsidP="00754B73" w14:paraId="2BE895F2" w14:textId="77777777">
      <w:pPr>
        <w:pStyle w:val="EPComma"/>
        <w:rPr>
          <w:noProof/>
        </w:rPr>
      </w:pPr>
      <w:r w:rsidRPr="000F6A99">
        <w:rPr>
          <w:i/>
        </w:rPr>
        <w:t>Az Európai Parlament,</w:t>
      </w:r>
    </w:p>
    <w:p w:rsidR="00754B73" w:rsidRPr="000F6A99" w:rsidP="000D011A" w14:paraId="14CD2A27" w14:textId="32DB417D">
      <w:pPr>
        <w:pStyle w:val="NormalHanging12a"/>
        <w:widowControl/>
        <w:rPr>
          <w:noProof/>
        </w:rPr>
      </w:pPr>
      <w:r w:rsidRPr="000F6A99">
        <w:t>–</w:t>
      </w:r>
      <w:r w:rsidRPr="000F6A99">
        <w:tab/>
        <w:t>tekintettel a Bizottságnak az Európai Parlamenthez és a Tanácshoz intézett javaslatára (</w:t>
      </w:r>
      <w:r w:rsidRPr="000F6A99">
        <w:t>COM(</w:t>
      </w:r>
      <w:r w:rsidRPr="000F6A99">
        <w:t>2026)0050 – C10</w:t>
      </w:r>
      <w:r w:rsidRPr="000F6A99">
        <w:noBreakHyphen/>
        <w:t>0111/2026),</w:t>
      </w:r>
    </w:p>
    <w:p w:rsidR="00754B73" w:rsidRPr="000F6A99" w:rsidP="000D011A" w14:paraId="1DD6C75A" w14:textId="206C15C7">
      <w:pPr>
        <w:pStyle w:val="NormalHanging12a"/>
        <w:widowControl/>
      </w:pPr>
      <w:r w:rsidRPr="000F6A99">
        <w:t>–</w:t>
      </w:r>
      <w:r w:rsidRPr="000F6A99">
        <w:tab/>
        <w:t>tekintettel az elbocsátott munkavállalók támogatását szolgáló Európai Globalizációs Alkalmazkodási Alapról (EGAA) és az 1309/2013/EU rendelet hatályon kívül helyezéséről szóló, az (EU) 2026/1139 rendelettel</w:t>
      </w:r>
      <w:r>
        <w:rPr>
          <w:vertAlign w:val="superscript"/>
        </w:rPr>
        <w:footnoteReference w:id="2"/>
      </w:r>
      <w:r w:rsidRPr="000F6A99">
        <w:t xml:space="preserve"> módosított, 2021. április 28-i (EU) 2021/691 európai parlamenti és tanácsi rendeletre</w:t>
      </w:r>
      <w:r>
        <w:rPr>
          <w:vertAlign w:val="superscript"/>
        </w:rPr>
        <w:footnoteReference w:id="3"/>
      </w:r>
      <w:r w:rsidRPr="000F6A99">
        <w:t xml:space="preserve"> (a továbbiakban: EGAA-rendelet), </w:t>
      </w:r>
    </w:p>
    <w:p w:rsidR="00754B73" w:rsidRPr="000F6A99" w:rsidP="000D011A" w14:paraId="53AA8F7A" w14:textId="77777777">
      <w:pPr>
        <w:pStyle w:val="NormalHanging12a"/>
        <w:widowControl/>
        <w:rPr>
          <w:noProof/>
        </w:rPr>
      </w:pPr>
      <w:r w:rsidRPr="000F6A99">
        <w:t>–</w:t>
      </w:r>
      <w:r w:rsidRPr="000F6A99">
        <w:tab/>
        <w:t>tekintettel az (EU, Euratom) 2024/765 rendelettel</w:t>
      </w:r>
      <w:r>
        <w:rPr>
          <w:noProof/>
          <w:vertAlign w:val="superscript"/>
        </w:rPr>
        <w:footnoteReference w:id="4"/>
      </w:r>
      <w:r w:rsidRPr="000F6A99">
        <w:t xml:space="preserve"> módosított, a 2021–2027-es időszakra vonatkozó többéves pénzügyi keretről szóló, 2020. december 17-i (EU, Euratom) 2020/2093 tanácsi rendeletre</w:t>
      </w:r>
      <w:r>
        <w:rPr>
          <w:noProof/>
          <w:vertAlign w:val="superscript"/>
        </w:rPr>
        <w:footnoteReference w:id="5"/>
      </w:r>
      <w:r w:rsidRPr="000F6A99">
        <w:t xml:space="preserve"> és különösen annak 8. cikkére,</w:t>
      </w:r>
    </w:p>
    <w:p w:rsidR="00754B73" w:rsidRPr="000F6A99" w:rsidP="000D011A" w14:paraId="514F159C" w14:textId="77777777">
      <w:pPr>
        <w:pStyle w:val="NormalHanging12a"/>
        <w:widowControl/>
        <w:rPr>
          <w:noProof/>
        </w:rPr>
      </w:pPr>
      <w:r w:rsidRPr="000F6A99">
        <w:t>–</w:t>
      </w:r>
      <w:r w:rsidRPr="000F6A99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</w:t>
      </w:r>
      <w:r w:rsidRPr="000F6A99">
        <w:t>saját források bevezetésére irányuló ütemtervről szóló, 2020. december 16-i intézményközi megállapodásra</w:t>
      </w:r>
      <w:r>
        <w:rPr>
          <w:rStyle w:val="FootnoteReference"/>
          <w:noProof/>
        </w:rPr>
        <w:footnoteReference w:id="6"/>
      </w:r>
      <w:r w:rsidRPr="000F6A99">
        <w:t xml:space="preserve"> és különösen annak 9. pontjára,</w:t>
      </w:r>
    </w:p>
    <w:p w:rsidR="00754B73" w:rsidRPr="000F6A99" w:rsidP="000D011A" w14:paraId="61FCD6CA" w14:textId="77777777">
      <w:pPr>
        <w:pStyle w:val="NormalHanging12a"/>
        <w:widowControl/>
      </w:pPr>
      <w:r w:rsidRPr="000F6A99">
        <w:t>–</w:t>
      </w:r>
      <w:r w:rsidRPr="000F6A99">
        <w:tab/>
        <w:t>tekintettel a szociális jogok európai pillérére,</w:t>
      </w:r>
    </w:p>
    <w:p w:rsidR="00754B73" w:rsidRPr="000F6A99" w:rsidP="000D011A" w14:paraId="3BC8EA69" w14:textId="77777777">
      <w:pPr>
        <w:pStyle w:val="NormalHanging12a"/>
        <w:widowControl/>
      </w:pPr>
      <w:r w:rsidRPr="000F6A99">
        <w:t>–</w:t>
      </w:r>
      <w:r w:rsidRPr="000F6A99">
        <w:tab/>
        <w:t>tekintettel a Foglalkoztatási és Szociális Bizottság levelére,</w:t>
      </w:r>
    </w:p>
    <w:p w:rsidR="00754B73" w:rsidRPr="000F6A99" w:rsidP="000D011A" w14:paraId="25D58E9F" w14:textId="77777777">
      <w:pPr>
        <w:pStyle w:val="NormalHanging12a"/>
        <w:widowControl/>
      </w:pPr>
      <w:r w:rsidRPr="000F6A99">
        <w:t>–</w:t>
      </w:r>
      <w:r w:rsidRPr="000F6A99">
        <w:tab/>
        <w:t>tekintettel a Költségvetési Bizottság jelentésére (A10-0149/2026),</w:t>
      </w:r>
    </w:p>
    <w:p w:rsidR="00754B73" w:rsidRPr="000F6A99" w:rsidP="000D011A" w14:paraId="0CCD2063" w14:textId="2F77C109">
      <w:pPr>
        <w:pStyle w:val="NormalHanging12a"/>
        <w:widowControl/>
      </w:pPr>
      <w:r w:rsidRPr="000F6A99">
        <w:t>A.</w:t>
      </w:r>
      <w:r w:rsidRPr="000F6A99">
        <w:tab/>
        <w:t>mivel az Unió létrehozta a megfelelő jogalkotási és költségvetési eszközöket ahhoz, hogy további támogatást nyújtson a világkereskedelem fő strukturális eseményeinek és változásainak következményei által sújtott munkavállalóknak, és támogassa újbóli munkaerő-piaci beilleszkedésüket, mivel ez a támogatás a munkavállalóknak nyújtott pénzügyi támogatáson keresztül valósul meg;</w:t>
      </w:r>
      <w:r w:rsidRPr="000F6A99" w:rsidR="002F7922">
        <w:t xml:space="preserve"> </w:t>
      </w:r>
      <w:r w:rsidRPr="000F6A99">
        <w:t>mivel az európai ipar versenyképességének fenntartása, valamint az innovációba és a készségekbe történő beruházások megerősítése elengedhetetlen ahhoz, hogy Unió-szerte meg lehessen előzni az ipar további visszaesését és a munkahelyek megszűnését;</w:t>
      </w:r>
    </w:p>
    <w:p w:rsidR="00754B73" w:rsidRPr="000F6A99" w:rsidP="000D011A" w14:paraId="34603967" w14:textId="77777777">
      <w:pPr>
        <w:pStyle w:val="NormalHanging12a"/>
        <w:widowControl/>
      </w:pPr>
      <w:r w:rsidRPr="000F6A99">
        <w:t>B.</w:t>
      </w:r>
      <w:r w:rsidRPr="000F6A99">
        <w:tab/>
        <w:t>mivel Belgium „EGF/2025/009 BE/</w:t>
      </w:r>
      <w:r w:rsidRPr="000F6A99">
        <w:t>Soliver</w:t>
      </w:r>
      <w:r w:rsidRPr="000F6A99">
        <w:t>” referenciaszámmal kérelmet nyújtott be az EGAA-</w:t>
      </w:r>
      <w:r w:rsidRPr="000F6A99">
        <w:t>ból</w:t>
      </w:r>
      <w:r w:rsidRPr="000F6A99">
        <w:t xml:space="preserve"> igénybe vehető pénzügyi hozzájárulás iránt a NACE </w:t>
      </w:r>
      <w:r w:rsidRPr="000F6A99">
        <w:t>Rev</w:t>
      </w:r>
      <w:r w:rsidRPr="000F6A99">
        <w:t xml:space="preserve">. 2. rendszer szerinti 46. ágazatban (Nagykereskedelem) a </w:t>
      </w:r>
      <w:r w:rsidRPr="000F6A99">
        <w:t>Provincie</w:t>
      </w:r>
      <w:r w:rsidRPr="000F6A99">
        <w:t xml:space="preserve"> </w:t>
      </w:r>
      <w:r w:rsidRPr="000F6A99">
        <w:t>Oost-Vlaanderen</w:t>
      </w:r>
      <w:r w:rsidRPr="000F6A99">
        <w:t xml:space="preserve"> (BE23) és a </w:t>
      </w:r>
      <w:r w:rsidRPr="000F6A99">
        <w:t>Provincie</w:t>
      </w:r>
      <w:r w:rsidRPr="000F6A99">
        <w:t xml:space="preserve"> West-</w:t>
      </w:r>
      <w:r w:rsidRPr="000F6A99">
        <w:t>Vlaanderen</w:t>
      </w:r>
      <w:r w:rsidRPr="000F6A99">
        <w:t xml:space="preserve"> (BE25), Flandria régióban a </w:t>
      </w:r>
      <w:r w:rsidRPr="000F6A99">
        <w:t>Soliver</w:t>
      </w:r>
      <w:r w:rsidRPr="000F6A99">
        <w:t xml:space="preserve"> NV-nél (</w:t>
      </w:r>
      <w:r w:rsidRPr="000F6A99">
        <w:t>Soliver</w:t>
      </w:r>
      <w:r w:rsidRPr="000F6A99">
        <w:t>) a 2025. július 1-jétől 2025. november 1-jéig tartó referencia-időszakban történt 803 elbocsátást követően</w:t>
      </w:r>
      <w:r>
        <w:rPr>
          <w:vertAlign w:val="superscript"/>
        </w:rPr>
        <w:footnoteReference w:id="7"/>
      </w:r>
      <w:r w:rsidRPr="000F6A99">
        <w:t>;</w:t>
      </w:r>
    </w:p>
    <w:p w:rsidR="00754B73" w:rsidRPr="000F6A99" w:rsidP="000D011A" w14:paraId="6A86EA2D" w14:textId="77777777">
      <w:pPr>
        <w:pStyle w:val="NormalHanging12a"/>
        <w:widowControl/>
      </w:pPr>
      <w:r w:rsidRPr="000F6A99">
        <w:t>C.</w:t>
      </w:r>
      <w:r w:rsidRPr="000F6A99">
        <w:tab/>
        <w:t>mivel a kérelem az EGAA-rendelet 4. cikke (2) bekezdésének a) pontjában meghatározott beavatkozási kritériumokon alapul;</w:t>
      </w:r>
    </w:p>
    <w:p w:rsidR="00754B73" w:rsidRPr="000F6A99" w:rsidP="000D011A" w14:paraId="54D29E4F" w14:textId="77777777">
      <w:pPr>
        <w:pStyle w:val="NormalHanging12a"/>
        <w:widowControl/>
        <w:rPr>
          <w:noProof/>
        </w:rPr>
      </w:pPr>
      <w:r w:rsidRPr="000F6A99">
        <w:t>D.</w:t>
      </w:r>
      <w:r w:rsidRPr="000F6A99">
        <w:tab/>
        <w:t xml:space="preserve">mivel a </w:t>
      </w:r>
      <w:r w:rsidRPr="000F6A99">
        <w:t>Soliver</w:t>
      </w:r>
      <w:r w:rsidRPr="000F6A99">
        <w:t xml:space="preserve"> 2024 decemberében csődöt jelentett; mivel Belgiumban 2022 óta emelkedik a csődök száma, és a munkanélküliség súlyosan érinti Flandria több régióját;</w:t>
      </w:r>
    </w:p>
    <w:p w:rsidR="00754B73" w:rsidRPr="000F6A99" w:rsidP="000D011A" w14:paraId="2F100DFF" w14:textId="77777777">
      <w:pPr>
        <w:pStyle w:val="NormalHanging12a"/>
        <w:widowControl/>
        <w:rPr>
          <w:bCs/>
          <w:iCs/>
          <w:noProof/>
        </w:rPr>
      </w:pPr>
      <w:r w:rsidRPr="000F6A99">
        <w:t>E.</w:t>
      </w:r>
      <w:r w:rsidRPr="000F6A99">
        <w:tab/>
        <w:t xml:space="preserve">mivel a </w:t>
      </w:r>
      <w:r w:rsidRPr="000F6A99">
        <w:t>Soliver</w:t>
      </w:r>
      <w:r w:rsidRPr="000F6A99">
        <w:t xml:space="preserve"> bezárása által érintett munkaerő jelentős részét idősebb munkavállalók teszik ki, akik a munkaerőpiaci visszailleszkedés sajátos és összetett akadályaival szembesülnek, beleértve az életkoron alapuló megkülönböztetést, a strukturális munkaerőhiányt és az átképzési lehetőségekhez való korlátozott hozzáférést; mivel célzott intézkedéseket kell bevezetni az idősebb munkavállalók sajátos igényeinek kezelése érdekében, beleértve az életkornak megfelelő képzési formákat, a mentorálást és az életkor tekintetében sokszínű munkaerő-felvétel mellett elkötelezett munkáltatókkal való együttműködést;</w:t>
      </w:r>
    </w:p>
    <w:p w:rsidR="00754B73" w:rsidRPr="000F6A99" w:rsidP="000D011A" w14:paraId="15F5CC8D" w14:textId="77777777">
      <w:pPr>
        <w:pStyle w:val="NormalHanging12a"/>
        <w:widowControl/>
      </w:pPr>
      <w:r w:rsidRPr="000F6A99">
        <w:t>F.</w:t>
      </w:r>
      <w:r w:rsidRPr="000F6A99">
        <w:tab/>
        <w:t>mivel a VDAB biztosítja az intézkedések nemzeti előfinanszírozását és társfinanszírozását;</w:t>
      </w:r>
    </w:p>
    <w:p w:rsidR="00754B73" w:rsidRPr="000F6A99" w:rsidP="000D011A" w14:paraId="11B4F9B1" w14:textId="77777777">
      <w:pPr>
        <w:pStyle w:val="NormalHanging12a"/>
        <w:widowControl/>
      </w:pPr>
      <w:r w:rsidRPr="000F6A99">
        <w:t>G.</w:t>
      </w:r>
      <w:r w:rsidRPr="000F6A99">
        <w:tab/>
        <w:t>mivel az uniós és nemzeti jogszabályokban a csoportos létszámleépítésekre vonatkozóan előírt követelményeket tiszteletben tartották;</w:t>
      </w:r>
    </w:p>
    <w:p w:rsidR="00754B73" w:rsidRPr="000F6A99" w:rsidP="000D011A" w14:paraId="66DBC52E" w14:textId="77777777">
      <w:pPr>
        <w:pStyle w:val="NormalHanging12a"/>
        <w:widowControl/>
      </w:pPr>
      <w:r w:rsidRPr="000F6A99">
        <w:t>H.</w:t>
      </w:r>
      <w:r w:rsidRPr="000F6A99">
        <w:tab/>
        <w:t>mivel az EGAA-</w:t>
      </w:r>
      <w:r w:rsidRPr="000F6A99">
        <w:t>ból</w:t>
      </w:r>
      <w:r w:rsidRPr="000F6A99">
        <w:t xml:space="preserve"> nyújtott pénzügyi hozzájárulásoknak elsősorban olyan aktív munkaerőpiaci szakpolitikai intézkedésekre és személyre szabott szolgáltatásokra kell </w:t>
      </w:r>
      <w:r w:rsidRPr="000F6A99">
        <w:t>irányulniuk, amelyek célja a kedvezményezettek tartós és minőségi foglalkoztatási feltételek melletti munkaerőpiaci visszailleszkedése, miközben készségfejlesztést kínálnak számukra a munkaerőpiacra való visszailleszkedésük megkönnyítése érdekében;</w:t>
      </w:r>
    </w:p>
    <w:p w:rsidR="00754B73" w:rsidRPr="000F6A99" w:rsidP="000D011A" w14:paraId="1828534D" w14:textId="77777777">
      <w:pPr>
        <w:pStyle w:val="NormalHanging12a"/>
        <w:widowControl/>
      </w:pPr>
      <w:r w:rsidRPr="000F6A99">
        <w:t>I.</w:t>
      </w:r>
      <w:r w:rsidRPr="000F6A99">
        <w:tab/>
        <w:t>mivel az EGAA éves maximális összege (2018-as árakon számítva) nem haladhatja meg a 30 millió EUR-t</w:t>
      </w:r>
      <w:r>
        <w:rPr>
          <w:rStyle w:val="FootnoteReference"/>
        </w:rPr>
        <w:footnoteReference w:id="8"/>
      </w:r>
      <w:r w:rsidRPr="000F6A99">
        <w:t>;</w:t>
      </w:r>
    </w:p>
    <w:p w:rsidR="00754B73" w:rsidRPr="000F6A99" w:rsidP="000D011A" w14:paraId="5E105F6D" w14:textId="77777777">
      <w:pPr>
        <w:pStyle w:val="NormalHanging12a"/>
        <w:widowControl/>
      </w:pPr>
      <w:r w:rsidRPr="000F6A99">
        <w:t>1.</w:t>
      </w:r>
      <w:r w:rsidRPr="000F6A99">
        <w:tab/>
        <w:t xml:space="preserve">egyetért a Bizottsággal abban, hogy az EGAA-rendeletben és különösen annak 4. cikke (2) bekezdésének a) pontjában meghatározott feltételek teljesülnek, és hogy Belgium az említett rendelet értelmében 2 132 535 EUR összegű pénzügyi hozzájárulásra jogosult, amely 85%-a </w:t>
      </w:r>
      <w:r w:rsidRPr="000F6A99">
        <w:t>a</w:t>
      </w:r>
      <w:r w:rsidRPr="000F6A99">
        <w:t xml:space="preserve"> 2 508 865 EUR-s összköltségnek, amely a személyre szabott szolgáltatásokra fordított 2 412 465 EUR, továbbá az előkészítő, irányítási, tájékoztatási és nyilvánossággal kapcsolatos, valamint az ellenőrzési és jelentéstételi tevékenységekre fordított 96 400 EUR összegű kiadásokat foglalja magában;</w:t>
      </w:r>
    </w:p>
    <w:p w:rsidR="00754B73" w:rsidRPr="000F6A99" w:rsidP="000D011A" w14:paraId="3529CA1D" w14:textId="77777777">
      <w:pPr>
        <w:pStyle w:val="NormalHanging12a"/>
        <w:widowControl/>
      </w:pPr>
      <w:r w:rsidRPr="000F6A99">
        <w:t>2.</w:t>
      </w:r>
      <w:r w:rsidRPr="000F6A99">
        <w:tab/>
        <w:t>megjegyzi, hogy a belga hatóságok 2025. december 22-én nyújtották be a kérelmet, és hogy a Belgiumtól kapott kiegészítő információk kézhezvételét követően a Bizottság a határidő előtt közel egy hónappal, 2026. április 30-án véglegesítette értékelését, és erről ugyanazon a napon értesítette a Parlamentet; hangsúlyozza annak fontosságát, hogy lerövidítsék az EGAA-támogatás iránti kérelem benyújtása és a finanszírozási határozat közötti időt, ugyanakkor teljes mértékben védjék az Európai Parlamentnek mint a költségvetési hatóság egyik ágának jogait;</w:t>
      </w:r>
    </w:p>
    <w:p w:rsidR="00754B73" w:rsidRPr="000F6A99" w:rsidP="000D011A" w14:paraId="1F3B9B7F" w14:textId="77777777">
      <w:pPr>
        <w:pStyle w:val="NormalHanging12a"/>
        <w:widowControl/>
        <w:rPr>
          <w:noProof/>
        </w:rPr>
      </w:pPr>
      <w:r w:rsidRPr="000F6A99">
        <w:t>3.</w:t>
      </w:r>
      <w:r w:rsidRPr="000F6A99">
        <w:tab/>
        <w:t xml:space="preserve">megállapítja, hogy a kérelem a </w:t>
      </w:r>
      <w:r w:rsidRPr="000F6A99">
        <w:t>Soliver</w:t>
      </w:r>
      <w:r w:rsidRPr="000F6A99">
        <w:t xml:space="preserve"> vállalattól elbocsátott 803 megcélzott kedvezményezettre vonatkozik;</w:t>
      </w:r>
    </w:p>
    <w:p w:rsidR="00754B73" w:rsidRPr="000F6A99" w:rsidP="000D011A" w14:paraId="4CC90C43" w14:textId="77777777">
      <w:pPr>
        <w:pStyle w:val="NormalHanging12a"/>
        <w:widowControl/>
      </w:pPr>
      <w:r w:rsidRPr="000F6A99">
        <w:t>4.</w:t>
      </w:r>
      <w:r w:rsidRPr="000F6A99">
        <w:tab/>
        <w:t xml:space="preserve">tudomásul veszi, hogy az építőipari és gépjárműipari üvegtermékeket gyártó </w:t>
      </w:r>
      <w:r w:rsidRPr="000F6A99">
        <w:t>Soliver</w:t>
      </w:r>
      <w:r w:rsidRPr="000F6A99">
        <w:t xml:space="preserve"> az American </w:t>
      </w:r>
      <w:r w:rsidRPr="000F6A99">
        <w:t>Glass</w:t>
      </w:r>
      <w:r w:rsidRPr="000F6A99">
        <w:t xml:space="preserve"> Products Holding (AGP) általi 2018-as felvásárlását követően kizárólag csúcstechnológiás gépjárműipari üvegre helyezte át a hangsúlyt; megjegyzi, hogy a vállalat nehézségekbe ütközött, főként a gépjárműipar visszaesése miatt, amely azon autómodellek késedelmes gyártásából eredt, amelyekhez a termékeiket gyártották, és ez végül a jövedelmezőség súlyos csökkenéséhez és végső soron csődhöz vezetett;</w:t>
      </w:r>
    </w:p>
    <w:p w:rsidR="00754B73" w:rsidRPr="000F6A99" w:rsidP="000D011A" w14:paraId="57E837DC" w14:textId="77777777">
      <w:pPr>
        <w:pStyle w:val="NormalHanging12a"/>
        <w:widowControl/>
        <w:rPr>
          <w:bCs/>
          <w:iCs/>
        </w:rPr>
      </w:pPr>
      <w:r w:rsidRPr="000F6A99">
        <w:t>5.</w:t>
      </w:r>
      <w:r w:rsidRPr="000F6A99">
        <w:tab/>
        <w:t>megjegyzi, hogy az üvegipar energiaigényes ágazat, amelyet súlyosan érintenek a tartósan magas energiaárak, és jelentősen aláásták annak versenyképességét; hangsúlyozza, hogy a versenyképes energiaárak hosszú távú eléréséhez a megbízható és megfizethető energiaellátás jelentős növelésére van szükség, többek között az energiaforrások és az ellátási útvonalak diverzifikálása, a belföldi energiatermelés fejlesztése és az energiaunió teljes körű megvalósítása révén;</w:t>
      </w:r>
    </w:p>
    <w:p w:rsidR="00754B73" w:rsidRPr="000F6A99" w:rsidP="000D011A" w14:paraId="02B3E4BE" w14:textId="77777777">
      <w:pPr>
        <w:pStyle w:val="NormalHanging12a"/>
        <w:widowControl/>
        <w:rPr>
          <w:bCs/>
          <w:iCs/>
        </w:rPr>
      </w:pPr>
      <w:r w:rsidRPr="000F6A99">
        <w:t>6.</w:t>
      </w:r>
      <w:r w:rsidRPr="000F6A99">
        <w:tab/>
        <w:t xml:space="preserve">megjegyzi, hogy bár a műszaki képzettséggel rendelkező vagy az átképzésre hajlandó munkavállalók rendelkeznek a legkedvezőbb foglalkoztatási kilátásokkal, ez a műszaki szakemberek hiányának tudható be, amely a fiatalok szakképzésben való alacsony részvételéből és a munkaerő-állomány idősödéséből ered; hangsúlyozza, hogy az elbocsátott munkavállalók visszailleszkedése és a magas színvonalú képzési lehetőségekhez való egyenlő hozzáférés biztosítása kulcsfontosságú az erős ipari </w:t>
      </w:r>
      <w:r w:rsidRPr="000F6A99">
        <w:t xml:space="preserve">bázissal rendelkező, időtálló európai gazdaság szempontjából; ezzel összefüggésben hangsúlyozza annak fontosságát, hogy </w:t>
      </w:r>
      <w:r w:rsidRPr="000F6A99">
        <w:t>megerősödjön</w:t>
      </w:r>
      <w:r w:rsidRPr="000F6A99">
        <w:t xml:space="preserve"> az Unió ipari versenyképessége;</w:t>
      </w:r>
    </w:p>
    <w:p w:rsidR="00754B73" w:rsidRPr="000F6A99" w:rsidP="000D011A" w14:paraId="4A5AFD21" w14:textId="77777777">
      <w:pPr>
        <w:pStyle w:val="NormalHanging12a"/>
        <w:widowControl/>
        <w:rPr>
          <w:noProof/>
        </w:rPr>
      </w:pPr>
      <w:r w:rsidRPr="000F6A99">
        <w:t>7.</w:t>
      </w:r>
      <w:r w:rsidRPr="000F6A99">
        <w:tab/>
        <w:t>sajnálatát fejezi ki amiatt, hogy az elmúlt néhány évben a csődök számának növekedése negatív hatással volt a foglalkoztatási rátára Belgium egyes régióiban, különösen Flandriában; hangsúlyozza, hogy Flandriában az elbocsátott idősebb munkavállalók nagyobb akadályokkal szembesülnek a munkaerőpiacra való visszatérés során; felhívja a belga hatóságokat, hogy nyújtsanak célzott támogatást annak érdekében, hogy segítsék a munkavállalókat az új minőségi munkahelyek megtalálásához szükséges készségek továbbfejlesztésében, és egyúttal hozzanak intézkedéseket a csődök csökkentése és a munkavállalók kirekesztéséhez vezető társadalmi egyenlőtlenségek kezelése érdekében;</w:t>
      </w:r>
    </w:p>
    <w:p w:rsidR="00754B73" w:rsidRPr="000F6A99" w:rsidP="000D011A" w14:paraId="1FADA5FF" w14:textId="77777777">
      <w:pPr>
        <w:pStyle w:val="NormalHanging12a"/>
        <w:widowControl/>
      </w:pPr>
      <w:r w:rsidRPr="000F6A99">
        <w:t>8.</w:t>
      </w:r>
      <w:r w:rsidRPr="000F6A99">
        <w:tab/>
        <w:t>emlékeztet arra, hogy a szakértőkkel és a szociális partnerekkel egyetértésben a munkavállalóknak nyújtandó, személyre szabott szolgáltatások a következő intézkedésekből állnak: tapasztalt tanácsadókból és ügyfélkapcsolati menedzserekből álló munkacsoport, amely személyre szabott tanácsadási szolgáltatásokat nyújt; az újbóli elhelyezkedés esélyének javítására irányuló (</w:t>
      </w:r>
      <w:r w:rsidRPr="000F6A99">
        <w:t>outplacement</w:t>
      </w:r>
      <w:r w:rsidRPr="000F6A99">
        <w:t>) szolgáltatások, amelyek egyéni iránymutatást nyújtanak; segítség az álláskereséshez: álláskereséshez nyújtott fokozott segítség: képzés és átképzés, beleértve a munkahelyi képzést is; állásbörzéken való részvétel; hangsúlyozza az olyan, magas színvonalú, jövőorientált munkahelyek előmozdításának fontosságát, amelyek erősítik a versenyképességet és támogatják a digitális átalakulást;</w:t>
      </w:r>
    </w:p>
    <w:p w:rsidR="00754B73" w:rsidRPr="000F6A99" w:rsidP="000D011A" w14:paraId="63C5EB4C" w14:textId="77777777">
      <w:pPr>
        <w:pStyle w:val="NormalHanging12a"/>
        <w:widowControl/>
      </w:pPr>
      <w:r w:rsidRPr="000F6A99">
        <w:t>9.</w:t>
      </w:r>
      <w:r w:rsidRPr="000F6A99">
        <w:tab/>
        <w:t xml:space="preserve">emlékeztet arra, hogy az EGAA a szolidaritás és az igazságos átmenet eszköze, és bár a munkahelyek megszűnését követően támogatást nyújt, nem helyettesítheti a proaktív iparpolitikát; úgy véli, hogy az EGAA igénybevételét minden politikai szinten egy nagyobb szakpolitikai válaszba kell ágyazni annak biztosítása érdekében, hogy az érintett munkavállalók a képesítéseiknek és készségeiknek megfelelő lehetőségeket találjanak; hangsúlyozza, hogy az Unió elsődleges feladatának annak kell lennie, hogy megelőzze az ilyen bezárásokat azáltal, hogy megteremti a feltételeket az ipari termelés versenyképességének megőrzése és a szociális biztonsági rendszerek pénzügyi fenntarthatóságának biztosításához, ugyanakkor beruházásokat eszközöl mind a magasan képzett munkavállalók, mind az ipari munkavállalók készségeibe; hangsúlyozza, hogy a munkavállalók profiljához igazított egyedi támogatást kell nyújtani, ugyanakkor intézkedéseket kell hozni a csődök csökkentése és a munkaerőpiacról való kirekesztéshez vezető társadalmi egyenlőtlenségek kezelése érdekében; hangsúlyozza, hogy a szükségtelen szabályozási és adminisztratív </w:t>
      </w:r>
      <w:r w:rsidRPr="000F6A99">
        <w:t>terhek</w:t>
      </w:r>
      <w:r w:rsidRPr="000F6A99">
        <w:t xml:space="preserve"> csökkentése elengedhetetlen az ipar versenyképességének támogatásához, a beruházások vonzásához és a minőségi munkahelyek megőrzéséhez az Unióban;</w:t>
      </w:r>
    </w:p>
    <w:p w:rsidR="00754B73" w:rsidRPr="000F6A99" w:rsidP="000D011A" w14:paraId="55FE5807" w14:textId="77777777">
      <w:pPr>
        <w:pStyle w:val="NormalHanging12a"/>
        <w:widowControl/>
        <w:rPr>
          <w:bCs/>
          <w:iCs/>
        </w:rPr>
      </w:pPr>
      <w:r w:rsidRPr="000F6A99">
        <w:t>10.</w:t>
      </w:r>
      <w:r w:rsidRPr="000F6A99">
        <w:tab/>
        <w:t>hangsúlyozza, hogy a belga hatóságoknak biztosítaniuk kell az uniós finanszírozás láthatóságát, és ki kell emelniük annak hozzáadott értékét azáltal, hogy hatékony és célzott tájékoztatást nyújtanak a kedvezményezetteknek, a regionális és helyi hatóságoknak, a szociális partnereknek és a szélesebb nyilvánosságnak;</w:t>
      </w:r>
    </w:p>
    <w:p w:rsidR="00754B73" w:rsidRPr="000F6A99" w:rsidP="000D011A" w14:paraId="1983D6F7" w14:textId="77777777">
      <w:pPr>
        <w:pStyle w:val="NormalHanging12a"/>
        <w:widowControl/>
      </w:pPr>
      <w:r w:rsidRPr="000F6A99">
        <w:t>11.</w:t>
      </w:r>
      <w:r w:rsidRPr="000F6A99">
        <w:tab/>
        <w:t>felhívja a Bizottságot, hogy biztosítsa az eszköz egyforma láthatóságát a tagállamokban, és mozdítsa elő annak hozzáadott értékét azáltal, hogy célzott információkat juttat el a nemzeti hatóságokhoz, amelyeknek tovább kell küldeniük ezeket az információkat az elbocsátások által érintett vállalatoknak, a regionális és helyi hatóságoknak, a szociális partnereknek és a szélesebb nyilvánosságnak;</w:t>
      </w:r>
    </w:p>
    <w:p w:rsidR="00754B73" w:rsidRPr="000F6A99" w:rsidP="000D011A" w14:paraId="71DA9413" w14:textId="77777777">
      <w:pPr>
        <w:pStyle w:val="NormalHanging12a"/>
        <w:widowControl/>
        <w:rPr>
          <w:bCs/>
          <w:iCs/>
        </w:rPr>
      </w:pPr>
      <w:r w:rsidRPr="000F6A99">
        <w:t>12.</w:t>
      </w:r>
      <w:r w:rsidRPr="000F6A99">
        <w:tab/>
        <w:t>felszólít a végrehajtott intézkedések alapos végső értékelésére a szociális partnerekkel együtt, beleértve egyértelmű és átlátható információk biztosítását a források felhasználásának módjáról, valamint a munkavállalók munkaerőpiaci visszailleszkedésének és annak értékelését, hogy teljesültek-e az EGAA célkitűzései; ezzel összefüggésben kiemeli az EGAA által finanszírozott intézkedések rendszeres nyomon követésének fontosságát azok hatékonyságának értékelése érdekében;</w:t>
      </w:r>
    </w:p>
    <w:p w:rsidR="00754B73" w:rsidRPr="000F6A99" w:rsidP="000D011A" w14:paraId="696F8EA4" w14:textId="77777777">
      <w:pPr>
        <w:pStyle w:val="NormalHanging12a"/>
        <w:widowControl/>
      </w:pPr>
      <w:r w:rsidRPr="000F6A99">
        <w:t>13.</w:t>
      </w:r>
      <w:r w:rsidRPr="000F6A99">
        <w:tab/>
        <w:t xml:space="preserve">megjegyzi, hogy Belgium 2025. június 1-jén kezdte meg a személyre szabott szolgáltatások nyújtását a célzott kedvezményezetteknek, </w:t>
      </w:r>
      <w:r w:rsidRPr="000F6A99">
        <w:t>valamint</w:t>
      </w:r>
      <w:r w:rsidRPr="000F6A99">
        <w:t xml:space="preserve"> hogy az EGAA végrehajtásával összefüggésben is ettől a naptól kezdődően merültek fel igazgatási kiadások, és hogy az EGAA-</w:t>
      </w:r>
      <w:r w:rsidRPr="000F6A99">
        <w:t>ból</w:t>
      </w:r>
      <w:r w:rsidRPr="000F6A99">
        <w:t xml:space="preserve"> igénybe vehető pénzügyi hozzájárulásra való jogosultság időszaka ezért ettől az időponttól kezdődően a finanszírozási határozat hatálybalépésétől számított 24. hónap és 31. hónap végéig fog tartani;</w:t>
      </w:r>
    </w:p>
    <w:p w:rsidR="00754B73" w:rsidRPr="000F6A99" w:rsidP="000D011A" w14:paraId="77C01F96" w14:textId="77777777">
      <w:pPr>
        <w:pStyle w:val="NormalHanging12a"/>
        <w:widowControl/>
      </w:pPr>
      <w:r w:rsidRPr="000F6A99">
        <w:t>14.</w:t>
      </w:r>
      <w:r w:rsidRPr="000F6A99">
        <w:tab/>
        <w:t>megállapítja,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:rsidR="00754B73" w:rsidRPr="000F6A99" w:rsidP="000D011A" w14:paraId="2088C0EB" w14:textId="77777777">
      <w:pPr>
        <w:pStyle w:val="NormalHanging12a"/>
        <w:widowControl/>
      </w:pPr>
      <w:r w:rsidRPr="000F6A99">
        <w:t>15.</w:t>
      </w:r>
      <w:r w:rsidRPr="000F6A99">
        <w:tab/>
        <w:t>ismételten hangsúlyozza, hogy az EGAA-</w:t>
      </w:r>
      <w:r w:rsidRPr="000F6A99">
        <w:t>ból</w:t>
      </w:r>
      <w:r w:rsidRPr="000F6A99">
        <w:t xml:space="preserve"> nyújtott támogatás nem léphet azon intézkedések helyébe, amelyek a nemzeti jog vagy kollektív szerződések értelmében a hatóságok vagy a vállalkozások felelősségi körébe tartoznak; emlékeztet arra, hogy az EGAA korlátozott, célzott és kiegészítő jellegű mechanizmus;</w:t>
      </w:r>
    </w:p>
    <w:p w:rsidR="00754B73" w:rsidRPr="000F6A99" w:rsidP="000D011A" w14:paraId="395DC1ED" w14:textId="77777777">
      <w:pPr>
        <w:pStyle w:val="NormalHanging12a"/>
        <w:widowControl/>
      </w:pPr>
      <w:r w:rsidRPr="000F6A99">
        <w:t>16.</w:t>
      </w:r>
      <w:r w:rsidRPr="000F6A99">
        <w:tab/>
        <w:t>jóváhagyja a jelen állásfoglaláshoz mellékelt határozatot;</w:t>
      </w:r>
    </w:p>
    <w:p w:rsidR="00754B73" w:rsidRPr="000F6A99" w:rsidP="000D011A" w14:paraId="5CE570AC" w14:textId="77777777">
      <w:pPr>
        <w:pStyle w:val="NormalHanging12a"/>
        <w:widowControl/>
      </w:pPr>
      <w:r w:rsidRPr="000F6A99">
        <w:t>17.</w:t>
      </w:r>
      <w:r w:rsidRPr="000F6A99">
        <w:tab/>
        <w:t xml:space="preserve">utasítja elnökét, hogy a Tanács elnökével együtt írja alá ezt a határozatot, valamint gondoskodjon közzétételéről az </w:t>
      </w:r>
      <w:r w:rsidRPr="000F6A99">
        <w:rPr>
          <w:i/>
          <w:iCs/>
        </w:rPr>
        <w:t>Európai Unió Hivatalos Lapjában</w:t>
      </w:r>
      <w:r w:rsidRPr="000F6A99">
        <w:t>;</w:t>
      </w:r>
    </w:p>
    <w:p w:rsidR="00754B73" w:rsidRPr="000F6A99" w:rsidP="000D011A" w14:paraId="69204C93" w14:textId="77777777">
      <w:pPr>
        <w:pStyle w:val="NormalHanging12a"/>
        <w:widowControl/>
      </w:pPr>
      <w:r w:rsidRPr="000F6A99">
        <w:t>18.</w:t>
      </w:r>
      <w:r w:rsidRPr="000F6A99">
        <w:tab/>
        <w:t>utasítja elnökét, hogy továbbítsa ezt az állásfoglalást és annak mellékletét a Tanácsnak és a Bizottságnak.</w:t>
      </w:r>
    </w:p>
    <w:p w:rsidR="000D011A" w:rsidRPr="000F6A99" w:rsidP="00754B73" w14:paraId="77AD5327" w14:textId="77777777">
      <w:pPr>
        <w:widowControl/>
        <w:sectPr w:rsidSect="00E24C0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B6A3B" w:rsidRPr="00BB6A3B" w:rsidP="00754B73" w14:paraId="641FF172" w14:textId="77777777">
      <w:pPr>
        <w:pStyle w:val="PageHeading"/>
        <w:rPr>
          <w:rFonts w:ascii="Times New Roman" w:hAnsi="Times New Roman" w:cs="Times New Roman"/>
        </w:rPr>
      </w:pPr>
      <w:bookmarkStart w:id="8" w:name="_Toc232167314"/>
      <w:r w:rsidRPr="00BB6A3B">
        <w:rPr>
          <w:rFonts w:ascii="Times New Roman" w:hAnsi="Times New Roman" w:cs="Times New Roman"/>
        </w:rPr>
        <w:t>MELLÉKLET</w:t>
      </w:r>
    </w:p>
    <w:p w:rsidR="00754B73" w:rsidRPr="00BB6A3B" w:rsidP="00754B73" w14:paraId="1610FB16" w14:textId="694EC5D1">
      <w:pPr>
        <w:pStyle w:val="PageHeading"/>
        <w:rPr>
          <w:rFonts w:ascii="Times New Roman" w:hAnsi="Times New Roman" w:cs="Times New Roman"/>
          <w:noProof/>
        </w:rPr>
      </w:pPr>
      <w:r w:rsidRPr="00BB6A3B">
        <w:rPr>
          <w:rFonts w:ascii="Times New Roman" w:hAnsi="Times New Roman" w:cs="Times New Roman"/>
        </w:rPr>
        <w:t>AZ EURÓPAI PARLAMENT ÉS A TANÁCS HATÁROZATA</w:t>
      </w:r>
      <w:bookmarkEnd w:id="8"/>
    </w:p>
    <w:p w:rsidR="00754B73" w:rsidRPr="000F6A99" w:rsidP="00754B73" w14:paraId="247D3703" w14:textId="12C3336B">
      <w:pPr>
        <w:jc w:val="center"/>
        <w:rPr>
          <w:b/>
          <w:bCs/>
          <w:noProof/>
        </w:rPr>
      </w:pPr>
      <w:r w:rsidRPr="000F6A99">
        <w:rPr>
          <w:b/>
        </w:rPr>
        <w:t>az elbocsátott munkavállalók támogatását szolgáló Európai Globalizációs Alkalmazkodási Alapnak Belgium EGF/2025/009 BE/</w:t>
      </w:r>
      <w:r w:rsidRPr="000F6A99">
        <w:rPr>
          <w:b/>
        </w:rPr>
        <w:t>Soliver</w:t>
      </w:r>
      <w:r w:rsidRPr="000F6A99">
        <w:rPr>
          <w:b/>
        </w:rPr>
        <w:t xml:space="preserve"> referenciaszámú kérelme nyomán történő igénybevételéről</w:t>
      </w:r>
    </w:p>
    <w:p w:rsidR="00BB6A3B" w:rsidRPr="00BB6A3B" w:rsidP="00BB6A3B" w14:paraId="74E8948F" w14:textId="206ADFA4">
      <w:pPr>
        <w:pStyle w:val="Institutionquiagit"/>
        <w:spacing w:line="240" w:lineRule="auto"/>
        <w:rPr>
          <w:i/>
          <w:iCs/>
        </w:rPr>
      </w:pPr>
      <w:r w:rsidRPr="00BB6A3B">
        <w:rPr>
          <w:i/>
          <w:iCs/>
        </w:rPr>
        <w:t>(</w:t>
      </w:r>
      <w:r w:rsidRPr="00BB6A3B">
        <w:rPr>
          <w:i/>
          <w:iCs/>
        </w:rPr>
        <w:t>E melléklet szövege itt nincs feltüntetve, mert az megegyezik a végleges jogi aktussal, az (EU) 2026/1543</w:t>
      </w:r>
      <w:r>
        <w:rPr>
          <w:i/>
          <w:iCs/>
        </w:rPr>
        <w:t xml:space="preserve"> </w:t>
      </w:r>
      <w:r w:rsidRPr="00BB6A3B">
        <w:rPr>
          <w:i/>
          <w:iCs/>
        </w:rPr>
        <w:t>határozattal</w:t>
      </w:r>
      <w:r w:rsidRPr="00BB6A3B">
        <w:rPr>
          <w:i/>
          <w:iCs/>
        </w:rPr>
        <w:t>.)</w:t>
      </w:r>
    </w:p>
    <w:sectPr w:rsidSect="00E24C0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4C0B" w14:paraId="3A99EF7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4C0B" w14:paraId="2640FD4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4C0B" w14:paraId="4D5F90B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B0839" w:rsidRPr="00E24C0B" w14:paraId="6E86BA68" w14:textId="77777777">
      <w:r w:rsidRPr="00E24C0B">
        <w:separator/>
      </w:r>
    </w:p>
  </w:footnote>
  <w:footnote w:type="continuationSeparator" w:id="1">
    <w:p w:rsidR="009B0839" w:rsidRPr="00E24C0B" w14:paraId="362073A4" w14:textId="77777777">
      <w:r w:rsidRPr="00E24C0B">
        <w:continuationSeparator/>
      </w:r>
    </w:p>
  </w:footnote>
  <w:footnote w:id="2">
    <w:p w:rsidR="00754B73" w:rsidRPr="00E24C0B" w:rsidP="00E24C0B" w14:paraId="264A0ACC" w14:textId="46B40E0C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 w:rsidR="00E24C0B">
        <w:rPr>
          <w:sz w:val="24"/>
          <w:lang w:val="hu-HU"/>
        </w:rPr>
        <w:t xml:space="preserve"> </w:t>
      </w:r>
      <w:r w:rsidRPr="00E24C0B" w:rsidR="00E24C0B">
        <w:rPr>
          <w:sz w:val="24"/>
          <w:lang w:val="hu-HU"/>
        </w:rPr>
        <w:tab/>
      </w:r>
      <w:r w:rsidRPr="00E24C0B">
        <w:rPr>
          <w:sz w:val="24"/>
          <w:lang w:val="hu-HU"/>
        </w:rPr>
        <w:t>HL L, 2026/1139, 2026.5.20., ELI: </w:t>
      </w:r>
      <w:hyperlink r:id="rId1" w:tgtFrame="_blank" w:tooltip="Az ELI (európai jogszabály-azonosító) URI-hivatkozása révén biztosít hozzáférést a dokumentumhoz." w:history="1">
        <w:r w:rsidRPr="00E24C0B">
          <w:rPr>
            <w:rStyle w:val="Hyperlink"/>
            <w:color w:val="0070C0"/>
            <w:sz w:val="24"/>
            <w:lang w:val="hu-HU"/>
          </w:rPr>
          <w:t>http://data.europa.eu/eli/reg/2026/1139/oj</w:t>
        </w:r>
      </w:hyperlink>
      <w:r w:rsidRPr="00E24C0B">
        <w:rPr>
          <w:color w:val="0070C0"/>
          <w:sz w:val="24"/>
          <w:lang w:val="hu-HU"/>
        </w:rPr>
        <w:t>.</w:t>
      </w:r>
    </w:p>
  </w:footnote>
  <w:footnote w:id="3">
    <w:p w:rsidR="002F7922" w:rsidRPr="00E24C0B" w:rsidP="002F7922" w14:paraId="63CCABEE" w14:textId="77777777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>
        <w:rPr>
          <w:sz w:val="24"/>
          <w:lang w:val="hu-HU"/>
        </w:rPr>
        <w:t xml:space="preserve"> </w:t>
      </w:r>
      <w:r w:rsidRPr="00E24C0B">
        <w:rPr>
          <w:sz w:val="24"/>
          <w:lang w:val="hu-HU"/>
        </w:rPr>
        <w:tab/>
        <w:t xml:space="preserve">HL L 153., 2021.5.3., 48. o., ELI: </w:t>
      </w:r>
      <w:hyperlink r:id="rId2" w:history="1">
        <w:r w:rsidRPr="00E24C0B">
          <w:rPr>
            <w:rStyle w:val="Hyperlink"/>
            <w:sz w:val="24"/>
            <w:lang w:val="hu-HU"/>
          </w:rPr>
          <w:t>http://data.europa.eu/eli/reg/2021/691/oj</w:t>
        </w:r>
      </w:hyperlink>
      <w:r w:rsidRPr="00E24C0B">
        <w:rPr>
          <w:sz w:val="24"/>
          <w:lang w:val="hu-HU"/>
        </w:rPr>
        <w:t>.</w:t>
      </w:r>
    </w:p>
  </w:footnote>
  <w:footnote w:id="4">
    <w:p w:rsidR="00754B73" w:rsidRPr="00E24C0B" w:rsidP="00E24C0B" w14:paraId="018CE81D" w14:textId="5F24B2FA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 w:rsidR="00E24C0B">
        <w:rPr>
          <w:sz w:val="24"/>
          <w:shd w:val="clear" w:color="auto" w:fill="FFFFFF"/>
          <w:lang w:val="hu-HU"/>
        </w:rPr>
        <w:t xml:space="preserve"> </w:t>
      </w:r>
      <w:r w:rsidRPr="00E24C0B" w:rsidR="00E24C0B">
        <w:rPr>
          <w:sz w:val="24"/>
          <w:shd w:val="clear" w:color="auto" w:fill="FFFFFF"/>
          <w:lang w:val="hu-HU"/>
        </w:rPr>
        <w:tab/>
      </w:r>
      <w:r w:rsidRPr="00E24C0B">
        <w:rPr>
          <w:sz w:val="24"/>
          <w:shd w:val="clear" w:color="auto" w:fill="FFFFFF"/>
          <w:lang w:val="hu-HU"/>
        </w:rPr>
        <w:t>A Tanács (EU, Euratom) 2024/765 rendelete (2024. február 29.) a 2021–2027-es időszakra vonatkozó többéves pénzügyi keretről szóló (EU, Euratom) 2020/2093 rendelet módosításáról (HL L, 2024/765, 2024.2.29., ELI:</w:t>
      </w:r>
      <w:r w:rsidRPr="00E24C0B">
        <w:rPr>
          <w:color w:val="333333"/>
          <w:sz w:val="24"/>
          <w:shd w:val="clear" w:color="auto" w:fill="FFFFFF"/>
          <w:lang w:val="hu-HU"/>
        </w:rPr>
        <w:t xml:space="preserve"> </w:t>
      </w:r>
      <w:hyperlink r:id="rId3" w:history="1">
        <w:r w:rsidRPr="00E24C0B">
          <w:rPr>
            <w:rStyle w:val="Hyperlink"/>
            <w:sz w:val="24"/>
            <w:shd w:val="clear" w:color="auto" w:fill="FFFFFF"/>
            <w:lang w:val="hu-HU"/>
          </w:rPr>
          <w:t>http://data.europa.eu/eli/reg/2024/765/oj</w:t>
        </w:r>
      </w:hyperlink>
      <w:r w:rsidRPr="00E24C0B">
        <w:rPr>
          <w:i/>
          <w:color w:val="333333"/>
          <w:sz w:val="24"/>
          <w:shd w:val="clear" w:color="auto" w:fill="FFFFFF"/>
          <w:lang w:val="hu-HU"/>
        </w:rPr>
        <w:t>).</w:t>
      </w:r>
    </w:p>
  </w:footnote>
  <w:footnote w:id="5">
    <w:p w:rsidR="00754B73" w:rsidRPr="00E24C0B" w:rsidP="00E24C0B" w14:paraId="15B15643" w14:textId="0E83F727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 w:rsidR="00E24C0B">
        <w:rPr>
          <w:sz w:val="24"/>
          <w:lang w:val="hu-HU"/>
        </w:rPr>
        <w:t xml:space="preserve"> </w:t>
      </w:r>
      <w:r w:rsidRPr="00E24C0B" w:rsidR="00E24C0B">
        <w:rPr>
          <w:sz w:val="24"/>
          <w:lang w:val="hu-HU"/>
        </w:rPr>
        <w:tab/>
      </w:r>
      <w:r w:rsidRPr="00E24C0B">
        <w:rPr>
          <w:sz w:val="24"/>
          <w:lang w:val="hu-HU"/>
        </w:rPr>
        <w:t>HL L 433.</w:t>
      </w:r>
      <w:r w:rsidR="000D011A">
        <w:rPr>
          <w:sz w:val="24"/>
          <w:lang w:val="hu-HU"/>
        </w:rPr>
        <w:t xml:space="preserve"> </w:t>
      </w:r>
      <w:r w:rsidRPr="00E24C0B">
        <w:rPr>
          <w:sz w:val="24"/>
          <w:lang w:val="hu-HU"/>
        </w:rPr>
        <w:t xml:space="preserve">I, 2020.12.22., 11. o., ELI: </w:t>
      </w:r>
      <w:hyperlink r:id="rId4" w:history="1">
        <w:r w:rsidRPr="00E24C0B">
          <w:rPr>
            <w:rStyle w:val="Hyperlink"/>
            <w:sz w:val="24"/>
            <w:lang w:val="hu-HU"/>
          </w:rPr>
          <w:t>http://data.europa.eu/eli/reg/2020/2093/oj</w:t>
        </w:r>
      </w:hyperlink>
      <w:r w:rsidRPr="00E24C0B">
        <w:rPr>
          <w:sz w:val="24"/>
          <w:lang w:val="hu-HU"/>
        </w:rPr>
        <w:t>.</w:t>
      </w:r>
    </w:p>
  </w:footnote>
  <w:footnote w:id="6">
    <w:p w:rsidR="00754B73" w:rsidRPr="00E24C0B" w:rsidP="00E24C0B" w14:paraId="4F4704E2" w14:textId="475D9464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 w:rsidR="00E24C0B">
        <w:rPr>
          <w:sz w:val="24"/>
          <w:lang w:val="hu-HU"/>
        </w:rPr>
        <w:t xml:space="preserve"> </w:t>
      </w:r>
      <w:r w:rsidRPr="00E24C0B" w:rsidR="00E24C0B">
        <w:rPr>
          <w:sz w:val="24"/>
          <w:lang w:val="hu-HU"/>
        </w:rPr>
        <w:tab/>
      </w:r>
      <w:r w:rsidRPr="00E24C0B">
        <w:rPr>
          <w:sz w:val="24"/>
          <w:lang w:val="hu-HU"/>
        </w:rPr>
        <w:t xml:space="preserve">HL L 433. I, 2020.12.22., 28. o., ELI: </w:t>
      </w:r>
      <w:hyperlink r:id="rId5" w:history="1">
        <w:r w:rsidRPr="00E24C0B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E24C0B">
        <w:rPr>
          <w:sz w:val="24"/>
          <w:lang w:val="hu-HU"/>
        </w:rPr>
        <w:t>.</w:t>
      </w:r>
    </w:p>
  </w:footnote>
  <w:footnote w:id="7">
    <w:p w:rsidR="00754B73" w:rsidRPr="00E24C0B" w:rsidP="00E24C0B" w14:paraId="72932E73" w14:textId="1EF68936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 w:rsidR="00E24C0B">
        <w:rPr>
          <w:sz w:val="24"/>
          <w:lang w:val="hu-HU"/>
        </w:rPr>
        <w:t xml:space="preserve"> </w:t>
      </w:r>
      <w:r w:rsidRPr="00E24C0B" w:rsidR="00E24C0B">
        <w:rPr>
          <w:sz w:val="24"/>
          <w:lang w:val="hu-HU"/>
        </w:rPr>
        <w:tab/>
      </w:r>
      <w:r w:rsidRPr="00E24C0B">
        <w:rPr>
          <w:sz w:val="24"/>
          <w:lang w:val="hu-HU"/>
        </w:rPr>
        <w:t>Az EGAA-rendelet 3. cikke értelmében.</w:t>
      </w:r>
    </w:p>
  </w:footnote>
  <w:footnote w:id="8">
    <w:p w:rsidR="00754B73" w:rsidRPr="00E24C0B" w:rsidP="00E24C0B" w14:paraId="1369D9EE" w14:textId="14849738">
      <w:pPr>
        <w:pStyle w:val="FootnoteText"/>
        <w:ind w:left="567" w:hanging="567"/>
        <w:rPr>
          <w:sz w:val="24"/>
          <w:lang w:val="hu-HU"/>
        </w:rPr>
      </w:pPr>
      <w:r w:rsidRPr="00E24C0B">
        <w:rPr>
          <w:rStyle w:val="FootnoteReference"/>
          <w:sz w:val="24"/>
          <w:lang w:val="hu-HU"/>
        </w:rPr>
        <w:footnoteRef/>
      </w:r>
      <w:r w:rsidRPr="00E24C0B" w:rsidR="00E24C0B">
        <w:rPr>
          <w:sz w:val="24"/>
          <w:lang w:val="hu-HU"/>
        </w:rPr>
        <w:t xml:space="preserve"> </w:t>
      </w:r>
      <w:r w:rsidRPr="00E24C0B" w:rsidR="00E24C0B">
        <w:rPr>
          <w:sz w:val="24"/>
          <w:lang w:val="hu-HU"/>
        </w:rPr>
        <w:tab/>
      </w:r>
      <w:r w:rsidRPr="00E24C0B">
        <w:rPr>
          <w:sz w:val="24"/>
          <w:lang w:val="hu-HU"/>
        </w:rPr>
        <w:t>A többéves pénzügyi keretről szóló rendelet 8. cikke.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4C0B" w14:paraId="5F48F3B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4C0B" w14:paraId="6BDD93A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4C0B" w14:paraId="0AD8F80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0884475">
    <w:abstractNumId w:val="9"/>
  </w:num>
  <w:num w:numId="2" w16cid:durableId="929969497">
    <w:abstractNumId w:val="9"/>
  </w:num>
  <w:num w:numId="3" w16cid:durableId="1559130522">
    <w:abstractNumId w:val="7"/>
  </w:num>
  <w:num w:numId="4" w16cid:durableId="453182734">
    <w:abstractNumId w:val="7"/>
  </w:num>
  <w:num w:numId="5" w16cid:durableId="578444993">
    <w:abstractNumId w:val="6"/>
  </w:num>
  <w:num w:numId="6" w16cid:durableId="110128004">
    <w:abstractNumId w:val="6"/>
  </w:num>
  <w:num w:numId="7" w16cid:durableId="1552427465">
    <w:abstractNumId w:val="5"/>
  </w:num>
  <w:num w:numId="8" w16cid:durableId="1396657522">
    <w:abstractNumId w:val="5"/>
  </w:num>
  <w:num w:numId="9" w16cid:durableId="1899435197">
    <w:abstractNumId w:val="4"/>
  </w:num>
  <w:num w:numId="10" w16cid:durableId="1534733561">
    <w:abstractNumId w:val="4"/>
  </w:num>
  <w:num w:numId="11" w16cid:durableId="868445432">
    <w:abstractNumId w:val="8"/>
  </w:num>
  <w:num w:numId="12" w16cid:durableId="1811897634">
    <w:abstractNumId w:val="8"/>
  </w:num>
  <w:num w:numId="13" w16cid:durableId="1439325207">
    <w:abstractNumId w:val="3"/>
  </w:num>
  <w:num w:numId="14" w16cid:durableId="1651204032">
    <w:abstractNumId w:val="3"/>
  </w:num>
  <w:num w:numId="15" w16cid:durableId="32771638">
    <w:abstractNumId w:val="2"/>
  </w:num>
  <w:num w:numId="16" w16cid:durableId="2035112005">
    <w:abstractNumId w:val="2"/>
  </w:num>
  <w:num w:numId="17" w16cid:durableId="296840359">
    <w:abstractNumId w:val="1"/>
  </w:num>
  <w:num w:numId="18" w16cid:durableId="1370766792">
    <w:abstractNumId w:val="1"/>
  </w:num>
  <w:num w:numId="19" w16cid:durableId="1034185409">
    <w:abstractNumId w:val="0"/>
  </w:num>
  <w:num w:numId="20" w16cid:durableId="1993630811">
    <w:abstractNumId w:val="0"/>
  </w:num>
  <w:num w:numId="21" w16cid:durableId="908729535">
    <w:abstractNumId w:val="9"/>
  </w:num>
  <w:num w:numId="22" w16cid:durableId="1285037569">
    <w:abstractNumId w:val="7"/>
  </w:num>
  <w:num w:numId="23" w16cid:durableId="660231762">
    <w:abstractNumId w:val="6"/>
  </w:num>
  <w:num w:numId="24" w16cid:durableId="1957904515">
    <w:abstractNumId w:val="5"/>
  </w:num>
  <w:num w:numId="25" w16cid:durableId="1878545928">
    <w:abstractNumId w:val="4"/>
  </w:num>
  <w:num w:numId="26" w16cid:durableId="863979431">
    <w:abstractNumId w:val="8"/>
  </w:num>
  <w:num w:numId="27" w16cid:durableId="1227378469">
    <w:abstractNumId w:val="3"/>
  </w:num>
  <w:num w:numId="28" w16cid:durableId="1953901359">
    <w:abstractNumId w:val="2"/>
  </w:num>
  <w:num w:numId="29" w16cid:durableId="773208464">
    <w:abstractNumId w:val="1"/>
  </w:num>
  <w:num w:numId="30" w16cid:durableId="625697106">
    <w:abstractNumId w:val="0"/>
  </w:num>
  <w:num w:numId="31" w16cid:durableId="628971705">
    <w:abstractNumId w:val="9"/>
  </w:num>
  <w:num w:numId="32" w16cid:durableId="50885638">
    <w:abstractNumId w:val="7"/>
  </w:num>
  <w:num w:numId="33" w16cid:durableId="1527863544">
    <w:abstractNumId w:val="6"/>
  </w:num>
  <w:num w:numId="34" w16cid:durableId="897862400">
    <w:abstractNumId w:val="5"/>
  </w:num>
  <w:num w:numId="35" w16cid:durableId="84109649">
    <w:abstractNumId w:val="4"/>
  </w:num>
  <w:num w:numId="36" w16cid:durableId="2070880310">
    <w:abstractNumId w:val="8"/>
  </w:num>
  <w:num w:numId="37" w16cid:durableId="1882982297">
    <w:abstractNumId w:val="3"/>
  </w:num>
  <w:num w:numId="38" w16cid:durableId="1764186697">
    <w:abstractNumId w:val="2"/>
  </w:num>
  <w:num w:numId="39" w16cid:durableId="545878704">
    <w:abstractNumId w:val="1"/>
  </w:num>
  <w:num w:numId="40" w16cid:durableId="1997100769">
    <w:abstractNumId w:val="0"/>
  </w:num>
  <w:num w:numId="41" w16cid:durableId="354041670">
    <w:abstractNumId w:val="10"/>
  </w:num>
  <w:num w:numId="42" w16cid:durableId="1356006573">
    <w:abstractNumId w:val="10"/>
  </w:num>
  <w:num w:numId="43" w16cid:durableId="432287369">
    <w:abstractNumId w:val="10"/>
  </w:num>
  <w:num w:numId="44" w16cid:durableId="216085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39"/>
    <w:rsid w:val="00002272"/>
    <w:rsid w:val="0001317E"/>
    <w:rsid w:val="00064002"/>
    <w:rsid w:val="000677B9"/>
    <w:rsid w:val="000831BA"/>
    <w:rsid w:val="000A42CC"/>
    <w:rsid w:val="000D011A"/>
    <w:rsid w:val="000E7DD9"/>
    <w:rsid w:val="000F6A99"/>
    <w:rsid w:val="0010095E"/>
    <w:rsid w:val="00125B37"/>
    <w:rsid w:val="00187494"/>
    <w:rsid w:val="001C0289"/>
    <w:rsid w:val="001F32AE"/>
    <w:rsid w:val="00274964"/>
    <w:rsid w:val="002767FF"/>
    <w:rsid w:val="002B18FE"/>
    <w:rsid w:val="002B5493"/>
    <w:rsid w:val="002F79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A43"/>
    <w:rsid w:val="006631B6"/>
    <w:rsid w:val="00680577"/>
    <w:rsid w:val="006F725C"/>
    <w:rsid w:val="006F74FA"/>
    <w:rsid w:val="00731ADD"/>
    <w:rsid w:val="00734777"/>
    <w:rsid w:val="00747932"/>
    <w:rsid w:val="00751A4A"/>
    <w:rsid w:val="00754B73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4BB"/>
    <w:rsid w:val="00930C23"/>
    <w:rsid w:val="0093193B"/>
    <w:rsid w:val="009509D8"/>
    <w:rsid w:val="00950B64"/>
    <w:rsid w:val="00981893"/>
    <w:rsid w:val="009B0839"/>
    <w:rsid w:val="00A1687D"/>
    <w:rsid w:val="00A43E52"/>
    <w:rsid w:val="00A4678D"/>
    <w:rsid w:val="00A778C7"/>
    <w:rsid w:val="00AA0233"/>
    <w:rsid w:val="00AB441E"/>
    <w:rsid w:val="00AB6293"/>
    <w:rsid w:val="00AE0928"/>
    <w:rsid w:val="00AF3B82"/>
    <w:rsid w:val="00B12E95"/>
    <w:rsid w:val="00B22876"/>
    <w:rsid w:val="00B558F0"/>
    <w:rsid w:val="00BB6A3B"/>
    <w:rsid w:val="00BD48FE"/>
    <w:rsid w:val="00BD7BD8"/>
    <w:rsid w:val="00BE6ADC"/>
    <w:rsid w:val="00C04F3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673"/>
    <w:rsid w:val="00E24C0B"/>
    <w:rsid w:val="00E365E1"/>
    <w:rsid w:val="00E820A4"/>
    <w:rsid w:val="00EB006A"/>
    <w:rsid w:val="00EB4772"/>
    <w:rsid w:val="00EB626E"/>
    <w:rsid w:val="00EB7D3A"/>
    <w:rsid w:val="00ED169E"/>
    <w:rsid w:val="00ED4235"/>
    <w:rsid w:val="00F04346"/>
    <w:rsid w:val="00F075DC"/>
    <w:rsid w:val="00F149E9"/>
    <w:rsid w:val="00F3513A"/>
    <w:rsid w:val="00F5134D"/>
    <w:rsid w:val="00F74202"/>
    <w:rsid w:val="00F87713"/>
    <w:rsid w:val="00FB4360"/>
    <w:rsid w:val="00FD0C70"/>
  </w:rsids>
  <w:docVars>
    <w:docVar w:name="dvdocse" w:val="A10-0149/2026"/>
    <w:docVar w:name="dvlangue" w:val="HU"/>
    <w:docVar w:name="dvnumam" w:val="0"/>
    <w:docVar w:name="dvpe" w:val="787.923"/>
    <w:docVar w:name="dvrapporteur" w:val="Előadó: "/>
    <w:docVar w:name="dvtitre" w:val="Az Európai Parlament 2026.  ...-i állásfoglalása az elbocsátott munkavállalók támogatását szolgáló Európai Globalizációs Alkalmazkodási Alapnak a Belgium EGF/2025/009 BE/Soliver referenciaszámú kérelme nyomán történő igénybevételéről szóló európai parlamenti és tanácsi határozatra irányuló javaslatról(COM(2026)0050 – C10-0111/2026 – 2026/0097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15C00F"/>
  <w15:chartTrackingRefBased/>
  <w15:docId w15:val="{5F37916B-D0AD-4A7A-9FB2-EE8CD2B5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754B7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54B73"/>
    <w:pPr>
      <w:spacing w:after="240"/>
      <w:ind w:left="567" w:hanging="567"/>
    </w:pPr>
  </w:style>
  <w:style w:type="paragraph" w:customStyle="1" w:styleId="EPComma">
    <w:name w:val="EPComma"/>
    <w:basedOn w:val="Normal"/>
    <w:rsid w:val="00754B73"/>
    <w:pPr>
      <w:spacing w:before="480" w:after="240"/>
    </w:pPr>
  </w:style>
  <w:style w:type="character" w:styleId="Hyperlink">
    <w:name w:val="Hyperlink"/>
    <w:basedOn w:val="DefaultParagraphFont"/>
    <w:uiPriority w:val="99"/>
    <w:rsid w:val="00754B7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54B73"/>
    <w:rPr>
      <w:sz w:val="24"/>
      <w:lang w:val="hu-HU"/>
    </w:rPr>
  </w:style>
  <w:style w:type="paragraph" w:customStyle="1" w:styleId="Personnequisigne">
    <w:name w:val="Personne qui signe"/>
    <w:basedOn w:val="Normal"/>
    <w:next w:val="Institutionquisigne"/>
    <w:rsid w:val="00754B7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54B7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754B73"/>
    <w:rPr>
      <w:rFonts w:ascii="Arial" w:hAnsi="Arial" w:cs="Arial"/>
      <w:b/>
      <w:sz w:val="24"/>
      <w:lang w:val="hu-HU"/>
    </w:rPr>
  </w:style>
  <w:style w:type="paragraph" w:customStyle="1" w:styleId="Fait">
    <w:name w:val="Fait à"/>
    <w:basedOn w:val="Normal"/>
    <w:next w:val="Institutionquisigne"/>
    <w:rsid w:val="00754B73"/>
    <w:pPr>
      <w:keepNext/>
      <w:widowControl/>
      <w:spacing w:before="120" w:line="360" w:lineRule="auto"/>
    </w:pPr>
    <w:rPr>
      <w:rFonts w:eastAsiaTheme="minorHAnsi"/>
      <w:szCs w:val="22"/>
      <w:lang w:eastAsia="hu-HU" w:bidi="hu-HU"/>
    </w:rPr>
  </w:style>
  <w:style w:type="paragraph" w:customStyle="1" w:styleId="Formuledadoption">
    <w:name w:val="Formule d'adoption"/>
    <w:basedOn w:val="Normal"/>
    <w:next w:val="Titrearticle"/>
    <w:rsid w:val="00754B73"/>
    <w:pPr>
      <w:keepNext/>
      <w:widowControl/>
      <w:spacing w:before="120" w:after="120" w:line="360" w:lineRule="auto"/>
    </w:pPr>
    <w:rPr>
      <w:rFonts w:eastAsiaTheme="minorHAnsi"/>
      <w:szCs w:val="22"/>
      <w:lang w:eastAsia="hu-HU" w:bidi="hu-HU"/>
    </w:rPr>
  </w:style>
  <w:style w:type="paragraph" w:customStyle="1" w:styleId="Institutionquiagit">
    <w:name w:val="Institution qui agit"/>
    <w:basedOn w:val="Normal"/>
    <w:next w:val="Normal"/>
    <w:rsid w:val="00754B73"/>
    <w:pPr>
      <w:keepNext/>
      <w:widowControl/>
      <w:spacing w:before="600" w:after="120" w:line="360" w:lineRule="auto"/>
    </w:pPr>
    <w:rPr>
      <w:rFonts w:eastAsiaTheme="minorHAnsi"/>
      <w:szCs w:val="22"/>
      <w:lang w:eastAsia="hu-HU" w:bidi="hu-HU"/>
    </w:rPr>
  </w:style>
  <w:style w:type="paragraph" w:customStyle="1" w:styleId="ManualConsidrant">
    <w:name w:val="Manual Considérant"/>
    <w:basedOn w:val="Normal"/>
    <w:rsid w:val="00754B7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hu-HU" w:bidi="hu-HU"/>
    </w:rPr>
  </w:style>
  <w:style w:type="paragraph" w:customStyle="1" w:styleId="Titrearticle">
    <w:name w:val="Titre article"/>
    <w:basedOn w:val="Normal"/>
    <w:next w:val="Normal"/>
    <w:rsid w:val="00754B7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hu-HU" w:bidi="hu-HU"/>
    </w:rPr>
  </w:style>
  <w:style w:type="paragraph" w:customStyle="1" w:styleId="Lignefinal">
    <w:name w:val="Ligne final"/>
    <w:basedOn w:val="Normal"/>
    <w:next w:val="Normal"/>
    <w:rsid w:val="00754B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hu-HU" w:bidi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0D011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011A"/>
    <w:rPr>
      <w:sz w:val="24"/>
      <w:lang w:val="hu-HU"/>
    </w:rPr>
  </w:style>
  <w:style w:type="character" w:styleId="CommentReference">
    <w:name w:val="annotation reference"/>
    <w:basedOn w:val="DefaultParagraphFont"/>
    <w:rsid w:val="00EB7D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7D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7D3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B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7D3A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6/1139/oj" TargetMode="External" /><Relationship Id="rId2" Type="http://schemas.openxmlformats.org/officeDocument/2006/relationships/hyperlink" Target="http://data.europa.eu/eli/reg/2021/691/oj" TargetMode="External" /><Relationship Id="rId3" Type="http://schemas.openxmlformats.org/officeDocument/2006/relationships/hyperlink" Target="http://data.europa.eu/eli/reg/2024/765/oj" TargetMode="External" /><Relationship Id="rId4" Type="http://schemas.openxmlformats.org/officeDocument/2006/relationships/hyperlink" Target="http://data.europa.eu/eli/reg/2020/2093/oj" TargetMode="External" /><Relationship Id="rId5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1556</Words>
  <Characters>11658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2026-08-31T11:30:00Z</dcterms:created>
  <dcterms:modified xsi:type="dcterms:W3CDTF">2026-08-31T11:30:00Z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P10_TA(2026)0201_</vt:lpwstr>
  </property>
  <property fmtid="{D5CDD505-2E9C-101B-9397-08002B2CF9AE}" pid="4" name="&lt;Type&gt;">
    <vt:lpwstr>RR</vt:lpwstr>
  </property>
</Properties>
</file>