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779AE3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5580C" w:rsidP="0010095E" w14:paraId="04BFF03F" w14:textId="77777777">
            <w:pPr>
              <w:pStyle w:val="EPName"/>
            </w:pPr>
            <w:r w:rsidRPr="00E5580C">
              <w:t>Parlamento europeo</w:t>
            </w:r>
          </w:p>
          <w:p w:rsidR="00751A4A" w:rsidRPr="00E5580C" w:rsidP="005F1B17" w14:paraId="527058E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580C">
              <w:t>2024</w:t>
            </w:r>
            <w:r w:rsidRPr="00E5580C" w:rsidR="00817416">
              <w:t>-202</w:t>
            </w:r>
            <w:r w:rsidRPr="00E5580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5580C" w:rsidP="0010095E" w14:paraId="3B109D92" w14:textId="77777777">
            <w:pPr>
              <w:pStyle w:val="EPLogo"/>
            </w:pPr>
            <w:r w:rsidRPr="00E5580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5580C" w:rsidP="004C5D52" w14:paraId="621DA5C9" w14:textId="77777777">
      <w:pPr>
        <w:pStyle w:val="LineTop"/>
      </w:pPr>
    </w:p>
    <w:p w:rsidR="00680577" w:rsidRPr="00E5580C" w:rsidP="00680577" w14:paraId="266DEB22" w14:textId="77777777">
      <w:pPr>
        <w:pStyle w:val="EPBodyTA1"/>
      </w:pPr>
      <w:r w:rsidRPr="00E5580C">
        <w:t>TESTI APPROVATI</w:t>
      </w:r>
    </w:p>
    <w:p w:rsidR="00D058B8" w:rsidRPr="00E5580C" w:rsidP="00D058B8" w14:paraId="61E24C65" w14:textId="77777777">
      <w:pPr>
        <w:pStyle w:val="LineBottom"/>
      </w:pPr>
    </w:p>
    <w:p w:rsidR="00FC6FB2" w:rsidRPr="00E5580C" w:rsidP="00FC6FB2" w14:paraId="41999EC0" w14:textId="52B4A5DE">
      <w:pPr>
        <w:pStyle w:val="ATHeading1"/>
      </w:pPr>
      <w:bookmarkStart w:id="0" w:name="TANumber"/>
      <w:r w:rsidRPr="00E5580C">
        <w:t>P10_TA(2026)0</w:t>
      </w:r>
      <w:r w:rsidRPr="00E5580C" w:rsidR="00E5580C">
        <w:t>201</w:t>
      </w:r>
      <w:bookmarkEnd w:id="0"/>
    </w:p>
    <w:p w:rsidR="00FC6FB2" w:rsidRPr="00E5580C" w:rsidP="00FC6FB2" w14:paraId="73560C94" w14:textId="2BD514A9">
      <w:pPr>
        <w:pStyle w:val="ATHeading2"/>
      </w:pPr>
      <w:bookmarkStart w:id="1" w:name="title"/>
      <w:r w:rsidRPr="00E5580C">
        <w:t>Mobilitazione del Fondo europeo di adeguamento alla globalizzazione per i lavoratori espulsi dal lavoro a</w:t>
      </w:r>
      <w:r w:rsidRPr="00E5580C" w:rsidR="00217BCB">
        <w:t xml:space="preserve"> </w:t>
      </w:r>
      <w:r w:rsidRPr="00E5580C">
        <w:t>seguito di una domanda presentata dal Belgio – EGF/2025/009 BE/</w:t>
      </w:r>
      <w:r w:rsidRPr="00E5580C">
        <w:t>Soliver</w:t>
      </w:r>
      <w:bookmarkEnd w:id="1"/>
    </w:p>
    <w:p w:rsidR="00FC6FB2" w:rsidRPr="00E5580C" w:rsidP="00FC6FB2" w14:paraId="472D7716" w14:textId="77777777">
      <w:pPr>
        <w:rPr>
          <w:i/>
          <w:vanish/>
        </w:rPr>
      </w:pPr>
      <w:r>
        <w:rPr>
          <w:i/>
        </w:rPr>
        <w:fldChar w:fldCharType="begin"/>
      </w:r>
      <w:r w:rsidRPr="00E5580C">
        <w:rPr>
          <w:i/>
        </w:rPr>
        <w:instrText xml:space="preserve"> TC"(</w:instrText>
      </w:r>
      <w:bookmarkStart w:id="2" w:name="DocNumber"/>
      <w:r w:rsidRPr="00E5580C">
        <w:rPr>
          <w:i/>
        </w:rPr>
        <w:instrText>A10-0149/2026</w:instrText>
      </w:r>
      <w:bookmarkEnd w:id="2"/>
      <w:r w:rsidRPr="00E5580C">
        <w:rPr>
          <w:i/>
        </w:rPr>
        <w:instrText xml:space="preserve"> - Relatore: Bogdan </w:instrText>
      </w:r>
      <w:r w:rsidRPr="00E5580C">
        <w:rPr>
          <w:i/>
        </w:rPr>
        <w:instrText>Rzońca</w:instrText>
      </w:r>
      <w:r w:rsidRPr="00E5580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C6FB2" w:rsidRPr="00E5580C" w:rsidP="00FC6FB2" w14:paraId="363E616E" w14:textId="77777777">
      <w:pPr>
        <w:rPr>
          <w:vanish/>
        </w:rPr>
      </w:pPr>
      <w:bookmarkStart w:id="3" w:name="Commission"/>
      <w:r w:rsidRPr="00E5580C">
        <w:rPr>
          <w:vanish/>
        </w:rPr>
        <w:t>Commissione per i bilanci</w:t>
      </w:r>
      <w:bookmarkEnd w:id="3"/>
    </w:p>
    <w:p w:rsidR="00FC6FB2" w:rsidRPr="00E5580C" w:rsidP="00FC6FB2" w14:paraId="122C9C05" w14:textId="77777777">
      <w:pPr>
        <w:rPr>
          <w:vanish/>
        </w:rPr>
      </w:pPr>
      <w:bookmarkStart w:id="4" w:name="PE"/>
      <w:r w:rsidRPr="00E5580C">
        <w:rPr>
          <w:vanish/>
        </w:rPr>
        <w:t>PE787.923</w:t>
      </w:r>
      <w:bookmarkEnd w:id="4"/>
    </w:p>
    <w:p w:rsidR="00FC6FB2" w:rsidRPr="00E5580C" w:rsidP="00FC6FB2" w14:paraId="546A243D" w14:textId="077A7DE6">
      <w:pPr>
        <w:pStyle w:val="ATHeading3"/>
      </w:pPr>
      <w:bookmarkStart w:id="5" w:name="Sujet"/>
      <w:r w:rsidRPr="00E5580C">
        <w:t xml:space="preserve">Risoluzione del Parlamento europeo del </w:t>
      </w:r>
      <w:r w:rsidRPr="00E5580C" w:rsidR="006B269A">
        <w:t>16 giugno</w:t>
      </w:r>
      <w:r w:rsidRPr="00E5580C">
        <w:t xml:space="preserve"> 2026 sulla proposta di decisione del Parlamento europeo e del Consiglio relativa alla mobilitazione del Fondo europeo di adeguamento alla globalizzazione per i lavoratori espulsi dal lavoro a seguito di una domanda presentata dal Belgio – EGF/2025/009 BE/</w:t>
      </w:r>
      <w:r w:rsidRPr="00E5580C">
        <w:t>Soliver</w:t>
      </w:r>
      <w:bookmarkEnd w:id="5"/>
      <w:r w:rsidRPr="00E5580C">
        <w:t xml:space="preserve"> </w:t>
      </w:r>
      <w:bookmarkStart w:id="6" w:name="References"/>
      <w:r w:rsidRPr="00E5580C">
        <w:t>(COM(2026)0050 – C10-0111/2026 – 2026/0097(BUD))</w:t>
      </w:r>
      <w:bookmarkEnd w:id="6"/>
    </w:p>
    <w:p w:rsidR="001223BC" w:rsidRPr="00E5580C" w:rsidP="001223BC" w14:paraId="4A48A57F" w14:textId="77777777">
      <w:pPr>
        <w:pStyle w:val="EPComma"/>
      </w:pPr>
      <w:r w:rsidRPr="00E5580C">
        <w:rPr>
          <w:i/>
        </w:rPr>
        <w:t>Il Parlamento europeo,</w:t>
      </w:r>
    </w:p>
    <w:p w:rsidR="001223BC" w:rsidRPr="00E5580C" w:rsidP="001223BC" w14:paraId="6001CDCE" w14:textId="77777777">
      <w:pPr>
        <w:pStyle w:val="NormalHanging12a"/>
      </w:pPr>
      <w:r w:rsidRPr="00E5580C">
        <w:t>–</w:t>
      </w:r>
      <w:r w:rsidRPr="00E5580C">
        <w:tab/>
        <w:t>vista la proposta della Commissione al Parlamento europeo e al Consiglio (COM(2026)0050 – C10</w:t>
      </w:r>
      <w:r w:rsidRPr="00E5580C">
        <w:noBreakHyphen/>
        <w:t>0111/2026),</w:t>
      </w:r>
    </w:p>
    <w:p w:rsidR="001223BC" w:rsidRPr="00E5580C" w:rsidP="001223BC" w14:paraId="40413B6A" w14:textId="0F1E994A">
      <w:pPr>
        <w:pStyle w:val="NormalHanging12a"/>
      </w:pPr>
      <w:r w:rsidRPr="00E5580C">
        <w:t>–</w:t>
      </w:r>
      <w:r w:rsidRPr="00E5580C">
        <w:tab/>
        <w:t>visto il regolamento (UE) 2021/691 del Parlamento europeo e del Consiglio, del 28 aprile 2021, sul Fondo europeo di adeguamento alla globalizzazione per i lavoratori espulsi dal lavoro (FEG) e che abroga il regolamento (UE) n. 1309/2013</w:t>
      </w:r>
      <w:r>
        <w:rPr>
          <w:vertAlign w:val="superscript"/>
        </w:rPr>
        <w:footnoteReference w:id="2"/>
      </w:r>
      <w:r w:rsidRPr="00E5580C">
        <w:t xml:space="preserve"> ("regolamento FEG") quale modificato dal regolamento (UE) 2026/1139</w:t>
      </w:r>
      <w:r>
        <w:rPr>
          <w:vertAlign w:val="superscript"/>
        </w:rPr>
        <w:footnoteReference w:id="3"/>
      </w:r>
      <w:r w:rsidRPr="00E5580C">
        <w:t>,</w:t>
      </w:r>
    </w:p>
    <w:p w:rsidR="001223BC" w:rsidRPr="00E5580C" w:rsidP="001223BC" w14:paraId="21913AB6" w14:textId="19D285C8">
      <w:pPr>
        <w:pStyle w:val="NormalHanging12a"/>
      </w:pPr>
      <w:r w:rsidRPr="00E5580C">
        <w:t>–</w:t>
      </w:r>
      <w:r w:rsidRPr="00E5580C">
        <w:tab/>
        <w:t xml:space="preserve">visto il regolamento (UE, </w:t>
      </w:r>
      <w:r w:rsidRPr="00E5580C">
        <w:t>Euratom</w:t>
      </w:r>
      <w:r w:rsidRPr="00E5580C">
        <w:t xml:space="preserve">) 2020/2093 del Consiglio, del 17 dicembre 2020, che stabilisce il quadro finanziario pluriennale per il periodo 2021-2027 ("regolamento </w:t>
      </w:r>
      <w:r w:rsidRPr="00E5580C" w:rsidR="007751F0">
        <w:t>QFP</w:t>
      </w:r>
      <w:r w:rsidRPr="00E5580C">
        <w:t>")</w:t>
      </w:r>
      <w:r>
        <w:rPr>
          <w:vertAlign w:val="superscript"/>
        </w:rPr>
        <w:footnoteReference w:id="4"/>
      </w:r>
      <w:r w:rsidRPr="00E5580C">
        <w:t xml:space="preserve">, quale modificato dal regolamento (UE, </w:t>
      </w:r>
      <w:r w:rsidRPr="00E5580C">
        <w:t>Euratom</w:t>
      </w:r>
      <w:r w:rsidRPr="00E5580C">
        <w:t xml:space="preserve">) 2024/765 </w:t>
      </w:r>
      <w:r>
        <w:rPr>
          <w:vertAlign w:val="superscript"/>
        </w:rPr>
        <w:footnoteReference w:id="5"/>
      </w:r>
      <w:r w:rsidRPr="00E5580C">
        <w:t>, in particolare l'articolo 8,</w:t>
      </w:r>
    </w:p>
    <w:p w:rsidR="001223BC" w:rsidRPr="00E5580C" w:rsidP="001223BC" w14:paraId="5B860C7E" w14:textId="77777777">
      <w:pPr>
        <w:pStyle w:val="NormalHanging12a"/>
      </w:pPr>
      <w:r w:rsidRPr="00E5580C">
        <w:t>–</w:t>
      </w:r>
      <w:r w:rsidRPr="00E5580C">
        <w:tab/>
        <w:t xml:space="preserve">visto l'accordo interistituzionale, del 16 dicembre 2020, tra il Parlamento europeo, il Consiglio dell'Unione europea e la Commissione europea sulla disciplina di bilancio, sulla cooperazione in materia di bilancio e sulla sana gestione finanziaria, nonché su nuove risorse proprie, compresa una tabella di marcia verso l'introduzione di nuove </w:t>
      </w:r>
      <w:r w:rsidRPr="00E5580C">
        <w:t>risorse proprie</w:t>
      </w:r>
      <w:r>
        <w:rPr>
          <w:rStyle w:val="FootnoteReference"/>
        </w:rPr>
        <w:footnoteReference w:id="6"/>
      </w:r>
      <w:r w:rsidRPr="00E5580C">
        <w:t>, in particolare il punto 9,</w:t>
      </w:r>
    </w:p>
    <w:p w:rsidR="001223BC" w:rsidRPr="00E5580C" w:rsidP="001223BC" w14:paraId="409A1657" w14:textId="77777777">
      <w:pPr>
        <w:pStyle w:val="NormalHanging12a"/>
      </w:pPr>
      <w:r w:rsidRPr="00E5580C">
        <w:t>–</w:t>
      </w:r>
      <w:r w:rsidRPr="00E5580C">
        <w:tab/>
        <w:t>visto il pilastro europeo dei diritti sociali,</w:t>
      </w:r>
    </w:p>
    <w:p w:rsidR="001223BC" w:rsidRPr="00E5580C" w:rsidP="001223BC" w14:paraId="7257D5E7" w14:textId="77777777">
      <w:pPr>
        <w:pStyle w:val="NormalHanging12a"/>
      </w:pPr>
      <w:r w:rsidRPr="00E5580C">
        <w:t>–</w:t>
      </w:r>
      <w:r w:rsidRPr="00E5580C">
        <w:tab/>
        <w:t>vista la lettera della commissione per l'occupazione e gli affari sociali,</w:t>
      </w:r>
    </w:p>
    <w:p w:rsidR="001223BC" w:rsidRPr="00E5580C" w:rsidP="001223BC" w14:paraId="2EB5F801" w14:textId="77777777">
      <w:pPr>
        <w:pStyle w:val="NormalHanging12a"/>
      </w:pPr>
      <w:r w:rsidRPr="00E5580C">
        <w:t>–</w:t>
      </w:r>
      <w:r w:rsidRPr="00E5580C">
        <w:tab/>
        <w:t>vista la relazione della commissione per i bilanci (A10</w:t>
      </w:r>
      <w:r w:rsidRPr="00E5580C">
        <w:noBreakHyphen/>
        <w:t>0149/2026),</w:t>
      </w:r>
    </w:p>
    <w:p w:rsidR="001223BC" w:rsidRPr="00E5580C" w:rsidP="001223BC" w14:paraId="15F80639" w14:textId="77777777">
      <w:pPr>
        <w:pStyle w:val="NormalHanging12a"/>
      </w:pPr>
      <w:r w:rsidRPr="00E5580C">
        <w:t>A.</w:t>
      </w:r>
      <w:r w:rsidRPr="00E5580C">
        <w:tab/>
        <w:t>considerando che l'Unione ha predisposto strumenti legislativi e di bilancio per fornire un sostegno supplementare ai lavoratori che risentono delle conseguenze degli eventi e delle trasformazioni rilevanti che interessano la struttura del commercio mondiale, nonché per facilitare il loro reinserimento nel mercato del lavoro; che tale assistenza è prestata mediante un sostegno finanziario a favore dei lavoratori; che il mantenimento della competitività dell'industria europea e il rafforzamento degli investimenti nell'innovazione e nelle competenze sono essenziali per prevenire un ulteriore declino industriale e la perdita di posti di lavoro in tutta l'Unione;</w:t>
      </w:r>
    </w:p>
    <w:p w:rsidR="001223BC" w:rsidRPr="00E5580C" w:rsidP="001223BC" w14:paraId="67137399" w14:textId="77777777">
      <w:pPr>
        <w:pStyle w:val="NormalHanging12a"/>
      </w:pPr>
      <w:r w:rsidRPr="00E5580C">
        <w:t>B.</w:t>
      </w:r>
      <w:r w:rsidRPr="00E5580C">
        <w:tab/>
        <w:t>considerando che il Belgio ha presentato la domanda EGF/2025/009 BE/</w:t>
      </w:r>
      <w:r w:rsidRPr="00E5580C">
        <w:t>Soliver</w:t>
      </w:r>
      <w:r w:rsidRPr="00E5580C">
        <w:t xml:space="preserve"> relativa a un contributo finanziario a titolo del FEG a seguito di 803 casi di espulsione dal lavoro</w:t>
      </w:r>
      <w:r>
        <w:rPr>
          <w:vertAlign w:val="superscript"/>
        </w:rPr>
        <w:footnoteReference w:id="7"/>
      </w:r>
      <w:r w:rsidRPr="00E5580C">
        <w:t xml:space="preserve"> presso l'impresa </w:t>
      </w:r>
      <w:r w:rsidRPr="00E5580C">
        <w:t>Soliver</w:t>
      </w:r>
      <w:r w:rsidRPr="00E5580C">
        <w:t xml:space="preserve"> NV (</w:t>
      </w:r>
      <w:r w:rsidRPr="00E5580C">
        <w:t>Soliver</w:t>
      </w:r>
      <w:r w:rsidRPr="00E5580C">
        <w:t xml:space="preserve">) in Belgio, che opera nel settore economico classificato alla divisione 46 della NACE revisione 2 (Commercio all'ingrosso) nelle regioni Provincie </w:t>
      </w:r>
      <w:r w:rsidRPr="00E5580C">
        <w:t>Oost-Vlaanderen</w:t>
      </w:r>
      <w:r w:rsidRPr="00E5580C">
        <w:t xml:space="preserve"> (BE23) e Provincie West-</w:t>
      </w:r>
      <w:r w:rsidRPr="00E5580C">
        <w:t>Vlaanderen</w:t>
      </w:r>
      <w:r w:rsidRPr="00E5580C">
        <w:t xml:space="preserve"> (BE25), nel periodo di riferimento compreso tra il 1° luglio 2025 e il 1° novembre 2025;</w:t>
      </w:r>
    </w:p>
    <w:p w:rsidR="001223BC" w:rsidRPr="00E5580C" w:rsidP="001223BC" w14:paraId="7046ABF1" w14:textId="77777777">
      <w:pPr>
        <w:pStyle w:val="NormalHanging12a"/>
      </w:pPr>
      <w:r w:rsidRPr="00E5580C">
        <w:t>C.</w:t>
      </w:r>
      <w:r w:rsidRPr="00E5580C">
        <w:tab/>
        <w:t>considerando che la domanda si basa sui criteri di intervento di cui all'articolo 4, paragrafo 2, lettera a), del regolamento FEG;</w:t>
      </w:r>
    </w:p>
    <w:p w:rsidR="001223BC" w:rsidRPr="00E5580C" w:rsidP="001223BC" w14:paraId="623F23F3" w14:textId="77777777">
      <w:pPr>
        <w:pStyle w:val="NormalHanging12a"/>
        <w:rPr>
          <w:noProof/>
        </w:rPr>
      </w:pPr>
      <w:r w:rsidRPr="00E5580C">
        <w:t>D.</w:t>
      </w:r>
      <w:r w:rsidRPr="00E5580C">
        <w:tab/>
        <w:t xml:space="preserve">considerando che </w:t>
      </w:r>
      <w:r w:rsidRPr="00E5580C">
        <w:t>Soliver</w:t>
      </w:r>
      <w:r w:rsidRPr="00E5580C">
        <w:t xml:space="preserve"> ha presentato istanza di fallimento nel dicembre 2024; che dal 2022 i fallimenti sono in aumento in Belgio e che la disoccupazione colpisce duramente diverse regioni delle Fiandre;</w:t>
      </w:r>
    </w:p>
    <w:p w:rsidR="001223BC" w:rsidRPr="00E5580C" w:rsidP="001223BC" w14:paraId="2B531498" w14:textId="77777777">
      <w:pPr>
        <w:pStyle w:val="NormalHanging12a"/>
        <w:rPr>
          <w:bCs/>
          <w:iCs/>
          <w:noProof/>
        </w:rPr>
      </w:pPr>
      <w:r w:rsidRPr="00E5580C">
        <w:t>E.</w:t>
      </w:r>
      <w:r w:rsidRPr="00E5580C">
        <w:tab/>
        <w:t xml:space="preserve">considerando che la forza lavoro interessata dalla chiusura di </w:t>
      </w:r>
      <w:r w:rsidRPr="00E5580C">
        <w:t>Soliver</w:t>
      </w:r>
      <w:r w:rsidRPr="00E5580C">
        <w:t xml:space="preserve"> comprende una percentuale significativa di lavoratori anziani, che si trovano ad affrontare ostacoli specifici e aggravati al reinserimento nel mercato del lavoro, tra cui la discriminazione basata sull'età, gli squilibri tra domanda e offerta di competenze e l'accesso limitato alle opportunità di riqualificazione; che devono essere messe in atto misure mirate per rispondere alle esigenze specifiche dei lavoratori anziani, tra cui formati di formazione adeguati all'età, tutoraggio e cooperazione con i datori di lavoro impegnati a favore di assunzioni diversificate in base all'età;</w:t>
      </w:r>
    </w:p>
    <w:p w:rsidR="001223BC" w:rsidRPr="00E5580C" w:rsidP="001223BC" w14:paraId="2D49D39A" w14:textId="77777777">
      <w:pPr>
        <w:pStyle w:val="NormalHanging12a"/>
      </w:pPr>
      <w:r w:rsidRPr="00E5580C">
        <w:t>F.</w:t>
      </w:r>
      <w:r w:rsidRPr="00E5580C">
        <w:tab/>
        <w:t>considerando che il VDAB (servizi pubblici per l'impiego nelle Fiandre) provvede al prefinanziamento e al cofinanziamento nazionale delle misure;</w:t>
      </w:r>
    </w:p>
    <w:p w:rsidR="001223BC" w:rsidRPr="00E5580C" w:rsidP="001223BC" w14:paraId="04478042" w14:textId="77777777">
      <w:pPr>
        <w:pStyle w:val="NormalHanging12a"/>
      </w:pPr>
      <w:r w:rsidRPr="00E5580C">
        <w:t>G.</w:t>
      </w:r>
      <w:r w:rsidRPr="00E5580C">
        <w:tab/>
        <w:t>considerando che sono state rispettate le condizioni relative al collocamento in esubero collettivo stabilite nella legislazione nazionale e nella normativa dell'Unione;</w:t>
      </w:r>
    </w:p>
    <w:p w:rsidR="001223BC" w:rsidRPr="00E5580C" w:rsidP="001223BC" w14:paraId="46101820" w14:textId="77777777">
      <w:pPr>
        <w:pStyle w:val="NormalHanging12a"/>
      </w:pPr>
      <w:r w:rsidRPr="00E5580C">
        <w:t>H.</w:t>
      </w:r>
      <w:r w:rsidRPr="00E5580C">
        <w:tab/>
        <w:t xml:space="preserve">considerando che i contributi finanziari del FEG dovrebbero essere orientati in primo luogo verso misure di politica attiva del lavoro e servizi personalizzati volti a reinserire </w:t>
      </w:r>
      <w:r w:rsidRPr="00E5580C">
        <w:t>i beneficiari nel mercato del lavoro in modo duraturo e in condizioni di lavoro di qualità, offrendo loro formazione professionale per agevolarne l'integrazione nel mercato del lavoro;</w:t>
      </w:r>
    </w:p>
    <w:p w:rsidR="001223BC" w:rsidRPr="00E5580C" w:rsidP="001223BC" w14:paraId="727A6DA5" w14:textId="77777777">
      <w:pPr>
        <w:pStyle w:val="NormalHanging12a"/>
      </w:pPr>
      <w:r w:rsidRPr="00E5580C">
        <w:t>I.</w:t>
      </w:r>
      <w:r w:rsidRPr="00E5580C">
        <w:tab/>
        <w:t>considerando che il FEG non deve superare un importo annuo massimo di 30 milioni di EUR (a prezzi 2018)</w:t>
      </w:r>
      <w:r>
        <w:rPr>
          <w:rStyle w:val="FootnoteReference"/>
        </w:rPr>
        <w:footnoteReference w:id="8"/>
      </w:r>
      <w:r w:rsidRPr="00E5580C">
        <w:t>;</w:t>
      </w:r>
    </w:p>
    <w:p w:rsidR="001223BC" w:rsidRPr="00E5580C" w:rsidP="001223BC" w14:paraId="5DCD53F7" w14:textId="77777777">
      <w:pPr>
        <w:pStyle w:val="NormalHanging12a"/>
      </w:pPr>
      <w:r w:rsidRPr="00E5580C">
        <w:t>1.</w:t>
      </w:r>
      <w:r w:rsidRPr="00E5580C">
        <w:tab/>
        <w:t>conviene con la Commissione sul fatto che le condizioni stabilite nel regolamento FEG, in particolare all'articolo 4, paragrafo 2, lettera a), sono soddisfatte e che il Belgio ha diritto a un contributo finanziario pari a 2 132 535 EUR a norma di tale regolamento, importo che rappresenta l'85 % dei costi totali di 2 508 865 EUR, comprendenti le spese per i servizi personalizzati, pari a 2 412 465 EUR, e le spese per le attività di preparazione, gestione, informazione e pubblicità, controllo e rendicontazione, pari a 96 400 EUR;</w:t>
      </w:r>
    </w:p>
    <w:p w:rsidR="001223BC" w:rsidRPr="00E5580C" w:rsidP="001223BC" w14:paraId="291B22D8" w14:textId="77777777">
      <w:pPr>
        <w:pStyle w:val="NormalHanging12a"/>
      </w:pPr>
      <w:r w:rsidRPr="00E5580C">
        <w:t>2.</w:t>
      </w:r>
      <w:r w:rsidRPr="00E5580C">
        <w:tab/>
        <w:t>osserva che le autorità belghe hanno presentato la domanda il 22 dicembre 2025 e che, dopo il ricevimento di ulteriori informazioni da parte del Belgio, la Commissione ha ultimato la propria valutazione il 30 aprile 2026, quasi un mese prima del termine, e l'ha comunicata al Parlamento il giorno stesso; sottolinea l'importanza di ridurre il tempo che intercorre tra la presentazione di una domanda di assistenza a titolo del FEG e la decisione di finanziamento, salvaguardando nel contempo pienamente i diritti del Parlamento europeo in quanto ramo dell'autorità di bilancio;</w:t>
      </w:r>
    </w:p>
    <w:p w:rsidR="001223BC" w:rsidRPr="00E5580C" w:rsidP="001223BC" w14:paraId="11147277" w14:textId="77777777">
      <w:pPr>
        <w:pStyle w:val="NormalHanging12a"/>
        <w:rPr>
          <w:noProof/>
        </w:rPr>
      </w:pPr>
      <w:r w:rsidRPr="00E5580C">
        <w:t>3.</w:t>
      </w:r>
      <w:r w:rsidRPr="00E5580C">
        <w:tab/>
        <w:t xml:space="preserve">osserva che la domanda riguarda 803 beneficiari interessati collocati in esubero presso l'impresa </w:t>
      </w:r>
      <w:r w:rsidRPr="00E5580C">
        <w:t>Soliver</w:t>
      </w:r>
      <w:r w:rsidRPr="00E5580C">
        <w:t>;</w:t>
      </w:r>
    </w:p>
    <w:p w:rsidR="001223BC" w:rsidRPr="00E5580C" w:rsidP="001223BC" w14:paraId="58780955" w14:textId="77777777">
      <w:pPr>
        <w:pStyle w:val="NormalHanging12a"/>
      </w:pPr>
      <w:r w:rsidRPr="00E5580C">
        <w:t>4.</w:t>
      </w:r>
      <w:r w:rsidRPr="00E5580C">
        <w:tab/>
        <w:t xml:space="preserve">prende atto che </w:t>
      </w:r>
      <w:r w:rsidRPr="00E5580C">
        <w:t>Soliver</w:t>
      </w:r>
      <w:r w:rsidRPr="00E5580C">
        <w:t>, un'impresa che fabbricava prodotti in vetro per l'edilizia e l'industria automobilistica, si è orientata esclusivamente sul vetro per l'industria automobilistica ad alta tecnologia, dopo essere stata acquisita da American Glass Products Holding (AGP) nel 2018; osserva che l'impresa ha iniziato a trovarsi in difficoltà principalmente a causa di una recessione nel settore automobilistico, derivante da ritardi nella produzione di modelli di automobili a cui erano destinati i suoi prodotti, il che ha portato a una grave riduzione della redditività e infine al fallimento dell'impresa;</w:t>
      </w:r>
    </w:p>
    <w:p w:rsidR="001223BC" w:rsidRPr="00E5580C" w:rsidP="001223BC" w14:paraId="100AF45F" w14:textId="77777777">
      <w:pPr>
        <w:pStyle w:val="NormalHanging12a"/>
        <w:rPr>
          <w:bCs/>
          <w:iCs/>
        </w:rPr>
      </w:pPr>
      <w:r w:rsidRPr="00E5580C">
        <w:t>5.</w:t>
      </w:r>
      <w:r w:rsidRPr="00E5580C">
        <w:tab/>
        <w:t>osserva che l'industria del vetro è un settore ad alta intensità energetica ed è stata gravemente colpita dal persistere di prezzi dell'energia elevati, che ne hanno notevolmente compromesso la competitività; sottolinea che il conseguimento di prezzi dell'energia competitivi a lungo termine richiede un aumento sostanziale dell'approvvigionamento energetico affidabile e a prezzi accessibili, anche attraverso la diversificazione delle fonti energetiche e delle rotte di approvvigionamento, lo sviluppo della produzione interna di energia e il pieno completamento dell'Unione dell'energia;</w:t>
      </w:r>
    </w:p>
    <w:p w:rsidR="001223BC" w:rsidRPr="00E5580C" w:rsidP="001223BC" w14:paraId="0F4DA8F8" w14:textId="77777777">
      <w:pPr>
        <w:pStyle w:val="NormalHanging12a"/>
        <w:rPr>
          <w:bCs/>
          <w:iCs/>
        </w:rPr>
      </w:pPr>
      <w:r w:rsidRPr="00E5580C">
        <w:t>6.</w:t>
      </w:r>
      <w:r w:rsidRPr="00E5580C">
        <w:tab/>
        <w:t xml:space="preserve">rileva che i lavoratori tecnicamente qualificati o quelli disposti a riqualificarsi hanno le prospettive occupazionali più favorevoli, data la carenza di professionisti in campo tecnico dovuta al ridotto coinvolgimento dei giovani nella formazione professionale e all'invecchiamento della forza lavoro; sottolinea che il reinserimento dei lavoratori licenziati e la garanzia della parità di accesso a opportunità di formazione di elevata qualità sono fondamentali per un'economia europea adeguata alle esigenze future e dotata di una solida base industriale; sottolinea l'importanza di rafforzare la </w:t>
      </w:r>
      <w:r w:rsidRPr="00E5580C">
        <w:t>competitività industriale dell'Unione in tale contesto;</w:t>
      </w:r>
    </w:p>
    <w:p w:rsidR="001223BC" w:rsidRPr="00E5580C" w:rsidP="001223BC" w14:paraId="3157FE5F" w14:textId="77777777">
      <w:pPr>
        <w:pStyle w:val="NormalHanging12a"/>
        <w:rPr>
          <w:noProof/>
        </w:rPr>
      </w:pPr>
      <w:r w:rsidRPr="00E5580C">
        <w:t>7.</w:t>
      </w:r>
      <w:r w:rsidRPr="00E5580C">
        <w:tab/>
        <w:t>si rammarica che l'aumento dei fallimenti negli ultimi anni abbia avuto un impatto negativo sul tasso di occupazione in alcune regioni del Belgio, in particolare nelle Fiandre; sottolinea che nelle Fiandre i lavoratori anziani collocati in esubero incontrano maggiori ostacoli per quanto riguarda il reinserimento nel mercato del lavoro; invita le autorità belghe a fornire un sostegno specifico su misura per aiutare i lavoratori a sviluppare ulteriormente le competenze necessarie per trovare nuovi posti di lavoro di qualità, adottando nel contempo misure volte a ridurre i fallimenti e ad affrontare le disparità sociali che portano all'esclusione della forza lavoro;</w:t>
      </w:r>
    </w:p>
    <w:p w:rsidR="001223BC" w:rsidRPr="00E5580C" w:rsidP="001223BC" w14:paraId="17C658E8" w14:textId="77777777">
      <w:pPr>
        <w:pStyle w:val="NormalHanging12a"/>
      </w:pPr>
      <w:r w:rsidRPr="00E5580C">
        <w:t>8.</w:t>
      </w:r>
      <w:r w:rsidRPr="00E5580C">
        <w:tab/>
        <w:t>ricorda che, d'intesa con gli esperti e le parti sociali, tra i servizi personalizzati destinati ai lavoratori figurano le misure seguenti: task force composta da consulenti esperti e account manager, che fornisce servizi di consulenza personalizzati; servizi di ricollocamento che forniscono una consulenza individuale; assistenza nella ricerca di un lavoro; assistenza rafforzata nella ricerca di un impiego; formazione e riqualificazione, compresa la formazione sul luogo di lavoro; partecipazione alle fiere del lavoro; sottolinea l'importanza di promuovere posti di lavoro di alta qualità e orientati al futuro, che rafforzino la competitività e sostengano la trasformazione digitale;</w:t>
      </w:r>
    </w:p>
    <w:p w:rsidR="001223BC" w:rsidRPr="00E5580C" w:rsidP="001223BC" w14:paraId="2F4D8051" w14:textId="77777777">
      <w:pPr>
        <w:pStyle w:val="NormalHanging12a"/>
      </w:pPr>
      <w:r w:rsidRPr="00E5580C">
        <w:t>9.</w:t>
      </w:r>
      <w:r w:rsidRPr="00E5580C">
        <w:tab/>
        <w:t>ricorda che il FEG è uno strumento di solidarietà e di transizione giusta e, pur fornendo sostegno in seguito alla perdita di posti di lavoro, non può sostituire una politica industriale proattiva; ritiene che la mobilitazione del FEG debba essere integrata in una risposta politica più ampia, a tutti i livelli politici, per garantire che i lavoratori interessati trovino adeguate opportunità in linea con le loro qualifiche e competenze; sottolinea che il compito principale dell'Unione deve essere quello di evitare dal principio tali chiusure, creando le condizioni per mantenere la competitività della produzione industriale e sistemi di sicurezza sociale finanziariamente sostenibili, investendo al tempo stesso nelle competenze sia dei lavoratori altamente qualificati che dei lavoratori industriali; sottolinea la necessità di fornire un sostegno specifico adattato ai profili dei lavoratori, adottando nel contempo misure volte a ridurre i fallimenti e ad affrontare le disparità sociali che portano all'esclusione della forza lavoro; sottolinea che la riduzione degli oneri normativi e amministrativi superflui è essenziale per sostenere la competitività industriale, attrarre investimenti e preservare posti di lavoro di qualità nell'Unione;</w:t>
      </w:r>
    </w:p>
    <w:p w:rsidR="001223BC" w:rsidRPr="00E5580C" w:rsidP="001223BC" w14:paraId="4B407A91" w14:textId="77777777">
      <w:pPr>
        <w:pStyle w:val="NormalHanging12a"/>
        <w:rPr>
          <w:bCs/>
          <w:iCs/>
        </w:rPr>
      </w:pPr>
      <w:r w:rsidRPr="00E5580C">
        <w:t>10.</w:t>
      </w:r>
      <w:r w:rsidRPr="00E5580C">
        <w:tab/>
        <w:t>sottolinea che le autorità belghe devono garantire la visibilità dei finanziamenti dell'Unione ed evidenziarne il valore aggiunto fornendo informazioni efficaci e mirate ai beneficiari, alle autorità regionali e locali, alle parti sociali e al grande pubblico;</w:t>
      </w:r>
    </w:p>
    <w:p w:rsidR="001223BC" w:rsidRPr="00E5580C" w:rsidP="001223BC" w14:paraId="03AAF009" w14:textId="77777777">
      <w:pPr>
        <w:pStyle w:val="NormalHanging12a"/>
      </w:pPr>
      <w:r w:rsidRPr="00E5580C">
        <w:t>11.</w:t>
      </w:r>
      <w:r w:rsidRPr="00E5580C">
        <w:tab/>
        <w:t>invita la Commissione a garantire pari visibilità allo strumento in tutti gli Stati membri e a promuoverne il valore aggiunto diffondendo informazioni mirate alle autorità nazionali, che dovrebbero trasmettere ulteriormente tali informazioni alle imprese interessate dagli esuberi, alle autorità regionali e locali, alle parti sociali e al pubblico in generale;</w:t>
      </w:r>
    </w:p>
    <w:p w:rsidR="001223BC" w:rsidRPr="00E5580C" w:rsidP="001223BC" w14:paraId="4FC73733" w14:textId="77777777">
      <w:pPr>
        <w:pStyle w:val="NormalHanging12a"/>
        <w:rPr>
          <w:bCs/>
          <w:iCs/>
        </w:rPr>
      </w:pPr>
      <w:r w:rsidRPr="00E5580C">
        <w:t>12.</w:t>
      </w:r>
      <w:r w:rsidRPr="00E5580C">
        <w:tab/>
        <w:t>chiede valutazioni finali approfondite, unitamente alle parti sociali, delle misure attuate, incluse informazioni chiare e trasparenti riguardanti le modalità di impiego dei fondi, il reinserimento dei lavoratori nel mercato del lavoro e il conseguimento o meno degli obiettivi del FEG; sottolinea, in tale contesto, l'importanza di un monitoraggio regolare delle misure finanziate dal FEG al fine di valutarne l'efficacia;</w:t>
      </w:r>
    </w:p>
    <w:p w:rsidR="001223BC" w:rsidRPr="00E5580C" w:rsidP="001223BC" w14:paraId="289D86A1" w14:textId="77777777">
      <w:pPr>
        <w:pStyle w:val="NormalHanging12a"/>
      </w:pPr>
      <w:r w:rsidRPr="00E5580C">
        <w:t>13.</w:t>
      </w:r>
      <w:r w:rsidRPr="00E5580C">
        <w:tab/>
        <w:t>rileva che il Belgio ha iniziato a fornire servizi personalizzati ai beneficiari interessati e ha iniziato a sostenere le spese amministrative per l'attuazione del FEG l'11 giugno 2025 e che il periodo di ammissibilità a un contributo finanziario del FEG andrà pertanto dalla data in questione fino a, rispettivamente, 24 mesi e 31 mesi dopo la data di entrata in vigore della decisione di finanziamento;</w:t>
      </w:r>
    </w:p>
    <w:p w:rsidR="001223BC" w:rsidRPr="00E5580C" w:rsidP="001223BC" w14:paraId="3E42A5EE" w14:textId="77777777">
      <w:pPr>
        <w:pStyle w:val="NormalHanging12a"/>
      </w:pPr>
      <w:r w:rsidRPr="00E5580C">
        <w:t>14.</w:t>
      </w:r>
      <w:r w:rsidRPr="00E5580C">
        <w:tab/>
        <w:t>osserva che le autorità belghe hanno garantito che per l'accesso alle misure proposte e per la loro attuazione saranno rispettati i principi di parità di trattamento e di non discriminazione e che si eviterà qualsiasi doppio finanziamento;</w:t>
      </w:r>
    </w:p>
    <w:p w:rsidR="001223BC" w:rsidRPr="00E5580C" w:rsidP="001223BC" w14:paraId="1DE47454" w14:textId="77777777">
      <w:pPr>
        <w:pStyle w:val="NormalHanging12a"/>
      </w:pPr>
      <w:r w:rsidRPr="00E5580C">
        <w:t>15.</w:t>
      </w:r>
      <w:r w:rsidRPr="00E5580C">
        <w:tab/>
        <w:t>ribadisce che l'aiuto del FEG non deve sostituire le misure che sono di competenza delle autorità pubbliche o delle imprese in virtù del diritto nazionale o dei contratti collettivi; ricorda che il FEG è un meccanismo limitato, mirato e complementare.</w:t>
      </w:r>
    </w:p>
    <w:p w:rsidR="001223BC" w:rsidRPr="00E5580C" w:rsidP="001223BC" w14:paraId="604F7E53" w14:textId="77777777">
      <w:pPr>
        <w:pStyle w:val="NormalHanging12a"/>
      </w:pPr>
      <w:r w:rsidRPr="00E5580C">
        <w:t>16.</w:t>
      </w:r>
      <w:r w:rsidRPr="00E5580C">
        <w:tab/>
        <w:t>approva la decisione allegata alla presente risoluzione;</w:t>
      </w:r>
    </w:p>
    <w:p w:rsidR="001223BC" w:rsidRPr="00E5580C" w:rsidP="001223BC" w14:paraId="64AE1EC0" w14:textId="77777777">
      <w:pPr>
        <w:pStyle w:val="NormalHanging12a"/>
      </w:pPr>
      <w:r w:rsidRPr="00E5580C">
        <w:t>17.</w:t>
      </w:r>
      <w:r w:rsidRPr="00E5580C">
        <w:tab/>
        <w:t xml:space="preserve">incarica la sua Presidente di firmare tale decisione congiuntamente al Presidente del Consiglio e di provvedere alla pubblicazione nella </w:t>
      </w:r>
      <w:r w:rsidRPr="00E5580C">
        <w:rPr>
          <w:i/>
        </w:rPr>
        <w:t>Gazzetta ufficiale dell'Unione europea</w:t>
      </w:r>
      <w:r w:rsidRPr="00E5580C">
        <w:t>;</w:t>
      </w:r>
    </w:p>
    <w:p w:rsidR="001223BC" w:rsidRPr="00E5580C" w:rsidP="001223BC" w14:paraId="06DE9B79" w14:textId="77777777">
      <w:pPr>
        <w:pStyle w:val="NormalHanging12a"/>
      </w:pPr>
      <w:r w:rsidRPr="00E5580C">
        <w:t>18.</w:t>
      </w:r>
      <w:r w:rsidRPr="00E5580C">
        <w:tab/>
        <w:t>incarica la sua Presidente di trasmettere la presente risoluzione, compreso l'allegato, al Consiglio e alla Commissione.</w:t>
      </w:r>
    </w:p>
    <w:p w:rsidR="001223BC" w:rsidRPr="00E5580C" w:rsidP="001223BC" w14:paraId="6A25B381" w14:textId="77777777"/>
    <w:p w:rsidR="001223BC" w:rsidRPr="00E5580C" w:rsidP="001223BC" w14:paraId="43644AC2" w14:textId="77777777">
      <w:pPr>
        <w:pStyle w:val="PageHeading"/>
        <w:sectPr w:rsidSect="00BE0EED">
          <w:footerReference w:type="even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25C6C" w:rsidRPr="00525C6C" w:rsidP="002D6069" w14:paraId="4F95454A" w14:textId="77777777">
      <w:pPr>
        <w:pStyle w:val="PageHeading"/>
        <w:rPr>
          <w:rFonts w:ascii="Times New Roman" w:hAnsi="Times New Roman" w:cs="Times New Roman"/>
        </w:rPr>
      </w:pPr>
      <w:bookmarkStart w:id="7" w:name="_Toc232166356"/>
      <w:r w:rsidRPr="00525C6C">
        <w:rPr>
          <w:rFonts w:ascii="Times New Roman" w:hAnsi="Times New Roman" w:cs="Times New Roman"/>
        </w:rPr>
        <w:t>ALLEGATO</w:t>
      </w:r>
    </w:p>
    <w:p w:rsidR="001223BC" w:rsidRPr="00525C6C" w:rsidP="002D6069" w14:paraId="7994C7B8" w14:textId="61DBFD67">
      <w:pPr>
        <w:pStyle w:val="PageHeading"/>
        <w:rPr>
          <w:rFonts w:ascii="Times New Roman" w:hAnsi="Times New Roman" w:cs="Times New Roman"/>
        </w:rPr>
      </w:pPr>
      <w:r w:rsidRPr="00525C6C">
        <w:rPr>
          <w:rFonts w:ascii="Times New Roman" w:hAnsi="Times New Roman" w:cs="Times New Roman"/>
        </w:rPr>
        <w:t>DECISIONE DEL PARLAMENTO EUROPEO E DEL CONSIGLIO</w:t>
      </w:r>
      <w:bookmarkEnd w:id="7"/>
    </w:p>
    <w:p w:rsidR="001223BC" w:rsidRPr="00525C6C" w:rsidP="00525C6C" w14:paraId="5BBED67A" w14:textId="77777777">
      <w:pPr>
        <w:pStyle w:val="Titreobjet"/>
      </w:pPr>
      <w:r w:rsidRPr="00525C6C">
        <w:t>relativa alla mobilitazione del Fondo europeo di adeguamento alla globalizzazione per i lavoratori espulsi dal lavoro a seguito di una domanda presentata dal Belgio – EGF/2025/009 BE/</w:t>
      </w:r>
      <w:r w:rsidRPr="00525C6C">
        <w:t>Soliver</w:t>
      </w:r>
    </w:p>
    <w:p w:rsidR="001223BC" w:rsidRPr="00E5580C" w:rsidP="00525C6C" w14:paraId="4336F13E" w14:textId="1BEB04E1">
      <w:pPr>
        <w:rPr>
          <w:i/>
        </w:rPr>
      </w:pPr>
      <w:bookmarkStart w:id="8" w:name="_Hlk228802707"/>
      <w:bookmarkEnd w:id="8"/>
      <w:r w:rsidRPr="00CD492A">
        <w:rPr>
          <w:i/>
        </w:rPr>
        <w:t xml:space="preserve">(Il testo dell'allegato non figura poiché esso corrisponde all'atto finale, la decisione (UE) </w:t>
      </w:r>
      <w:r>
        <w:rPr>
          <w:i/>
        </w:rPr>
        <w:t>1543</w:t>
      </w:r>
      <w:r>
        <w:rPr>
          <w:i/>
        </w:rPr>
        <w:t>.</w:t>
      </w:r>
      <w:r w:rsidRPr="00CD492A">
        <w:rPr>
          <w:i/>
        </w:rPr>
        <w:t>)</w:t>
      </w:r>
    </w:p>
    <w:sectPr w:rsidSect="00BE0E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23BC" w:rsidRPr="00BE0EED" w:rsidP="004A562C" w14:paraId="480DBAF6" w14:textId="77777777">
    <w:pPr>
      <w:pStyle w:val="EPFooter"/>
    </w:pPr>
    <w:r w:rsidRPr="00BE0EED">
      <w:t>PE</w:t>
    </w:r>
    <w:r w:rsidRPr="00BE0EED">
      <w:rPr>
        <w:rStyle w:val="HideTWBExt"/>
      </w:rPr>
      <w:t>&lt;</w:t>
    </w:r>
    <w:r w:rsidRPr="00BE0EED">
      <w:rPr>
        <w:rStyle w:val="HideTWBExt"/>
      </w:rPr>
      <w:t>NoPE</w:t>
    </w:r>
    <w:r w:rsidRPr="00BE0EED">
      <w:rPr>
        <w:rStyle w:val="HideTWBExt"/>
      </w:rPr>
      <w:t>&gt;</w:t>
    </w:r>
    <w:r w:rsidRPr="00BE0EED">
      <w:t>787.923</w:t>
    </w:r>
    <w:r w:rsidRPr="00BE0EED">
      <w:rPr>
        <w:rStyle w:val="HideTWBExt"/>
      </w:rPr>
      <w:t>&lt;/</w:t>
    </w:r>
    <w:r w:rsidRPr="00BE0EED">
      <w:rPr>
        <w:rStyle w:val="HideTWBExt"/>
      </w:rPr>
      <w:t>NoPE</w:t>
    </w:r>
    <w:r w:rsidRPr="00BE0EED">
      <w:rPr>
        <w:rStyle w:val="HideTWBExt"/>
      </w:rPr>
      <w:t>&gt;&lt;Version&gt;</w:t>
    </w:r>
    <w:r w:rsidRPr="00BE0EED">
      <w:t>v02-00</w:t>
    </w:r>
    <w:r w:rsidRPr="00BE0EED">
      <w:rPr>
        <w:rStyle w:val="HideTWBExt"/>
      </w:rPr>
      <w:t>&lt;/Version&gt;</w:t>
    </w:r>
    <w:r w:rsidRPr="00BE0EED">
      <w:tab/>
    </w:r>
    <w:r w:rsidRPr="00BE0EED">
      <w:fldChar w:fldCharType="begin"/>
    </w:r>
    <w:r w:rsidRPr="00BE0EED">
      <w:instrText xml:space="preserve"> PAGE  \* MERGEFORMAT </w:instrText>
    </w:r>
    <w:r w:rsidRPr="00BE0EED">
      <w:fldChar w:fldCharType="separate"/>
    </w:r>
    <w:r w:rsidRPr="00BE0EED">
      <w:rPr>
        <w:noProof/>
      </w:rPr>
      <w:t>2</w:t>
    </w:r>
    <w:r w:rsidRPr="00BE0EED">
      <w:fldChar w:fldCharType="end"/>
    </w:r>
    <w:r w:rsidRPr="00BE0EED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BE0EED">
      <w:rPr>
        <w:noProof/>
      </w:rPr>
      <w:t>1</w:t>
    </w:r>
    <w:r w:rsidRPr="00BE0EED">
      <w:rPr>
        <w:noProof/>
      </w:rPr>
      <w:fldChar w:fldCharType="end"/>
    </w:r>
    <w:r w:rsidRPr="00BE0EED">
      <w:tab/>
    </w:r>
    <w:r w:rsidRPr="00BE0EED">
      <w:rPr>
        <w:rStyle w:val="HideTWBExt"/>
      </w:rPr>
      <w:t>&lt;PathFdR&gt;</w:t>
    </w:r>
    <w:r w:rsidRPr="00BE0EED">
      <w:t>RR\1345097IT.docx</w:t>
    </w:r>
    <w:r w:rsidRPr="00BE0EED">
      <w:rPr>
        <w:rStyle w:val="HideTWBExt"/>
      </w:rPr>
      <w:t>&lt;/</w:t>
    </w:r>
    <w:r w:rsidRPr="00BE0EED">
      <w:rPr>
        <w:rStyle w:val="HideTWBExt"/>
      </w:rPr>
      <w:t>PathFdR</w:t>
    </w:r>
    <w:r w:rsidRPr="00BE0EED">
      <w:rPr>
        <w:rStyle w:val="HideTWBExt"/>
      </w:rPr>
      <w:t>&gt;</w:t>
    </w:r>
  </w:p>
  <w:p w:rsidR="001223BC" w:rsidRPr="00BE0EED" w:rsidP="004A562C" w14:paraId="51CA4B9A" w14:textId="77777777">
    <w:pPr>
      <w:pStyle w:val="EPFooter2"/>
    </w:pPr>
    <w:r w:rsidRPr="00BE0EED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23BC" w:rsidRPr="00BE0EED" w:rsidP="004A562C" w14:paraId="7595274A" w14:textId="77777777">
    <w:pPr>
      <w:pStyle w:val="EPFooter"/>
    </w:pPr>
    <w:r w:rsidRPr="00BE0EED">
      <w:rPr>
        <w:rStyle w:val="HideTWBExt"/>
      </w:rPr>
      <w:t>&lt;PathFdR&gt;</w:t>
    </w:r>
    <w:r w:rsidRPr="00BE0EED">
      <w:t>RR\1345097IT.docx</w:t>
    </w:r>
    <w:r w:rsidRPr="00BE0EED">
      <w:rPr>
        <w:rStyle w:val="HideTWBExt"/>
      </w:rPr>
      <w:t>&lt;/</w:t>
    </w:r>
    <w:r w:rsidRPr="00BE0EED">
      <w:rPr>
        <w:rStyle w:val="HideTWBExt"/>
      </w:rPr>
      <w:t>PathFdR</w:t>
    </w:r>
    <w:r w:rsidRPr="00BE0EED">
      <w:rPr>
        <w:rStyle w:val="HideTWBExt"/>
      </w:rPr>
      <w:t>&gt;</w:t>
    </w:r>
    <w:r w:rsidRPr="00BE0EED">
      <w:tab/>
    </w:r>
    <w:r w:rsidRPr="00BE0EED">
      <w:tab/>
      <w:t>PE</w:t>
    </w:r>
    <w:r w:rsidRPr="00BE0EED">
      <w:rPr>
        <w:rStyle w:val="HideTWBExt"/>
      </w:rPr>
      <w:t>&lt;</w:t>
    </w:r>
    <w:r w:rsidRPr="00BE0EED">
      <w:rPr>
        <w:rStyle w:val="HideTWBExt"/>
      </w:rPr>
      <w:t>NoPE</w:t>
    </w:r>
    <w:r w:rsidRPr="00BE0EED">
      <w:rPr>
        <w:rStyle w:val="HideTWBExt"/>
      </w:rPr>
      <w:t>&gt;</w:t>
    </w:r>
    <w:r w:rsidRPr="00BE0EED">
      <w:t>787.923</w:t>
    </w:r>
    <w:r w:rsidRPr="00BE0EED">
      <w:rPr>
        <w:rStyle w:val="HideTWBExt"/>
      </w:rPr>
      <w:t>&lt;/</w:t>
    </w:r>
    <w:r w:rsidRPr="00BE0EED">
      <w:rPr>
        <w:rStyle w:val="HideTWBExt"/>
      </w:rPr>
      <w:t>NoPE</w:t>
    </w:r>
    <w:r w:rsidRPr="00BE0EED">
      <w:rPr>
        <w:rStyle w:val="HideTWBExt"/>
      </w:rPr>
      <w:t>&gt;&lt;Version&gt;</w:t>
    </w:r>
    <w:r w:rsidRPr="00BE0EED">
      <w:t>v02-00</w:t>
    </w:r>
    <w:r w:rsidRPr="00BE0EED">
      <w:rPr>
        <w:rStyle w:val="HideTWBExt"/>
      </w:rPr>
      <w:t>&lt;/Version&gt;</w:t>
    </w:r>
  </w:p>
  <w:p w:rsidR="001223BC" w:rsidRPr="00BE0EED" w:rsidP="004A562C" w14:paraId="76114049" w14:textId="77777777">
    <w:pPr>
      <w:pStyle w:val="EPFooter2"/>
    </w:pPr>
    <w:r w:rsidRPr="00BE0EED">
      <w:t>IT</w:t>
    </w:r>
    <w:r w:rsidRPr="00BE0EED">
      <w:tab/>
    </w:r>
    <w:r w:rsidRPr="00BE0EED">
      <w:rPr>
        <w:b w:val="0"/>
        <w:i/>
        <w:color w:val="C0C0C0"/>
        <w:sz w:val="22"/>
      </w:rPr>
      <w:t>Unita nella diversità</w:t>
    </w:r>
    <w:r w:rsidRPr="00BE0EED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EED" w14:paraId="49CB86CC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EED" w14:paraId="16740965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EED" w14:paraId="3642E98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C6FB2" w:rsidRPr="00BE0EED" w14:paraId="04602AEF" w14:textId="77777777">
      <w:r w:rsidRPr="00BE0EED">
        <w:separator/>
      </w:r>
    </w:p>
  </w:footnote>
  <w:footnote w:type="continuationSeparator" w:id="1">
    <w:p w:rsidR="00FC6FB2" w:rsidRPr="00BE0EED" w14:paraId="71DF2025" w14:textId="77777777">
      <w:r w:rsidRPr="00BE0EED">
        <w:continuationSeparator/>
      </w:r>
    </w:p>
  </w:footnote>
  <w:footnote w:id="2">
    <w:p w:rsidR="001223BC" w:rsidRPr="002D6069" w:rsidP="00BE0EED" w14:paraId="5C969227" w14:textId="3E79562E">
      <w:pPr>
        <w:pStyle w:val="FootnoteText"/>
        <w:ind w:left="567" w:hanging="567"/>
        <w:rPr>
          <w:sz w:val="24"/>
          <w:lang w:val="it-IT"/>
        </w:rPr>
      </w:pPr>
      <w:r w:rsidRPr="00BE0EED">
        <w:rPr>
          <w:rStyle w:val="FootnoteReference"/>
          <w:sz w:val="24"/>
          <w:lang w:val="it-IT"/>
        </w:rPr>
        <w:footnoteRef/>
      </w:r>
      <w:r w:rsidRPr="002D6069" w:rsidR="00BE0EED">
        <w:rPr>
          <w:sz w:val="24"/>
          <w:lang w:val="it-IT"/>
        </w:rPr>
        <w:t xml:space="preserve"> </w:t>
      </w:r>
      <w:r w:rsidRPr="002D6069" w:rsidR="00BE0EED">
        <w:rPr>
          <w:sz w:val="24"/>
          <w:lang w:val="it-IT"/>
        </w:rPr>
        <w:tab/>
      </w:r>
      <w:r w:rsidRPr="002D6069">
        <w:rPr>
          <w:sz w:val="24"/>
          <w:lang w:val="it-IT"/>
        </w:rPr>
        <w:t>GU L 153</w:t>
      </w:r>
      <w:r w:rsidRPr="00E5580C" w:rsidR="007B4B50">
        <w:rPr>
          <w:sz w:val="24"/>
          <w:lang w:val="it-IT"/>
        </w:rPr>
        <w:t xml:space="preserve"> del</w:t>
      </w:r>
      <w:r w:rsidRPr="002D6069">
        <w:rPr>
          <w:sz w:val="24"/>
          <w:lang w:val="it-IT"/>
        </w:rPr>
        <w:t xml:space="preserve"> 3.5.2021, pag. 48, ELI: </w:t>
      </w:r>
      <w:hyperlink r:id="rId1" w:history="1">
        <w:r w:rsidRPr="002D6069">
          <w:rPr>
            <w:rStyle w:val="Hyperlink"/>
            <w:sz w:val="24"/>
            <w:lang w:val="it-IT"/>
          </w:rPr>
          <w:t>http://data.europa.eu/eli/reg/2021/691/oj</w:t>
        </w:r>
      </w:hyperlink>
      <w:r w:rsidRPr="002D6069">
        <w:rPr>
          <w:sz w:val="24"/>
          <w:lang w:val="it-IT"/>
        </w:rPr>
        <w:t>.</w:t>
      </w:r>
    </w:p>
  </w:footnote>
  <w:footnote w:id="3">
    <w:p w:rsidR="001223BC" w:rsidRPr="002D6069" w:rsidP="00BE0EED" w14:paraId="1771B784" w14:textId="22E8D7BB">
      <w:pPr>
        <w:pStyle w:val="FootnoteText"/>
        <w:ind w:left="567" w:hanging="567"/>
        <w:rPr>
          <w:sz w:val="24"/>
          <w:lang w:val="it-IT"/>
        </w:rPr>
      </w:pPr>
      <w:r w:rsidRPr="00BE0EED">
        <w:rPr>
          <w:rStyle w:val="FootnoteReference"/>
          <w:sz w:val="24"/>
          <w:lang w:val="it-IT"/>
        </w:rPr>
        <w:footnoteRef/>
      </w:r>
      <w:r w:rsidRPr="002D6069" w:rsidR="00BE0EED">
        <w:rPr>
          <w:sz w:val="24"/>
          <w:lang w:val="it-IT"/>
        </w:rPr>
        <w:t xml:space="preserve"> </w:t>
      </w:r>
      <w:r w:rsidRPr="002D6069" w:rsidR="00BE0EED">
        <w:rPr>
          <w:sz w:val="24"/>
          <w:lang w:val="it-IT"/>
        </w:rPr>
        <w:tab/>
      </w:r>
      <w:r w:rsidRPr="002D6069">
        <w:rPr>
          <w:sz w:val="24"/>
          <w:lang w:val="it-IT"/>
        </w:rPr>
        <w:t>GU L, 2026/1139, 20.5.2026, ELI: </w:t>
      </w:r>
      <w:hyperlink r:id="rId2" w:tgtFrame="_blank" w:tooltip="Gives access to this document through its ELI URI." w:history="1">
        <w:r w:rsidRPr="002D6069">
          <w:rPr>
            <w:rStyle w:val="Hyperlink"/>
            <w:color w:val="0070C0"/>
            <w:sz w:val="24"/>
            <w:lang w:val="it-IT"/>
          </w:rPr>
          <w:t>http://data.europa.eu/eli/reg/2026/1139/oj</w:t>
        </w:r>
      </w:hyperlink>
      <w:r w:rsidRPr="002D6069">
        <w:rPr>
          <w:color w:val="0070C0"/>
          <w:sz w:val="24"/>
          <w:lang w:val="it-IT"/>
        </w:rPr>
        <w:t>.</w:t>
      </w:r>
    </w:p>
  </w:footnote>
  <w:footnote w:id="4">
    <w:p w:rsidR="001223BC" w:rsidRPr="00BE0EED" w:rsidP="00BE0EED" w14:paraId="0099F22A" w14:textId="3D652C41">
      <w:pPr>
        <w:pStyle w:val="FootnoteText"/>
        <w:ind w:left="567" w:hanging="567"/>
        <w:rPr>
          <w:sz w:val="24"/>
          <w:lang w:val="it-IT"/>
        </w:rPr>
      </w:pPr>
      <w:r w:rsidRPr="00BE0EED">
        <w:rPr>
          <w:rStyle w:val="FootnoteReference"/>
          <w:sz w:val="24"/>
          <w:lang w:val="it-IT"/>
        </w:rPr>
        <w:footnoteRef/>
      </w:r>
      <w:r w:rsidRPr="00BE0EED" w:rsidR="00BE0EED">
        <w:rPr>
          <w:sz w:val="24"/>
          <w:lang w:val="it-IT"/>
        </w:rPr>
        <w:t xml:space="preserve"> </w:t>
      </w:r>
      <w:r w:rsidRPr="00BE0EED" w:rsidR="00BE0EED">
        <w:rPr>
          <w:sz w:val="24"/>
          <w:lang w:val="it-IT"/>
        </w:rPr>
        <w:tab/>
      </w:r>
      <w:r w:rsidRPr="00BE0EED">
        <w:rPr>
          <w:sz w:val="24"/>
          <w:lang w:val="it-IT"/>
        </w:rPr>
        <w:t xml:space="preserve">GU L 433 I del 22.12.2020, pag. 11, ELI: </w:t>
      </w:r>
      <w:hyperlink r:id="rId3" w:history="1">
        <w:r w:rsidRPr="00BE0EED">
          <w:rPr>
            <w:rStyle w:val="Hyperlink"/>
            <w:sz w:val="24"/>
            <w:lang w:val="it-IT"/>
          </w:rPr>
          <w:t>http://data.europa.eu/eli/reg/2020/2093/oj</w:t>
        </w:r>
      </w:hyperlink>
      <w:r w:rsidRPr="00BE0EED">
        <w:rPr>
          <w:sz w:val="24"/>
          <w:lang w:val="it-IT"/>
        </w:rPr>
        <w:t>.</w:t>
      </w:r>
    </w:p>
  </w:footnote>
  <w:footnote w:id="5">
    <w:p w:rsidR="001223BC" w:rsidRPr="00BE0EED" w:rsidP="00BE0EED" w14:paraId="2CEBD301" w14:textId="08C7E260">
      <w:pPr>
        <w:pStyle w:val="FootnoteText"/>
        <w:ind w:left="567" w:hanging="567"/>
        <w:rPr>
          <w:sz w:val="24"/>
          <w:lang w:val="it-IT"/>
        </w:rPr>
      </w:pPr>
      <w:r w:rsidRPr="00BE0EED">
        <w:rPr>
          <w:rStyle w:val="FootnoteReference"/>
          <w:sz w:val="24"/>
          <w:lang w:val="it-IT"/>
        </w:rPr>
        <w:footnoteRef/>
      </w:r>
      <w:r w:rsidRPr="00BE0EED" w:rsidR="00BE0EED">
        <w:rPr>
          <w:sz w:val="24"/>
          <w:shd w:val="clear" w:color="auto" w:fill="FFFFFF"/>
          <w:lang w:val="it-IT"/>
        </w:rPr>
        <w:t xml:space="preserve"> </w:t>
      </w:r>
      <w:r w:rsidRPr="00BE0EED" w:rsidR="00BE0EED">
        <w:rPr>
          <w:sz w:val="24"/>
          <w:shd w:val="clear" w:color="auto" w:fill="FFFFFF"/>
          <w:lang w:val="it-IT"/>
        </w:rPr>
        <w:tab/>
      </w:r>
      <w:r w:rsidRPr="00BE0EED">
        <w:rPr>
          <w:sz w:val="24"/>
          <w:shd w:val="clear" w:color="auto" w:fill="FFFFFF"/>
          <w:lang w:val="it-IT"/>
        </w:rPr>
        <w:t xml:space="preserve">Regolamento (UE, </w:t>
      </w:r>
      <w:r w:rsidRPr="00BE0EED">
        <w:rPr>
          <w:sz w:val="24"/>
          <w:shd w:val="clear" w:color="auto" w:fill="FFFFFF"/>
          <w:lang w:val="it-IT"/>
        </w:rPr>
        <w:t>Euratom</w:t>
      </w:r>
      <w:r w:rsidRPr="00BE0EED">
        <w:rPr>
          <w:sz w:val="24"/>
          <w:shd w:val="clear" w:color="auto" w:fill="FFFFFF"/>
          <w:lang w:val="it-IT"/>
        </w:rPr>
        <w:t xml:space="preserve">) 2024/765 del Consiglio, del 29 febbraio 2024, recante modifica del regolamento (UE, </w:t>
      </w:r>
      <w:r w:rsidRPr="00BE0EED">
        <w:rPr>
          <w:sz w:val="24"/>
          <w:shd w:val="clear" w:color="auto" w:fill="FFFFFF"/>
          <w:lang w:val="it-IT"/>
        </w:rPr>
        <w:t>Euratom</w:t>
      </w:r>
      <w:r w:rsidRPr="00BE0EED">
        <w:rPr>
          <w:sz w:val="24"/>
          <w:shd w:val="clear" w:color="auto" w:fill="FFFFFF"/>
          <w:lang w:val="it-IT"/>
        </w:rPr>
        <w:t>) 2020/2093 che stabilisce il quadro finanziario pluriennale per il periodo 2021-2027 (GU L, 2024/765, 29.2.2024, ELI:</w:t>
      </w:r>
      <w:r w:rsidRPr="00BE0EED">
        <w:rPr>
          <w:color w:val="333333"/>
          <w:sz w:val="24"/>
          <w:shd w:val="clear" w:color="auto" w:fill="FFFFFF"/>
          <w:lang w:val="it-IT"/>
        </w:rPr>
        <w:t xml:space="preserve"> </w:t>
      </w:r>
      <w:hyperlink r:id="rId4" w:history="1">
        <w:r w:rsidRPr="00BE0EED">
          <w:rPr>
            <w:rStyle w:val="Hyperlink"/>
            <w:sz w:val="24"/>
            <w:shd w:val="clear" w:color="auto" w:fill="FFFFFF"/>
            <w:lang w:val="it-IT"/>
          </w:rPr>
          <w:t>http://data.europa.eu/eli/reg/2024/765/oj</w:t>
        </w:r>
      </w:hyperlink>
      <w:r w:rsidRPr="00BE0EED">
        <w:rPr>
          <w:i/>
          <w:color w:val="333333"/>
          <w:sz w:val="24"/>
          <w:shd w:val="clear" w:color="auto" w:fill="FFFFFF"/>
          <w:lang w:val="it-IT"/>
        </w:rPr>
        <w:t>).</w:t>
      </w:r>
    </w:p>
  </w:footnote>
  <w:footnote w:id="6">
    <w:p w:rsidR="001223BC" w:rsidRPr="00BE0EED" w:rsidP="00BE0EED" w14:paraId="6E0AAB79" w14:textId="0C33D310">
      <w:pPr>
        <w:pStyle w:val="FootnoteText"/>
        <w:ind w:left="567" w:hanging="567"/>
        <w:rPr>
          <w:sz w:val="24"/>
          <w:lang w:val="it-IT"/>
        </w:rPr>
      </w:pPr>
      <w:r w:rsidRPr="00BE0EED">
        <w:rPr>
          <w:rStyle w:val="FootnoteReference"/>
          <w:sz w:val="24"/>
          <w:lang w:val="it-IT"/>
        </w:rPr>
        <w:footnoteRef/>
      </w:r>
      <w:r w:rsidRPr="00BE0EED" w:rsidR="00BE0EED">
        <w:rPr>
          <w:sz w:val="24"/>
          <w:lang w:val="it-IT"/>
        </w:rPr>
        <w:t xml:space="preserve"> </w:t>
      </w:r>
      <w:r w:rsidRPr="00BE0EED" w:rsidR="00BE0EED">
        <w:rPr>
          <w:sz w:val="24"/>
          <w:lang w:val="it-IT"/>
        </w:rPr>
        <w:tab/>
      </w:r>
      <w:r w:rsidRPr="00BE0EED">
        <w:rPr>
          <w:sz w:val="24"/>
          <w:lang w:val="it-IT"/>
        </w:rPr>
        <w:t xml:space="preserve">GU L 433 I del 22.12.2020, pag. 28, ELI: </w:t>
      </w:r>
      <w:hyperlink r:id="rId5" w:history="1">
        <w:r w:rsidRPr="00BE0EED">
          <w:rPr>
            <w:rStyle w:val="Hyperlink"/>
            <w:sz w:val="24"/>
            <w:lang w:val="it-IT"/>
          </w:rPr>
          <w:t>http://data.europa.eu/eli/agree_interinstit/2020/1222/oj</w:t>
        </w:r>
      </w:hyperlink>
      <w:r w:rsidRPr="00BE0EED">
        <w:rPr>
          <w:sz w:val="24"/>
          <w:lang w:val="it-IT"/>
        </w:rPr>
        <w:t>.</w:t>
      </w:r>
    </w:p>
  </w:footnote>
  <w:footnote w:id="7">
    <w:p w:rsidR="001223BC" w:rsidRPr="00BE0EED" w:rsidP="00BE0EED" w14:paraId="2A612BB2" w14:textId="72CA1CA7">
      <w:pPr>
        <w:pStyle w:val="FootnoteText"/>
        <w:ind w:left="567" w:hanging="567"/>
        <w:rPr>
          <w:sz w:val="24"/>
          <w:lang w:val="it-IT"/>
        </w:rPr>
      </w:pPr>
      <w:r w:rsidRPr="00BE0EED">
        <w:rPr>
          <w:rStyle w:val="FootnoteReference"/>
          <w:sz w:val="24"/>
          <w:lang w:val="it-IT"/>
        </w:rPr>
        <w:footnoteRef/>
      </w:r>
      <w:r w:rsidRPr="00BE0EED" w:rsidR="00BE0EED">
        <w:rPr>
          <w:sz w:val="24"/>
          <w:lang w:val="it-IT"/>
        </w:rPr>
        <w:t xml:space="preserve"> </w:t>
      </w:r>
      <w:r w:rsidRPr="00BE0EED" w:rsidR="00BE0EED">
        <w:rPr>
          <w:sz w:val="24"/>
          <w:lang w:val="it-IT"/>
        </w:rPr>
        <w:tab/>
      </w:r>
      <w:r w:rsidRPr="00BE0EED">
        <w:rPr>
          <w:sz w:val="24"/>
          <w:lang w:val="it-IT"/>
        </w:rPr>
        <w:t>Ai sensi dell'articolo 3 del regolamento FEG.</w:t>
      </w:r>
    </w:p>
  </w:footnote>
  <w:footnote w:id="8">
    <w:p w:rsidR="001223BC" w:rsidRPr="00BE0EED" w:rsidP="00BE0EED" w14:paraId="6CD608BA" w14:textId="58D99FC6">
      <w:pPr>
        <w:pStyle w:val="FootnoteText"/>
        <w:ind w:left="567" w:hanging="567"/>
        <w:rPr>
          <w:sz w:val="24"/>
          <w:lang w:val="it-IT"/>
        </w:rPr>
      </w:pPr>
      <w:r w:rsidRPr="00BE0EED">
        <w:rPr>
          <w:rStyle w:val="FootnoteReference"/>
          <w:sz w:val="24"/>
          <w:lang w:val="it-IT"/>
        </w:rPr>
        <w:footnoteRef/>
      </w:r>
      <w:r w:rsidRPr="00BE0EED" w:rsidR="00BE0EED">
        <w:rPr>
          <w:sz w:val="24"/>
          <w:lang w:val="it-IT"/>
        </w:rPr>
        <w:t xml:space="preserve"> </w:t>
      </w:r>
      <w:r w:rsidRPr="00BE0EED" w:rsidR="00BE0EED">
        <w:rPr>
          <w:sz w:val="24"/>
          <w:lang w:val="it-IT"/>
        </w:rPr>
        <w:tab/>
      </w:r>
      <w:r w:rsidRPr="00BE0EED">
        <w:rPr>
          <w:sz w:val="24"/>
          <w:lang w:val="it-IT"/>
        </w:rPr>
        <w:t>Articolo 8 del regolamento 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EED" w14:paraId="0925635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EED" w14:paraId="73B6F5E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EED" w14:paraId="1A605F0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9605702">
    <w:abstractNumId w:val="9"/>
  </w:num>
  <w:num w:numId="2" w16cid:durableId="1337150384">
    <w:abstractNumId w:val="9"/>
  </w:num>
  <w:num w:numId="3" w16cid:durableId="1513059309">
    <w:abstractNumId w:val="7"/>
  </w:num>
  <w:num w:numId="4" w16cid:durableId="2141914922">
    <w:abstractNumId w:val="7"/>
  </w:num>
  <w:num w:numId="5" w16cid:durableId="853685466">
    <w:abstractNumId w:val="6"/>
  </w:num>
  <w:num w:numId="6" w16cid:durableId="1961106423">
    <w:abstractNumId w:val="6"/>
  </w:num>
  <w:num w:numId="7" w16cid:durableId="448938077">
    <w:abstractNumId w:val="5"/>
  </w:num>
  <w:num w:numId="8" w16cid:durableId="1320424661">
    <w:abstractNumId w:val="5"/>
  </w:num>
  <w:num w:numId="9" w16cid:durableId="1504082779">
    <w:abstractNumId w:val="4"/>
  </w:num>
  <w:num w:numId="10" w16cid:durableId="945305075">
    <w:abstractNumId w:val="4"/>
  </w:num>
  <w:num w:numId="11" w16cid:durableId="900410214">
    <w:abstractNumId w:val="8"/>
  </w:num>
  <w:num w:numId="12" w16cid:durableId="1754551601">
    <w:abstractNumId w:val="8"/>
  </w:num>
  <w:num w:numId="13" w16cid:durableId="307055680">
    <w:abstractNumId w:val="3"/>
  </w:num>
  <w:num w:numId="14" w16cid:durableId="241792403">
    <w:abstractNumId w:val="3"/>
  </w:num>
  <w:num w:numId="15" w16cid:durableId="619383086">
    <w:abstractNumId w:val="2"/>
  </w:num>
  <w:num w:numId="16" w16cid:durableId="1319770261">
    <w:abstractNumId w:val="2"/>
  </w:num>
  <w:num w:numId="17" w16cid:durableId="824979900">
    <w:abstractNumId w:val="1"/>
  </w:num>
  <w:num w:numId="18" w16cid:durableId="1511405869">
    <w:abstractNumId w:val="1"/>
  </w:num>
  <w:num w:numId="19" w16cid:durableId="1180779349">
    <w:abstractNumId w:val="0"/>
  </w:num>
  <w:num w:numId="20" w16cid:durableId="1806196733">
    <w:abstractNumId w:val="0"/>
  </w:num>
  <w:num w:numId="21" w16cid:durableId="1063483277">
    <w:abstractNumId w:val="9"/>
  </w:num>
  <w:num w:numId="22" w16cid:durableId="925502217">
    <w:abstractNumId w:val="7"/>
  </w:num>
  <w:num w:numId="23" w16cid:durableId="315455789">
    <w:abstractNumId w:val="6"/>
  </w:num>
  <w:num w:numId="24" w16cid:durableId="1581938707">
    <w:abstractNumId w:val="5"/>
  </w:num>
  <w:num w:numId="25" w16cid:durableId="1025593127">
    <w:abstractNumId w:val="4"/>
  </w:num>
  <w:num w:numId="26" w16cid:durableId="313071774">
    <w:abstractNumId w:val="8"/>
  </w:num>
  <w:num w:numId="27" w16cid:durableId="1014379964">
    <w:abstractNumId w:val="3"/>
  </w:num>
  <w:num w:numId="28" w16cid:durableId="1535115671">
    <w:abstractNumId w:val="2"/>
  </w:num>
  <w:num w:numId="29" w16cid:durableId="1712610292">
    <w:abstractNumId w:val="1"/>
  </w:num>
  <w:num w:numId="30" w16cid:durableId="1211650040">
    <w:abstractNumId w:val="0"/>
  </w:num>
  <w:num w:numId="31" w16cid:durableId="734209206">
    <w:abstractNumId w:val="9"/>
  </w:num>
  <w:num w:numId="32" w16cid:durableId="533469615">
    <w:abstractNumId w:val="7"/>
  </w:num>
  <w:num w:numId="33" w16cid:durableId="497961617">
    <w:abstractNumId w:val="6"/>
  </w:num>
  <w:num w:numId="34" w16cid:durableId="1774128380">
    <w:abstractNumId w:val="5"/>
  </w:num>
  <w:num w:numId="35" w16cid:durableId="793328658">
    <w:abstractNumId w:val="4"/>
  </w:num>
  <w:num w:numId="36" w16cid:durableId="140464758">
    <w:abstractNumId w:val="8"/>
  </w:num>
  <w:num w:numId="37" w16cid:durableId="1794203296">
    <w:abstractNumId w:val="3"/>
  </w:num>
  <w:num w:numId="38" w16cid:durableId="587692441">
    <w:abstractNumId w:val="2"/>
  </w:num>
  <w:num w:numId="39" w16cid:durableId="2147237772">
    <w:abstractNumId w:val="1"/>
  </w:num>
  <w:num w:numId="40" w16cid:durableId="1944072358">
    <w:abstractNumId w:val="0"/>
  </w:num>
  <w:num w:numId="41" w16cid:durableId="913316280">
    <w:abstractNumId w:val="10"/>
  </w:num>
  <w:num w:numId="42" w16cid:durableId="207767820">
    <w:abstractNumId w:val="10"/>
  </w:num>
  <w:num w:numId="43" w16cid:durableId="1417440591">
    <w:abstractNumId w:val="10"/>
  </w:num>
  <w:num w:numId="44" w16cid:durableId="706299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B2"/>
    <w:rsid w:val="00002272"/>
    <w:rsid w:val="00064002"/>
    <w:rsid w:val="000677B9"/>
    <w:rsid w:val="000831BA"/>
    <w:rsid w:val="000A1225"/>
    <w:rsid w:val="000A42CC"/>
    <w:rsid w:val="000E46DE"/>
    <w:rsid w:val="000E7DD9"/>
    <w:rsid w:val="0010095E"/>
    <w:rsid w:val="001223BC"/>
    <w:rsid w:val="00125B37"/>
    <w:rsid w:val="00187494"/>
    <w:rsid w:val="001F32AE"/>
    <w:rsid w:val="00217BCB"/>
    <w:rsid w:val="002767FF"/>
    <w:rsid w:val="002B18FE"/>
    <w:rsid w:val="002B5493"/>
    <w:rsid w:val="002D606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E65"/>
    <w:rsid w:val="004A562C"/>
    <w:rsid w:val="004C0004"/>
    <w:rsid w:val="004C5D52"/>
    <w:rsid w:val="004D3ACD"/>
    <w:rsid w:val="0050519A"/>
    <w:rsid w:val="005072A1"/>
    <w:rsid w:val="00514517"/>
    <w:rsid w:val="00525C6C"/>
    <w:rsid w:val="005370FA"/>
    <w:rsid w:val="00545827"/>
    <w:rsid w:val="00560270"/>
    <w:rsid w:val="005A5839"/>
    <w:rsid w:val="005C2568"/>
    <w:rsid w:val="005F1B17"/>
    <w:rsid w:val="006037C0"/>
    <w:rsid w:val="006631B6"/>
    <w:rsid w:val="00680577"/>
    <w:rsid w:val="006B269A"/>
    <w:rsid w:val="006F74FA"/>
    <w:rsid w:val="00731ADD"/>
    <w:rsid w:val="00734777"/>
    <w:rsid w:val="00747932"/>
    <w:rsid w:val="00751A4A"/>
    <w:rsid w:val="00756632"/>
    <w:rsid w:val="00762C74"/>
    <w:rsid w:val="007751F0"/>
    <w:rsid w:val="00786EC0"/>
    <w:rsid w:val="007B4B5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EED"/>
    <w:rsid w:val="00BE6ADC"/>
    <w:rsid w:val="00C05BFE"/>
    <w:rsid w:val="00C23CD4"/>
    <w:rsid w:val="00C61C0C"/>
    <w:rsid w:val="00C941CB"/>
    <w:rsid w:val="00CC2357"/>
    <w:rsid w:val="00CD492A"/>
    <w:rsid w:val="00CF071A"/>
    <w:rsid w:val="00D058B8"/>
    <w:rsid w:val="00D56C11"/>
    <w:rsid w:val="00D834A0"/>
    <w:rsid w:val="00D872DF"/>
    <w:rsid w:val="00D91E21"/>
    <w:rsid w:val="00DA7FCD"/>
    <w:rsid w:val="00E365E1"/>
    <w:rsid w:val="00E5580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FB2"/>
    <w:rsid w:val="00FD0C70"/>
  </w:rsids>
  <w:docVars>
    <w:docVar w:name="dvdocse" w:val="A10-0149/2026"/>
    <w:docVar w:name="dvlangue" w:val="IT"/>
    <w:docVar w:name="dvnumam" w:val="0"/>
    <w:docVar w:name="dvpe" w:val="787.923"/>
    <w:docVar w:name="dvrapporteur" w:val="Relatore: "/>
    <w:docVar w:name="dvtitre" w:val="Risoluzione del Parlamento europeo del xx 2026 sulla proposta di decisione del Parlamento europeo e del Consiglio relativa alla mobilitazione del Fondo europeo di adeguamento alla globalizzazione per i lavoratori espulsi dal lavoro a seguito di una domanda presentata dal Belgio – EGF/2025/009 BE/Soliver(COM(2026)0050 – C10-0111/2026 – 2026/0097(BU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69C513C"/>
  <w15:chartTrackingRefBased/>
  <w15:docId w15:val="{5938DA50-DCA6-458B-8150-77296C5E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223B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1223B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1223B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223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223BC"/>
    <w:rPr>
      <w:sz w:val="24"/>
      <w:lang w:val="it-IT"/>
    </w:rPr>
  </w:style>
  <w:style w:type="paragraph" w:customStyle="1" w:styleId="EPFooter">
    <w:name w:val="EPFooter"/>
    <w:basedOn w:val="Normal"/>
    <w:rsid w:val="001223B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223BC"/>
    <w:pPr>
      <w:spacing w:before="480" w:after="240"/>
    </w:pPr>
  </w:style>
  <w:style w:type="character" w:styleId="Hyperlink">
    <w:name w:val="Hyperlink"/>
    <w:basedOn w:val="DefaultParagraphFont"/>
    <w:uiPriority w:val="99"/>
    <w:rsid w:val="001223B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223BC"/>
    <w:rPr>
      <w:sz w:val="24"/>
      <w:lang w:val="it-IT"/>
    </w:rPr>
  </w:style>
  <w:style w:type="paragraph" w:customStyle="1" w:styleId="Titreobjet">
    <w:name w:val="Titre objet"/>
    <w:basedOn w:val="Normal"/>
    <w:next w:val="Normal"/>
    <w:rsid w:val="001223B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223B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223B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1223BC"/>
    <w:rPr>
      <w:rFonts w:ascii="Arial" w:hAnsi="Arial" w:cs="Arial"/>
      <w:b/>
      <w:sz w:val="24"/>
      <w:lang w:val="it-IT"/>
    </w:rPr>
  </w:style>
  <w:style w:type="paragraph" w:styleId="Revision">
    <w:name w:val="Revision"/>
    <w:hidden/>
    <w:uiPriority w:val="99"/>
    <w:semiHidden/>
    <w:rsid w:val="007751F0"/>
    <w:rPr>
      <w:sz w:val="24"/>
      <w:lang w:val="it-IT"/>
    </w:rPr>
  </w:style>
  <w:style w:type="character" w:styleId="CommentReference">
    <w:name w:val="annotation reference"/>
    <w:basedOn w:val="DefaultParagraphFont"/>
    <w:rsid w:val="007B4B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4B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4B50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B4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4B50"/>
    <w:rPr>
      <w:b/>
      <w:bCs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7B4B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B4B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3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691/oj" TargetMode="External" /><Relationship Id="rId2" Type="http://schemas.openxmlformats.org/officeDocument/2006/relationships/hyperlink" Target="http://data.europa.eu/eli/reg/2026/1139/oj" TargetMode="External" /><Relationship Id="rId3" Type="http://schemas.openxmlformats.org/officeDocument/2006/relationships/hyperlink" Target="http://data.europa.eu/eli/reg/2020/2093/oj" TargetMode="External" /><Relationship Id="rId4" Type="http://schemas.openxmlformats.org/officeDocument/2006/relationships/hyperlink" Target="http://data.europa.eu/eli/reg/2024/765/oj" TargetMode="External" /><Relationship Id="rId5" Type="http://schemas.openxmlformats.org/officeDocument/2006/relationships/hyperlink" Target="http://data.europa.eu/eli/agree_interinstit/2020/122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1907</Words>
  <Characters>11488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2026-09-01T08:10:00Z</dcterms:created>
  <dcterms:modified xsi:type="dcterms:W3CDTF">2026-09-01T08:10:00Z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P10_TA(2026)0201_</vt:lpwstr>
  </property>
  <property fmtid="{D5CDD505-2E9C-101B-9397-08002B2CF9AE}" pid="4" name="&lt;Type&gt;">
    <vt:lpwstr>RR</vt:lpwstr>
  </property>
</Properties>
</file>