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2CD98FBB" w14:textId="77777777" w:rsidTr="0010095E">
        <w:tblPrEx>
          <w:tblW w:w="9072" w:type="dxa"/>
          <w:tblLook w:val="01E0"/>
        </w:tblPrEx>
        <w:trPr>
          <w:trHeight w:hRule="exact" w:val="1418"/>
        </w:trPr>
        <w:tc>
          <w:tcPr>
            <w:tcW w:w="6804" w:type="dxa"/>
            <w:shd w:val="clear" w:color="auto" w:fill="auto"/>
            <w:vAlign w:val="center"/>
          </w:tcPr>
          <w:p w:rsidR="00751A4A" w:rsidRPr="003E5F9A" w:rsidP="0010095E" w14:paraId="26E6265D" w14:textId="6764EF12">
            <w:pPr>
              <w:pStyle w:val="EPName"/>
            </w:pPr>
            <w:r w:rsidRPr="003E5F9A">
              <w:t>Europos Parlamentas</w:t>
            </w:r>
          </w:p>
          <w:p w:rsidR="00751A4A" w:rsidRPr="003E5F9A" w:rsidP="005F1B17" w14:paraId="665A7275" w14:textId="77777777">
            <w:pPr>
              <w:pStyle w:val="EPTerm"/>
              <w:rPr>
                <w:rStyle w:val="HideTWBExt"/>
                <w:noProof w:val="0"/>
                <w:vanish w:val="0"/>
                <w:color w:val="auto"/>
              </w:rPr>
            </w:pPr>
            <w:r w:rsidRPr="003E5F9A">
              <w:t>2024</w:t>
            </w:r>
            <w:r w:rsidRPr="003E5F9A" w:rsidR="00817416">
              <w:t>-202</w:t>
            </w:r>
            <w:r w:rsidRPr="003E5F9A">
              <w:t>9</w:t>
            </w:r>
          </w:p>
        </w:tc>
        <w:tc>
          <w:tcPr>
            <w:tcW w:w="2268" w:type="dxa"/>
            <w:shd w:val="clear" w:color="auto" w:fill="auto"/>
          </w:tcPr>
          <w:p w:rsidR="00751A4A" w:rsidRPr="003E5F9A" w:rsidP="0010095E" w14:paraId="36E5E6F1" w14:textId="77777777">
            <w:pPr>
              <w:pStyle w:val="EPLogo"/>
            </w:pPr>
            <w:r w:rsidRPr="003E5F9A">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3E5F9A" w:rsidP="004C5D52" w14:paraId="316BCD27" w14:textId="77777777">
      <w:pPr>
        <w:pStyle w:val="LineTop"/>
      </w:pPr>
    </w:p>
    <w:p w:rsidR="00680577" w:rsidRPr="003E5F9A" w:rsidP="00680577" w14:paraId="0FAA314E" w14:textId="45919780">
      <w:pPr>
        <w:pStyle w:val="EPBodyTA1"/>
      </w:pPr>
      <w:r w:rsidRPr="003E5F9A">
        <w:t>PRIIMTI TEKSTAI</w:t>
      </w:r>
    </w:p>
    <w:p w:rsidR="00D058B8" w:rsidRPr="003E5F9A" w:rsidP="00D058B8" w14:paraId="0F32328A" w14:textId="77777777">
      <w:pPr>
        <w:pStyle w:val="LineBottom"/>
      </w:pPr>
    </w:p>
    <w:p w:rsidR="002F5ECB" w:rsidRPr="003E5F9A" w:rsidP="002F5ECB" w14:paraId="6ACFEE3C" w14:textId="752D997F">
      <w:pPr>
        <w:pStyle w:val="ATHeading1"/>
      </w:pPr>
      <w:bookmarkStart w:id="0" w:name="TANumber"/>
      <w:r w:rsidRPr="003E5F9A">
        <w:t>P10_TA(2026)0</w:t>
      </w:r>
      <w:r w:rsidR="00BF77D4">
        <w:t>2</w:t>
      </w:r>
      <w:r w:rsidRPr="003E5F9A">
        <w:t>0</w:t>
      </w:r>
      <w:r w:rsidR="00BF77D4">
        <w:t>1</w:t>
      </w:r>
      <w:bookmarkEnd w:id="0"/>
    </w:p>
    <w:p w:rsidR="002F5ECB" w:rsidRPr="003E5F9A" w:rsidP="002F5ECB" w14:paraId="65C3E4E3" w14:textId="77777777">
      <w:pPr>
        <w:pStyle w:val="ATHeading2"/>
      </w:pPr>
      <w:bookmarkStart w:id="1" w:name="title"/>
      <w:r w:rsidRPr="003E5F9A">
        <w:t>Europos prisitaikymo prie globalizacijos padarinių fondo atleistiems darbuotojams lėšų mobilizavimas pagal Belgijos paraišką EGF/2025/009 BE/</w:t>
      </w:r>
      <w:r w:rsidRPr="003E5F9A">
        <w:t>Soliver</w:t>
      </w:r>
      <w:bookmarkEnd w:id="1"/>
    </w:p>
    <w:p w:rsidR="002F5ECB" w:rsidRPr="003E5F9A" w:rsidP="002F5ECB" w14:paraId="7A667CC9" w14:textId="77777777">
      <w:pPr>
        <w:rPr>
          <w:i/>
          <w:vanish/>
        </w:rPr>
      </w:pPr>
      <w:r>
        <w:rPr>
          <w:i/>
        </w:rPr>
        <w:fldChar w:fldCharType="begin"/>
      </w:r>
      <w:r w:rsidRPr="003E5F9A">
        <w:rPr>
          <w:i/>
        </w:rPr>
        <w:instrText xml:space="preserve"> TC"(</w:instrText>
      </w:r>
      <w:bookmarkStart w:id="2" w:name="DocNumber"/>
      <w:r w:rsidRPr="003E5F9A">
        <w:rPr>
          <w:i/>
        </w:rPr>
        <w:instrText>A10-0149/2026</w:instrText>
      </w:r>
      <w:bookmarkEnd w:id="2"/>
      <w:r w:rsidRPr="003E5F9A">
        <w:rPr>
          <w:i/>
        </w:rPr>
        <w:instrText xml:space="preserve"> - Pranešėjas: Bogdan Rzońca)"\l3 \n&gt; \* MERGEFORMAT </w:instrText>
      </w:r>
      <w:r>
        <w:rPr>
          <w:i/>
        </w:rPr>
        <w:fldChar w:fldCharType="end"/>
      </w:r>
    </w:p>
    <w:p w:rsidR="002F5ECB" w:rsidRPr="003E5F9A" w:rsidP="002F5ECB" w14:paraId="7523A01C" w14:textId="77777777">
      <w:pPr>
        <w:rPr>
          <w:vanish/>
        </w:rPr>
      </w:pPr>
      <w:bookmarkStart w:id="3" w:name="Commission"/>
      <w:r w:rsidRPr="003E5F9A">
        <w:rPr>
          <w:vanish/>
        </w:rPr>
        <w:t>Biudžeto komitetas</w:t>
      </w:r>
      <w:bookmarkEnd w:id="3"/>
    </w:p>
    <w:p w:rsidR="002F5ECB" w:rsidRPr="003E5F9A" w:rsidP="002F5ECB" w14:paraId="5C805E49" w14:textId="77777777">
      <w:pPr>
        <w:rPr>
          <w:vanish/>
        </w:rPr>
      </w:pPr>
      <w:bookmarkStart w:id="4" w:name="PE"/>
      <w:r w:rsidRPr="003E5F9A">
        <w:rPr>
          <w:vanish/>
        </w:rPr>
        <w:t>PE787.923</w:t>
      </w:r>
      <w:bookmarkEnd w:id="4"/>
    </w:p>
    <w:p w:rsidR="002F5ECB" w:rsidRPr="003E5F9A" w:rsidP="002F5ECB" w14:paraId="11DE0B23" w14:textId="0ECD5D31">
      <w:pPr>
        <w:pStyle w:val="ATHeading3"/>
      </w:pPr>
      <w:bookmarkStart w:id="5" w:name="Sujet"/>
      <w:r w:rsidRPr="003E5F9A">
        <w:t xml:space="preserve">2026 m. </w:t>
      </w:r>
      <w:r w:rsidR="00DA67FB">
        <w:t>birželio</w:t>
      </w:r>
      <w:r w:rsidRPr="003E5F9A">
        <w:t xml:space="preserve"> </w:t>
      </w:r>
      <w:r w:rsidR="00DA67FB">
        <w:t>16</w:t>
      </w:r>
      <w:r w:rsidRPr="003E5F9A">
        <w:t xml:space="preserve"> d. Europos Parlamento rezoliucija dėl pasiūlymo dėl Europos Parlamento ir Tarybos sprendimo dėl Europos prisitaikymo prie globalizacijos padarinių fondo atleistiems darbuotojams lėšų mobilizavimo pagal Belgijos paraišką EGF/2025/009 BE/</w:t>
      </w:r>
      <w:r w:rsidRPr="003E5F9A">
        <w:t>Soliver</w:t>
      </w:r>
      <w:bookmarkEnd w:id="5"/>
      <w:r w:rsidRPr="003E5F9A">
        <w:t xml:space="preserve"> </w:t>
      </w:r>
      <w:bookmarkStart w:id="6" w:name="References"/>
      <w:r w:rsidRPr="003E5F9A">
        <w:t>(COM(2026)0050 – C10-0111/2026 – 2026/0097(BUD))</w:t>
      </w:r>
      <w:bookmarkEnd w:id="6"/>
    </w:p>
    <w:p w:rsidR="00380AEE" w:rsidRPr="003E5F9A" w:rsidP="00380AEE" w14:paraId="1F1F54E1" w14:textId="77777777">
      <w:pPr>
        <w:pStyle w:val="EPComma"/>
        <w:rPr>
          <w:noProof/>
        </w:rPr>
      </w:pPr>
      <w:r w:rsidRPr="003E5F9A">
        <w:rPr>
          <w:i/>
        </w:rPr>
        <w:t>Europos Parlamentas</w:t>
      </w:r>
      <w:r w:rsidRPr="003E5F9A">
        <w:t>,</w:t>
      </w:r>
    </w:p>
    <w:p w:rsidR="00380AEE" w:rsidRPr="003E5F9A" w:rsidP="00380AEE" w14:paraId="1007F5D0" w14:textId="77777777">
      <w:pPr>
        <w:pStyle w:val="NormalHanging12a"/>
        <w:rPr>
          <w:noProof/>
        </w:rPr>
      </w:pPr>
      <w:r w:rsidRPr="003E5F9A">
        <w:t>–</w:t>
      </w:r>
      <w:r w:rsidRPr="003E5F9A">
        <w:tab/>
        <w:t>atsižvelgdamas į Komisijos pasiūlymą Europos Parlamentui ir Tarybai (COM(2026)0050 – C10</w:t>
      </w:r>
      <w:r w:rsidRPr="003E5F9A">
        <w:noBreakHyphen/>
        <w:t>0111/2026),</w:t>
      </w:r>
    </w:p>
    <w:p w:rsidR="00380AEE" w:rsidRPr="003E5F9A" w:rsidP="00380AEE" w14:paraId="1C6DD746" w14:textId="295D0C8F">
      <w:pPr>
        <w:pStyle w:val="NormalHanging12a"/>
      </w:pPr>
      <w:r w:rsidRPr="003E5F9A">
        <w:t>–</w:t>
      </w:r>
      <w:r w:rsidRPr="003E5F9A">
        <w:tab/>
        <w:t>atsižvelgdamas į 2021 m. balandžio 28 d. Europos Parlamento ir Tarybos reglamentą (ES) 2021/691 dėl Europos prisitaikymo prie globalizacijos padarinių fondo atleistiems darbuotojams (EGF), kuriuo panaikinamas Reglamentas (ES) Nr. 1309/2013</w:t>
      </w:r>
      <w:r>
        <w:rPr>
          <w:vertAlign w:val="superscript"/>
        </w:rPr>
        <w:footnoteReference w:id="2"/>
      </w:r>
      <w:r w:rsidRPr="003E5F9A">
        <w:t xml:space="preserve"> (toliau – EGF reglamentas), su pakeitimais, padarytais Reglamentu (ES) 2026/1139</w:t>
      </w:r>
      <w:r>
        <w:rPr>
          <w:vertAlign w:val="superscript"/>
        </w:rPr>
        <w:footnoteReference w:id="3"/>
      </w:r>
      <w:r w:rsidRPr="003E5F9A">
        <w:t xml:space="preserve">, </w:t>
      </w:r>
    </w:p>
    <w:p w:rsidR="00380AEE" w:rsidRPr="003E5F9A" w:rsidP="00380AEE" w14:paraId="3CE86070" w14:textId="71B79254">
      <w:pPr>
        <w:pStyle w:val="NormalHanging12a"/>
        <w:rPr>
          <w:noProof/>
        </w:rPr>
      </w:pPr>
      <w:r w:rsidRPr="003E5F9A">
        <w:t>–</w:t>
      </w:r>
      <w:r w:rsidRPr="003E5F9A">
        <w:tab/>
        <w:t>atsižvelgdamas į 2020 m. gruodžio 17 d. Tarybos reglamentą (ES, Euratomas) 2020/2093</w:t>
      </w:r>
      <w:r>
        <w:rPr>
          <w:noProof/>
          <w:vertAlign w:val="superscript"/>
        </w:rPr>
        <w:footnoteReference w:id="4"/>
      </w:r>
      <w:r w:rsidRPr="003E5F9A">
        <w:t>, kuriuo nustatoma 2021–2027 m. daugiametė finansinė programa (toliau – DFP reglamentas), su pakeitimais, padarytais Reglamentu (ES, Euratomas) 2024/765</w:t>
      </w:r>
      <w:r>
        <w:rPr>
          <w:noProof/>
          <w:vertAlign w:val="superscript"/>
        </w:rPr>
        <w:footnoteReference w:id="5"/>
      </w:r>
      <w:r w:rsidRPr="003E5F9A">
        <w:t>, ypač į jo 8 straipsnį,</w:t>
      </w:r>
    </w:p>
    <w:p w:rsidR="00380AEE" w:rsidRPr="003E5F9A" w:rsidP="00380AEE" w14:paraId="39C87185" w14:textId="77777777">
      <w:pPr>
        <w:pStyle w:val="NormalHanging12a"/>
        <w:rPr>
          <w:noProof/>
        </w:rPr>
      </w:pPr>
      <w:r w:rsidRPr="003E5F9A">
        <w:t>–</w:t>
      </w:r>
      <w:r w:rsidRPr="003E5F9A">
        <w:tab/>
        <w:t xml:space="preserve">atsižvelgdamas į 2020 m. gruodžio 16 d. Europos Parlamento, Europos Sąjungos Tarybos ir Europos Komisijos tarpinstitucinį susitarimą dėl biudžetinės drausmės, bendradarbiavimo biudžeto klausimais ir patikimo finansų valdymo, taip pat dėl naujų </w:t>
      </w:r>
      <w:r w:rsidRPr="003E5F9A">
        <w:t>nuosavų išteklių, įskaitant veiksmų gaires dėl naujų nuosavų išteklių nustatymo</w:t>
      </w:r>
      <w:r>
        <w:rPr>
          <w:rStyle w:val="FootnoteReference"/>
          <w:noProof/>
        </w:rPr>
        <w:footnoteReference w:id="6"/>
      </w:r>
      <w:r w:rsidRPr="003E5F9A">
        <w:t>, ypač į jo 9 punktą,</w:t>
      </w:r>
    </w:p>
    <w:p w:rsidR="00380AEE" w:rsidRPr="003E5F9A" w:rsidP="00380AEE" w14:paraId="59B7C412" w14:textId="77777777">
      <w:pPr>
        <w:pStyle w:val="NormalHanging12a"/>
      </w:pPr>
      <w:r w:rsidRPr="003E5F9A">
        <w:t>–</w:t>
      </w:r>
      <w:r w:rsidRPr="003E5F9A">
        <w:tab/>
        <w:t>atsižvelgdamas į Europos socialinių teisių ramstį,</w:t>
      </w:r>
    </w:p>
    <w:p w:rsidR="00380AEE" w:rsidRPr="003E5F9A" w:rsidP="00380AEE" w14:paraId="79E9CEB0" w14:textId="77777777">
      <w:pPr>
        <w:pStyle w:val="NormalHanging12a"/>
      </w:pPr>
      <w:r w:rsidRPr="003E5F9A">
        <w:t>–</w:t>
      </w:r>
      <w:r w:rsidRPr="003E5F9A">
        <w:tab/>
        <w:t>atsižvelgdamas į Užimtumo ir socialinių reikalų komiteto laišką,</w:t>
      </w:r>
    </w:p>
    <w:p w:rsidR="00380AEE" w:rsidRPr="003E5F9A" w:rsidP="00380AEE" w14:paraId="19AB2236" w14:textId="77777777">
      <w:pPr>
        <w:pStyle w:val="NormalHanging12a"/>
      </w:pPr>
      <w:r w:rsidRPr="003E5F9A">
        <w:t>–</w:t>
      </w:r>
      <w:r w:rsidRPr="003E5F9A">
        <w:tab/>
        <w:t>atsižvelgdamas į Biudžeto komiteto pranešimą (A10-0149/2026),</w:t>
      </w:r>
    </w:p>
    <w:p w:rsidR="00380AEE" w:rsidRPr="003E5F9A" w:rsidP="00380AEE" w14:paraId="554C3739" w14:textId="77777777">
      <w:pPr>
        <w:pStyle w:val="NormalHanging12a"/>
      </w:pPr>
      <w:r w:rsidRPr="003E5F9A">
        <w:t>A.</w:t>
      </w:r>
      <w:r w:rsidRPr="003E5F9A">
        <w:tab/>
        <w:t>kadangi Sąjunga, siekdama teikti papildomą paramą darbuotojams, nukentėjusiems dėl esminių struktūrinių pasaulio prekybos sistemos įvykių ir pokyčių, ir padėti jiems vėl integruotis į darbo rinką, nustatė teisėkūros ir biudžetines priemones; kadangi šią pagalbą sudaro darbuotojams teikiama finansinė parama; kadangi, siekiant užkirsti kelią tolesniam pramonės nuosmukiui ir darbo vietų praradimui visoje Sąjungoje, labai svarbu išlaikyti Europos pramonės konkurencingumą ir didinti investicijas į inovacijas ir įgūdžius;</w:t>
      </w:r>
    </w:p>
    <w:p w:rsidR="00380AEE" w:rsidRPr="003E5F9A" w:rsidP="00380AEE" w14:paraId="67EF7C17" w14:textId="77777777">
      <w:pPr>
        <w:pStyle w:val="NormalHanging12a"/>
      </w:pPr>
      <w:r w:rsidRPr="003E5F9A">
        <w:t>B.</w:t>
      </w:r>
      <w:r w:rsidRPr="003E5F9A">
        <w:tab/>
        <w:t>kadangi Belgija pateikė paraišką EGF/2025/009 BE/</w:t>
      </w:r>
      <w:r w:rsidRPr="003E5F9A">
        <w:t>Soliver</w:t>
      </w:r>
      <w:r w:rsidRPr="003E5F9A">
        <w:t xml:space="preserve"> dėl finansinės paramos iš EGF po to, kai per ataskaitinį laikotarpį nuo 2025 m. liepos 1 d. iki 2025 m. lapkričio 1 d. iš įmonės „</w:t>
      </w:r>
      <w:r w:rsidRPr="003E5F9A">
        <w:t>Soliver</w:t>
      </w:r>
      <w:r w:rsidRPr="003E5F9A">
        <w:t xml:space="preserve"> NV“ (toliau – „</w:t>
      </w:r>
      <w:r w:rsidRPr="003E5F9A">
        <w:t>Soliver</w:t>
      </w:r>
      <w:r w:rsidRPr="003E5F9A">
        <w:t>“), veikusios ekonomikos sektoriuje, kuris priskiriamas NACE 2 red. 46 skyriui (Didmeninė prekyba), Rytų Flandrijos provincijos (BE23) ir Vakarų Flandrijos provincijos (BE25) regionuose buvo atleisti 803 darbuotojai</w:t>
      </w:r>
      <w:r>
        <w:rPr>
          <w:vertAlign w:val="superscript"/>
        </w:rPr>
        <w:footnoteReference w:id="7"/>
      </w:r>
      <w:r w:rsidRPr="003E5F9A">
        <w:t>;</w:t>
      </w:r>
    </w:p>
    <w:p w:rsidR="00380AEE" w:rsidRPr="003E5F9A" w:rsidP="00380AEE" w14:paraId="69787E41" w14:textId="77777777">
      <w:pPr>
        <w:pStyle w:val="NormalHanging12a"/>
      </w:pPr>
      <w:r w:rsidRPr="003E5F9A">
        <w:t>C.</w:t>
      </w:r>
      <w:r w:rsidRPr="003E5F9A">
        <w:tab/>
        <w:t>kadangi paraiška grindžiama EGF reglamento 4 straipsnio 2 dalies a punkte nustatytais intervencijos kriterijais;</w:t>
      </w:r>
    </w:p>
    <w:p w:rsidR="00380AEE" w:rsidRPr="003E5F9A" w:rsidP="00380AEE" w14:paraId="4E908623" w14:textId="77777777">
      <w:pPr>
        <w:pStyle w:val="NormalHanging12a"/>
        <w:rPr>
          <w:noProof/>
        </w:rPr>
      </w:pPr>
      <w:r w:rsidRPr="003E5F9A">
        <w:t>D.</w:t>
      </w:r>
      <w:r w:rsidRPr="003E5F9A">
        <w:tab/>
        <w:t>kadangi 2024 m. gruodžio mėn. įmonė „</w:t>
      </w:r>
      <w:r w:rsidRPr="003E5F9A">
        <w:t>Soliver</w:t>
      </w:r>
      <w:r w:rsidRPr="003E5F9A">
        <w:t>“ paskelbė bankrotą; kadangi Belgijoje nuo 2022 m. bankrotų daugėja, o nedarbas daro didelį poveikį keliems Flandrijos regionams;</w:t>
      </w:r>
    </w:p>
    <w:p w:rsidR="00380AEE" w:rsidRPr="003E5F9A" w:rsidP="00380AEE" w14:paraId="1976D697" w14:textId="77777777">
      <w:pPr>
        <w:pStyle w:val="NormalHanging12a"/>
        <w:rPr>
          <w:bCs/>
          <w:iCs/>
          <w:noProof/>
        </w:rPr>
      </w:pPr>
      <w:r w:rsidRPr="003E5F9A">
        <w:t>E.</w:t>
      </w:r>
      <w:r w:rsidRPr="003E5F9A">
        <w:tab/>
        <w:t>kadangi didelė dalis darbuotojų, kuriuos paveikė „</w:t>
      </w:r>
      <w:r w:rsidRPr="003E5F9A">
        <w:t>Soliver</w:t>
      </w:r>
      <w:r w:rsidRPr="003E5F9A">
        <w:t xml:space="preserve">“ uždarymas, yra vyresnio amžiaus, todėl norėdami </w:t>
      </w:r>
      <w:r w:rsidRPr="003E5F9A">
        <w:t>reintegruotis</w:t>
      </w:r>
      <w:r w:rsidRPr="003E5F9A">
        <w:t xml:space="preserve"> į darbo rinką jie susiduria su specifinėmis, didesnėmis kliūtimis, įskaitant diskriminaciją dėl amžiaus, įgūdžių pasiūlos ir paklausos neatitiktį ir ribotas galimybes pasinaudoti perkvalifikavimo galimybėmis; kadangi turi būti nustatytos tikslinės priemonės, kuriomis būtų atsižvelgiama į konkrečius vyresnio amžiaus darbuotojų poreikius, įskaitant amžių atitinkančias mokymo formas, mentorystę ir bendradarbiavimą su darbdaviais, kurie yra įsipareigoję įdarbinti įvairaus amžiaus darbuotojus;</w:t>
      </w:r>
    </w:p>
    <w:p w:rsidR="00380AEE" w:rsidRPr="003E5F9A" w:rsidP="00380AEE" w14:paraId="7F132B94" w14:textId="77777777">
      <w:pPr>
        <w:pStyle w:val="NormalHanging12a"/>
      </w:pPr>
      <w:r w:rsidRPr="003E5F9A">
        <w:t>F.</w:t>
      </w:r>
      <w:r w:rsidRPr="003E5F9A">
        <w:tab/>
        <w:t>kadangi Flandrijos užimtumo tarnybos (VDAB) teikia nacionalinį išankstinį ir bendrą priemonių finansavimą;</w:t>
      </w:r>
    </w:p>
    <w:p w:rsidR="00380AEE" w:rsidRPr="003E5F9A" w:rsidP="00380AEE" w14:paraId="1D7BCCF8" w14:textId="77777777">
      <w:pPr>
        <w:pStyle w:val="NormalHanging12a"/>
      </w:pPr>
      <w:r w:rsidRPr="003E5F9A">
        <w:t>G.</w:t>
      </w:r>
      <w:r w:rsidRPr="003E5F9A">
        <w:tab/>
        <w:t>kadangi buvo laikomasi Sąjungos ir nacionalinės teisės aktuose nustatytų su kolektyviniu atleidimu iš darbo susijusių reikalavimų;</w:t>
      </w:r>
    </w:p>
    <w:p w:rsidR="00380AEE" w:rsidRPr="003E5F9A" w:rsidP="00380AEE" w14:paraId="317317D7" w14:textId="77777777">
      <w:pPr>
        <w:pStyle w:val="NormalHanging12a"/>
      </w:pPr>
      <w:r w:rsidRPr="003E5F9A">
        <w:t>H.</w:t>
      </w:r>
      <w:r w:rsidRPr="003E5F9A">
        <w:tab/>
        <w:t xml:space="preserve">kadangi EGF finansiniai įnašai pirmiausia turėtų būti skiriami aktyvios darbo rinkos politikos priemonėms ir prie individualių poreikių pritaikytoms paslaugoms, kuriomis siekiama paramos gavėjus ilgam </w:t>
      </w:r>
      <w:r w:rsidRPr="003E5F9A">
        <w:t>reintegruoti</w:t>
      </w:r>
      <w:r w:rsidRPr="003E5F9A">
        <w:t xml:space="preserve"> į darbo rinką užtikrinant kokybiškas darbo </w:t>
      </w:r>
      <w:r w:rsidRPr="003E5F9A">
        <w:t>sąlygas, kartu suteikiant galimybes tobulinti įgūdžius siekiant palengvinti jų reintegraciją;</w:t>
      </w:r>
    </w:p>
    <w:p w:rsidR="00380AEE" w:rsidRPr="003E5F9A" w:rsidP="00380AEE" w14:paraId="27667377" w14:textId="77777777">
      <w:pPr>
        <w:pStyle w:val="NormalHanging12a"/>
      </w:pPr>
      <w:r w:rsidRPr="003E5F9A">
        <w:t>I.</w:t>
      </w:r>
      <w:r w:rsidRPr="003E5F9A">
        <w:tab/>
        <w:t>kadangi EGF didžiausia metinė suma neviršija 30 mln. EUR (2018 m. kainomis)</w:t>
      </w:r>
      <w:r>
        <w:rPr>
          <w:rStyle w:val="FootnoteReference"/>
        </w:rPr>
        <w:footnoteReference w:id="8"/>
      </w:r>
      <w:r w:rsidRPr="003E5F9A">
        <w:t>;</w:t>
      </w:r>
    </w:p>
    <w:p w:rsidR="00380AEE" w:rsidRPr="003E5F9A" w:rsidP="00380AEE" w14:paraId="20686656" w14:textId="77777777">
      <w:pPr>
        <w:pStyle w:val="NormalHanging12a"/>
      </w:pPr>
      <w:r w:rsidRPr="003E5F9A">
        <w:t>1.</w:t>
      </w:r>
      <w:r w:rsidRPr="003E5F9A">
        <w:tab/>
        <w:t>pritaria Komisijai, kad tenkinamos EGF reglamento ir ypač jo 4 straipsnio 2 dalies a punkte nustatytos sąlygos ir kad Belgija turi teisę pagal šį reglamentą gauti 2 132 535 EUR finansinę paramą, kuri sudaro 85 proc. visų išlaidų, siekiančių 2 508 865 EUR ir apimančių prie individualių poreikių pritaikytų paslaugų išlaidas (2 412 465 EUR) ir parengiamosios, valdymo, informavimo ir viešinimo, kontrolės ir ataskaitų teikimo veiklos išlaidas (96 400 EUR);</w:t>
      </w:r>
    </w:p>
    <w:p w:rsidR="00380AEE" w:rsidRPr="003E5F9A" w:rsidP="00380AEE" w14:paraId="602ABD5E" w14:textId="77777777">
      <w:pPr>
        <w:pStyle w:val="NormalHanging12a"/>
      </w:pPr>
      <w:r w:rsidRPr="003E5F9A">
        <w:t>2.</w:t>
      </w:r>
      <w:r w:rsidRPr="003E5F9A">
        <w:tab/>
        <w:t>pažymi, kad Belgijos valdžios institucijos paraišką pateikė 2025 m. gruodžio 22 d. ir kad, gavusi iš Belgijos papildomos informacijos, Komisija 2026 m. balandžio 30 d., t. y. beveik mėnesiu anksčiau nei reikalaujama, baigė savo vertinimą ir tą pačią dieną informavo Parlamentą; pabrėžia, kad svarbu sutrumpinti laikotarpį nuo paraiškos EGF paramai gauti pateikimo iki sprendimo dėl finansavimo priėmimo, kartu visapusiškai išlaikant Europos Parlamento, kaip vienos iš biudžeto valdymo institucijų, teises;</w:t>
      </w:r>
    </w:p>
    <w:p w:rsidR="00380AEE" w:rsidRPr="003E5F9A" w:rsidP="00380AEE" w14:paraId="62AFADF7" w14:textId="77777777">
      <w:pPr>
        <w:pStyle w:val="NormalHanging12a"/>
        <w:rPr>
          <w:noProof/>
        </w:rPr>
      </w:pPr>
      <w:r w:rsidRPr="003E5F9A">
        <w:t>3.</w:t>
      </w:r>
      <w:r w:rsidRPr="003E5F9A">
        <w:tab/>
        <w:t>pažymi, kad paraiška, susijusi su 803 tiksliniais paramos gavėjais – darbuotojais, kurie buvo atleisti iš įmonės „</w:t>
      </w:r>
      <w:r w:rsidRPr="003E5F9A">
        <w:t>Soliver</w:t>
      </w:r>
      <w:r w:rsidRPr="003E5F9A">
        <w:t>“;</w:t>
      </w:r>
    </w:p>
    <w:p w:rsidR="00380AEE" w:rsidRPr="003E5F9A" w:rsidP="00380AEE" w14:paraId="08B1CF60" w14:textId="77777777">
      <w:pPr>
        <w:pStyle w:val="NormalHanging12a"/>
      </w:pPr>
      <w:r w:rsidRPr="003E5F9A">
        <w:t>4.</w:t>
      </w:r>
      <w:r w:rsidRPr="003E5F9A">
        <w:tab/>
        <w:t xml:space="preserve">atkreipia dėmesį į tai, kad 2018 m. bendrovei „American </w:t>
      </w:r>
      <w:r w:rsidRPr="003E5F9A">
        <w:t>Glass</w:t>
      </w:r>
      <w:r w:rsidRPr="003E5F9A">
        <w:t xml:space="preserve"> </w:t>
      </w:r>
      <w:r w:rsidRPr="003E5F9A">
        <w:t>Products</w:t>
      </w:r>
      <w:r w:rsidRPr="003E5F9A">
        <w:t xml:space="preserve"> </w:t>
      </w:r>
      <w:r w:rsidRPr="003E5F9A">
        <w:t>Holding</w:t>
      </w:r>
      <w:r w:rsidRPr="003E5F9A">
        <w:t>“ (AGP) įsigijus statybos ir automobilių pramonės sektoriams skirtus stiklo gaminius gaminančią įmonę „</w:t>
      </w:r>
      <w:r w:rsidRPr="003E5F9A">
        <w:t>Soliver</w:t>
      </w:r>
      <w:r w:rsidRPr="003E5F9A">
        <w:t>“, pastaroji ėmė specializuotis gaminti tik aukštųjų technologijų automobilių stiklus; pažymi, kad įmonė ėmė patirti sunkumų, daugiausia susijusių su automobilių pramonės sektoriaus nuosmukiu, nes vėlavo automobilių modelių, kuriems jos gaminiai buvo skirti, gamyba, todėl labai sumažėjo pelningumas ir teko skelbti bankrotą;</w:t>
      </w:r>
    </w:p>
    <w:p w:rsidR="00380AEE" w:rsidRPr="003E5F9A" w:rsidP="00380AEE" w14:paraId="286D45E8" w14:textId="77777777">
      <w:pPr>
        <w:pStyle w:val="NormalHanging12a"/>
        <w:rPr>
          <w:bCs/>
          <w:iCs/>
        </w:rPr>
      </w:pPr>
      <w:r w:rsidRPr="003E5F9A">
        <w:t>5.</w:t>
      </w:r>
      <w:r w:rsidRPr="003E5F9A">
        <w:tab/>
        <w:t>pažymi, kad stiklo pramonė yra daug energijos suvartojantis sektorius, kuriam vis dar aukštos energijos kainos daro itin didelį poveikį, o tai labai pakenkė jo konkurencingumui; pabrėžia, kad, norint ilguoju laikotarpiu užtikrinti konkurencingas energijos kainas, reikia gerokai padidinti patikimą įperkamos energijos tiekimą, be kita ko, įvairinant energijos šaltinius ir tiekimo maršrutus, plėtojant vidaus energijos gamybą ir visiškai baigiant kurti energetikos sąjungą;</w:t>
      </w:r>
    </w:p>
    <w:p w:rsidR="00380AEE" w:rsidRPr="003E5F9A" w:rsidP="00380AEE" w14:paraId="031F9952" w14:textId="77777777">
      <w:pPr>
        <w:pStyle w:val="NormalHanging12a"/>
        <w:rPr>
          <w:bCs/>
          <w:iCs/>
        </w:rPr>
      </w:pPr>
      <w:r w:rsidRPr="003E5F9A">
        <w:t>6.</w:t>
      </w:r>
      <w:r w:rsidRPr="003E5F9A">
        <w:tab/>
        <w:t>pažymi, kad techninių kvalifikacijų turintys darbuotojai arba tie, kurie yra pasiryžę persikvalifikuoti, turi daugiausia galimybių įsidarbinti, nes dėl menko jaunimo dalyvavimo profesinio mokymo veikloje ir senėjančios darbo jėgos techninės srities specialistų trūksta; pabrėžia, kad atleistų darbuotojų reintegracija ir vienodos galimybės gauti kokybiškas mokymo paslaugas yra labai svarbios siekiant užtikrinti tvirtą pramoninę bazę turinčią perspektyvią Europos ekonomiką; atkreipia dėmesį į tai, kad šiomis aplinkybėmis svarbu stiprinti Sąjungos pramonės konkurencingumą;</w:t>
      </w:r>
    </w:p>
    <w:p w:rsidR="00380AEE" w:rsidRPr="003E5F9A" w:rsidP="00380AEE" w14:paraId="6E498F91" w14:textId="77777777">
      <w:pPr>
        <w:pStyle w:val="NormalHanging12a"/>
        <w:rPr>
          <w:noProof/>
        </w:rPr>
      </w:pPr>
      <w:r w:rsidRPr="003E5F9A">
        <w:t>7.</w:t>
      </w:r>
      <w:r w:rsidRPr="003E5F9A">
        <w:tab/>
        <w:t xml:space="preserve">apgailestauja dėl to, kad per pastaruosius kelerius metus padidėjęs bankrotų skaičius turėjo neigiamą poveikį nedarbo lygiui kai kuriuose Belgijos regionuose, ypač Flandrijos regione; pabrėžia, kad Flandrijoje atleisti vyresnio amžiaus darbuotojai susiduria su didesnėmis kliūtimis grįžti į darbo rinką; ragina Belgijos valdžios institucijas teikti specialią paramą siekiant padėti darbuotojams toliau tobulinti būtinus </w:t>
      </w:r>
      <w:r w:rsidRPr="003E5F9A">
        <w:t>įgūdžius, kad jie galėtų susirasti naują darbą, taip pat imtis priemonių bankrotų skaičiui mažinti ir socialinei nelygybei, dėl kurios darbuotojai atskiriami nuo darbo rinkos, panaikinti;</w:t>
      </w:r>
    </w:p>
    <w:p w:rsidR="00380AEE" w:rsidRPr="003E5F9A" w:rsidP="00380AEE" w14:paraId="17159109" w14:textId="77777777">
      <w:pPr>
        <w:pStyle w:val="NormalHanging12a"/>
      </w:pPr>
      <w:r w:rsidRPr="003E5F9A">
        <w:t>8.</w:t>
      </w:r>
      <w:r w:rsidRPr="003E5F9A">
        <w:tab/>
        <w:t>primena, kad pagal susitarimą su ekspertais ir socialiniais partneriais, prie individualių poreikių pritaikytos paslaugos, kurios turi būti teikiamos darbuotojams, apima šias priemones: patyrusių konsultantų ir klientų aptarnavimo vadybininkų, teikiančių prie individualių poreikių pritaikytas konsultavimo paslaugas, darbo grupę; perdarbinimo paslaugas, teikiant individualias orientavimo paslaugas; pagalbą ieškant darbo; sustiprintą pagalbą ieškant darbo; mokymą ir perkvalifikavimą, įskaitant mokymą darbo vietoje; dalyvavimą darbo mugėse; pabrėžia, kad svarbu skatinti kokybiškas, į ateitį orientuotas darbo vietas, kurios padėtų didinti konkurencingumą ir sudarytų sąlygas skaitmeninei transformacijai;</w:t>
      </w:r>
    </w:p>
    <w:p w:rsidR="00380AEE" w:rsidRPr="003E5F9A" w:rsidP="00380AEE" w14:paraId="3169CB48" w14:textId="77777777">
      <w:pPr>
        <w:pStyle w:val="NormalHanging12a"/>
      </w:pPr>
      <w:r w:rsidRPr="003E5F9A">
        <w:t>9.</w:t>
      </w:r>
      <w:r w:rsidRPr="003E5F9A">
        <w:tab/>
        <w:t>primena, kad EGF yra solidarumo ir teisingos pertvarkos priemonė ir, nors pagal jį parama teikiama praradus darbo vietas, jis negali pakeisti aktyvios pramonės politikos; mano, kad EGF lėšų mobilizavimas turi būti įtrauktas į platesnio masto politinį atsaką visais politiniais lygmenimis, siekiant užtikrinti, kad nukentėję darbuotojai turėtų tinkamas galimybes, atitinkančias jų kvalifikaciją ir įgūdžius; pabrėžia, kad pagrindinė Sąjungos užduotis turi būti visų pirma užkirsti kelią tokiam įmonių uždarymui, sudarant sąlygas pramonės gamybai išlikti konkurencingai, o socialinės apsaugos sistemoms – finansiškai tvarioms, kartu investuojant į aukštos kvalifikacijos darbuotojų ir pramonės darbuotojų įgūdžius; pabrėžia būtinybę teikti specialią paramą, kuri būtų pritaikyta prie darbuotojų profilių, taip pat imtis priemonių bankrotų skaičiui mažinti ir socialinei nelygybei, dėl kurios darbuotojai atskiriami nuo darbo rinkos, panaikinti; pabrėžia, kad, siekiant remti pramonės konkurencingumą, pritraukti investicijų ir išsaugoti kokybiškas darbo vietas Sąjungoje, labai svarbu mažinti nereikalingą reguliavimo ir administracinę naštą;</w:t>
      </w:r>
    </w:p>
    <w:p w:rsidR="00380AEE" w:rsidRPr="003E5F9A" w:rsidP="00380AEE" w14:paraId="42A847CC" w14:textId="77777777">
      <w:pPr>
        <w:pStyle w:val="NormalHanging12a"/>
        <w:rPr>
          <w:bCs/>
          <w:iCs/>
        </w:rPr>
      </w:pPr>
      <w:r w:rsidRPr="003E5F9A">
        <w:t>10.</w:t>
      </w:r>
      <w:r w:rsidRPr="003E5F9A">
        <w:tab/>
        <w:t>pabrėžia, kad Belgijos valdžios institucijos turi užtikrinti Sąjungos finansavimo matomumą ir atkreipti dėmesį į jo pridėtinę vertę teikdamos veiksmingą ir tikslinę informaciją paramos gavėjams, regioninėms ir vietos valdžios institucijoms, socialiniams partneriams ir plačiajai visuomenei;</w:t>
      </w:r>
    </w:p>
    <w:p w:rsidR="00380AEE" w:rsidRPr="003E5F9A" w:rsidP="00380AEE" w14:paraId="4CD73141" w14:textId="77777777">
      <w:pPr>
        <w:pStyle w:val="NormalHanging12a"/>
      </w:pPr>
      <w:r w:rsidRPr="003E5F9A">
        <w:t>11.</w:t>
      </w:r>
      <w:r w:rsidRPr="003E5F9A">
        <w:tab/>
        <w:t>ragina Komisiją užtikrinti vienodą priemonės matomumą visose valstybėse narėse ir propaguoti jos pridėtinę vertę skleidžiant tikslinę informaciją nacionalinėms valdžios institucijoms, kurios tokią informaciją turėtų toliau perduoti įmonėms, kuriose atleidžiami darbuotojai, taip pat regionų ir vietos valdžios institucijoms, socialiniams partneriams ir plačiajai visuomenei;</w:t>
      </w:r>
    </w:p>
    <w:p w:rsidR="00380AEE" w:rsidRPr="003E5F9A" w:rsidP="00380AEE" w14:paraId="768963C6" w14:textId="77777777">
      <w:pPr>
        <w:pStyle w:val="NormalHanging12a"/>
        <w:rPr>
          <w:bCs/>
          <w:iCs/>
        </w:rPr>
      </w:pPr>
      <w:r w:rsidRPr="003E5F9A">
        <w:t>12.</w:t>
      </w:r>
      <w:r w:rsidRPr="003E5F9A">
        <w:tab/>
        <w:t>ragina kartu su socialiniais partneriais atlikti išsamius galutinius įgyvendintų priemonių vertinimus, įskaitant aiškią ir skaidrią informaciją apie tai, kaip buvo panaudotos lėšos, apie darbuotojų reintegraciją į darbo rinką ir tai, ar buvo pasiekti EGF tikslai; atsižvelgdamas į tai pabrėžia, kad svarbu reguliariai stebėti EGF finansuojamas priemones, kad būtų galima įvertinti jų veiksmingumą;</w:t>
      </w:r>
    </w:p>
    <w:p w:rsidR="00380AEE" w:rsidRPr="003E5F9A" w:rsidP="00380AEE" w14:paraId="0FC5A8FB" w14:textId="77777777">
      <w:pPr>
        <w:pStyle w:val="NormalHanging12a"/>
      </w:pPr>
      <w:r w:rsidRPr="003E5F9A">
        <w:t>13.</w:t>
      </w:r>
      <w:r w:rsidRPr="003E5F9A">
        <w:tab/>
        <w:t>pažymi, kad 2025 m. birželio 11 d. Belgija tiksliniams paramos gavėjams pradėjo teikti prie individualių poreikių pritaikytas paslaugas ir patyrė administracines išlaidas, susijusias su EGF įgyvendinimu, ir todėl tam skirtos išlaidos bus laikomos tinkamomis finansuoti iš EGF finansinės paramos nuo tos dienos iki tada, kai sueis atitinkamai 24 mėnesiai ir 31 mėnuo nuo finansavimo sprendimo įsigaliojimo dienos;</w:t>
      </w:r>
    </w:p>
    <w:p w:rsidR="00380AEE" w:rsidRPr="003E5F9A" w:rsidP="00380AEE" w14:paraId="2CF05703" w14:textId="77777777">
      <w:pPr>
        <w:pStyle w:val="NormalHanging12a"/>
      </w:pPr>
      <w:r w:rsidRPr="003E5F9A">
        <w:t>14.</w:t>
      </w:r>
      <w:r w:rsidRPr="003E5F9A">
        <w:tab/>
        <w:t>atkreipia dėmesį į tai, kad Belgijos valdžios institucijos patvirtino, jog suteikiant galimybę naudotis siūlomais veiksmais ir juos įgyvendinant bus laikomasi vienodo požiūrio ir nediskriminavimo principų ir kad bus išvengta bet kokio dvigubo finansavimo;</w:t>
      </w:r>
    </w:p>
    <w:p w:rsidR="00380AEE" w:rsidRPr="003E5F9A" w:rsidP="00380AEE" w14:paraId="1B46DFEA" w14:textId="77777777">
      <w:pPr>
        <w:pStyle w:val="NormalHanging12a"/>
      </w:pPr>
      <w:r w:rsidRPr="003E5F9A">
        <w:t>15.</w:t>
      </w:r>
      <w:r w:rsidRPr="003E5F9A">
        <w:tab/>
        <w:t>pakartoja, kad EGF parama neturi pakeisti veiksmų, už kuriuos valdžios institucijos ar bendrovės yra atsakingos pagal nacionalinę teisę ar kolektyvines sutartis; primena, kad EGF yra ribotas, tikslinis ir papildomas mechanizmas;</w:t>
      </w:r>
    </w:p>
    <w:p w:rsidR="00380AEE" w:rsidRPr="003E5F9A" w:rsidP="00380AEE" w14:paraId="0908D4F9" w14:textId="77777777">
      <w:pPr>
        <w:pStyle w:val="NormalHanging12a"/>
      </w:pPr>
      <w:r w:rsidRPr="003E5F9A">
        <w:t>16.</w:t>
      </w:r>
      <w:r w:rsidRPr="003E5F9A">
        <w:tab/>
        <w:t>pritaria prie šios rezoliucijos pridedamam sprendimui;</w:t>
      </w:r>
    </w:p>
    <w:p w:rsidR="00380AEE" w:rsidRPr="003E5F9A" w:rsidP="00380AEE" w14:paraId="32DF1A71" w14:textId="77777777">
      <w:pPr>
        <w:pStyle w:val="NormalHanging12a"/>
      </w:pPr>
      <w:r w:rsidRPr="003E5F9A">
        <w:t>17.</w:t>
      </w:r>
      <w:r w:rsidRPr="003E5F9A">
        <w:tab/>
        <w:t xml:space="preserve">paveda Pirmininkei pasirašyti šį sprendimą su Tarybos pirmininku ir užtikrinti, kad jis būtų paskelbtas </w:t>
      </w:r>
      <w:r w:rsidRPr="003E5F9A">
        <w:rPr>
          <w:i/>
        </w:rPr>
        <w:t>Europos Sąjungos oficialiajame leidinyje</w:t>
      </w:r>
      <w:r w:rsidRPr="003E5F9A">
        <w:t>;</w:t>
      </w:r>
    </w:p>
    <w:p w:rsidR="00380AEE" w:rsidRPr="003E5F9A" w:rsidP="00380AEE" w14:paraId="34062D8E" w14:textId="77777777">
      <w:pPr>
        <w:pStyle w:val="NormalHanging12a"/>
      </w:pPr>
      <w:r w:rsidRPr="003E5F9A">
        <w:t>18.</w:t>
      </w:r>
      <w:r w:rsidRPr="003E5F9A">
        <w:tab/>
        <w:t>paveda Pirmininkei perduoti šią rezoliuciją ir jos priedą Tarybai ir Komisijai.</w:t>
      </w:r>
    </w:p>
    <w:p w:rsidR="00380AEE" w:rsidRPr="003E5F9A" w:rsidP="00380AEE" w14:paraId="6C0E6585" w14:textId="77777777">
      <w:pPr>
        <w:rPr>
          <w:noProof/>
        </w:rPr>
      </w:pPr>
    </w:p>
    <w:p w:rsidR="00380AEE" w:rsidRPr="003E5F9A" w:rsidP="00380AEE" w14:paraId="7F597D59" w14:textId="77777777">
      <w:pPr>
        <w:pStyle w:val="PageHeading"/>
        <w:rPr>
          <w:noProof/>
        </w:rPr>
        <w:sectPr w:rsidSect="003E5F9A">
          <w:footerReference w:type="even" r:id="rId7"/>
          <w:footerReference w:type="first" r:id="rId8"/>
          <w:footnotePr>
            <w:numRestart w:val="eachSect"/>
          </w:footnotePr>
          <w:endnotePr>
            <w:numFmt w:val="decimal"/>
          </w:endnotePr>
          <w:pgSz w:w="11906" w:h="16838" w:code="9"/>
          <w:pgMar w:top="1134" w:right="1418" w:bottom="1418" w:left="1418" w:header="1134" w:footer="567" w:gutter="0"/>
          <w:cols w:space="720"/>
          <w:noEndnote/>
          <w:docGrid w:linePitch="326"/>
        </w:sectPr>
      </w:pPr>
    </w:p>
    <w:p w:rsidR="001A6AD1" w:rsidRPr="001A6AD1" w:rsidP="001A6AD1" w14:paraId="7E2B1E97" w14:textId="77777777">
      <w:pPr>
        <w:pStyle w:val="PageHeading"/>
        <w:rPr>
          <w:rFonts w:ascii="Times New Roman" w:hAnsi="Times New Roman" w:cs="Times New Roman"/>
        </w:rPr>
      </w:pPr>
      <w:bookmarkStart w:id="7" w:name="_Toc232153592"/>
      <w:r w:rsidRPr="001A6AD1">
        <w:rPr>
          <w:rFonts w:ascii="Times New Roman" w:hAnsi="Times New Roman" w:cs="Times New Roman"/>
        </w:rPr>
        <w:t>PRIEDAS</w:t>
      </w:r>
    </w:p>
    <w:p w:rsidR="00380AEE" w:rsidRPr="001A6AD1" w:rsidP="001A6AD1" w14:paraId="272ABE0A" w14:textId="6FF0A65D">
      <w:pPr>
        <w:pStyle w:val="PageHeading"/>
        <w:rPr>
          <w:rFonts w:ascii="Times New Roman" w:hAnsi="Times New Roman" w:cs="Times New Roman"/>
          <w:noProof/>
        </w:rPr>
      </w:pPr>
      <w:r w:rsidRPr="001A6AD1">
        <w:rPr>
          <w:rFonts w:ascii="Times New Roman" w:hAnsi="Times New Roman" w:cs="Times New Roman"/>
        </w:rPr>
        <w:t>EUROPOS PARLAMENTO IR TARYBOS SPRENDIMAS</w:t>
      </w:r>
      <w:bookmarkEnd w:id="7"/>
    </w:p>
    <w:p w:rsidR="00380AEE" w:rsidRPr="003E5F9A" w:rsidP="001A6AD1" w14:paraId="2DC93F1B" w14:textId="7DC061B0">
      <w:pPr>
        <w:pStyle w:val="Titreobjet"/>
        <w:rPr>
          <w:noProof/>
        </w:rPr>
      </w:pPr>
      <w:r w:rsidRPr="001A6AD1">
        <w:t>dėl Europos prisitaikymo prie globalizacijos padarinių fondo atleistiems darbuotojams lėšų mobilizavimo pagal Belgijos paraišką „EGF/2025/009 BE/</w:t>
      </w:r>
      <w:r w:rsidRPr="001A6AD1">
        <w:t>Soliver</w:t>
      </w:r>
      <w:r w:rsidRPr="003E5F9A">
        <w:t>“</w:t>
      </w:r>
    </w:p>
    <w:p w:rsidR="00E365E1" w:rsidRPr="001A6AD1" w:rsidP="001A6AD1" w14:paraId="68D085C2" w14:textId="3E20BF41">
      <w:pPr>
        <w:spacing w:after="240"/>
        <w:rPr>
          <w:i/>
          <w:lang w:val="en-GB" w:eastAsia="de-DE"/>
        </w:rPr>
      </w:pPr>
      <w:bookmarkStart w:id="8" w:name="_Hlk228802707"/>
      <w:bookmarkEnd w:id="8"/>
      <w:r w:rsidRPr="002E2EB9">
        <w:rPr>
          <w:i/>
          <w:lang w:val="en-GB" w:eastAsia="de-DE"/>
        </w:rPr>
        <w:t>(</w:t>
      </w:r>
      <w:r w:rsidRPr="002E2EB9">
        <w:rPr>
          <w:i/>
          <w:lang w:val="en-GB" w:eastAsia="de-DE"/>
        </w:rPr>
        <w:t>Šio</w:t>
      </w:r>
      <w:r w:rsidRPr="002E2EB9">
        <w:rPr>
          <w:i/>
          <w:lang w:val="en-GB" w:eastAsia="de-DE"/>
        </w:rPr>
        <w:t xml:space="preserve"> </w:t>
      </w:r>
      <w:r w:rsidRPr="002E2EB9">
        <w:rPr>
          <w:i/>
          <w:lang w:val="en-GB" w:eastAsia="de-DE"/>
        </w:rPr>
        <w:t>priedo</w:t>
      </w:r>
      <w:r w:rsidRPr="002E2EB9">
        <w:rPr>
          <w:i/>
          <w:lang w:val="en-GB" w:eastAsia="de-DE"/>
        </w:rPr>
        <w:t xml:space="preserve"> </w:t>
      </w:r>
      <w:r w:rsidRPr="002E2EB9">
        <w:rPr>
          <w:i/>
          <w:lang w:val="en-GB" w:eastAsia="de-DE"/>
        </w:rPr>
        <w:t>tekstas</w:t>
      </w:r>
      <w:r w:rsidRPr="002E2EB9">
        <w:rPr>
          <w:i/>
          <w:lang w:val="en-GB" w:eastAsia="de-DE"/>
        </w:rPr>
        <w:t xml:space="preserve"> </w:t>
      </w:r>
      <w:r w:rsidRPr="002E2EB9">
        <w:rPr>
          <w:i/>
          <w:lang w:val="en-GB" w:eastAsia="de-DE"/>
        </w:rPr>
        <w:t>čia</w:t>
      </w:r>
      <w:r w:rsidRPr="002E2EB9">
        <w:rPr>
          <w:i/>
          <w:lang w:val="en-GB" w:eastAsia="de-DE"/>
        </w:rPr>
        <w:t xml:space="preserve"> </w:t>
      </w:r>
      <w:r w:rsidRPr="002E2EB9">
        <w:rPr>
          <w:i/>
          <w:lang w:val="en-GB" w:eastAsia="de-DE"/>
        </w:rPr>
        <w:t>nepateikiamas</w:t>
      </w:r>
      <w:r w:rsidRPr="002E2EB9">
        <w:rPr>
          <w:i/>
          <w:lang w:val="en-GB" w:eastAsia="de-DE"/>
        </w:rPr>
        <w:t xml:space="preserve">, </w:t>
      </w:r>
      <w:r w:rsidRPr="002E2EB9">
        <w:rPr>
          <w:i/>
          <w:lang w:val="en-GB" w:eastAsia="de-DE"/>
        </w:rPr>
        <w:t>nes</w:t>
      </w:r>
      <w:r w:rsidRPr="002E2EB9">
        <w:rPr>
          <w:i/>
          <w:lang w:val="en-GB" w:eastAsia="de-DE"/>
        </w:rPr>
        <w:t xml:space="preserve"> </w:t>
      </w:r>
      <w:r w:rsidRPr="002E2EB9">
        <w:rPr>
          <w:i/>
          <w:lang w:val="en-GB" w:eastAsia="de-DE"/>
        </w:rPr>
        <w:t>jis</w:t>
      </w:r>
      <w:r w:rsidRPr="002E2EB9">
        <w:rPr>
          <w:i/>
          <w:lang w:val="en-GB" w:eastAsia="de-DE"/>
        </w:rPr>
        <w:t xml:space="preserve"> </w:t>
      </w:r>
      <w:r w:rsidRPr="002E2EB9">
        <w:rPr>
          <w:i/>
          <w:lang w:val="en-GB" w:eastAsia="de-DE"/>
        </w:rPr>
        <w:t>atitinka</w:t>
      </w:r>
      <w:r w:rsidRPr="002E2EB9">
        <w:rPr>
          <w:i/>
          <w:lang w:val="en-GB" w:eastAsia="de-DE"/>
        </w:rPr>
        <w:t xml:space="preserve"> </w:t>
      </w:r>
      <w:r w:rsidRPr="002E2EB9">
        <w:rPr>
          <w:i/>
          <w:lang w:val="en-GB" w:eastAsia="de-DE"/>
        </w:rPr>
        <w:t>galutinį</w:t>
      </w:r>
      <w:r w:rsidRPr="002E2EB9">
        <w:rPr>
          <w:i/>
          <w:lang w:val="en-GB" w:eastAsia="de-DE"/>
        </w:rPr>
        <w:t xml:space="preserve"> </w:t>
      </w:r>
      <w:r w:rsidRPr="002E2EB9">
        <w:rPr>
          <w:i/>
          <w:lang w:val="en-GB" w:eastAsia="de-DE"/>
        </w:rPr>
        <w:t>aktą</w:t>
      </w:r>
      <w:r w:rsidRPr="002E2EB9">
        <w:rPr>
          <w:i/>
          <w:lang w:val="en-GB" w:eastAsia="de-DE"/>
        </w:rPr>
        <w:t xml:space="preserve"> – </w:t>
      </w:r>
      <w:r w:rsidRPr="001A6AD1">
        <w:rPr>
          <w:i/>
          <w:lang w:val="en-GB" w:eastAsia="de-DE"/>
        </w:rPr>
        <w:t>Sprendimą</w:t>
      </w:r>
      <w:r w:rsidRPr="001A6AD1">
        <w:rPr>
          <w:i/>
          <w:lang w:val="en-GB" w:eastAsia="de-DE"/>
        </w:rPr>
        <w:t xml:space="preserve"> (ES) 20</w:t>
      </w:r>
      <w:r w:rsidRPr="001A6AD1">
        <w:rPr>
          <w:i/>
          <w:lang w:val="en-GB" w:eastAsia="de-DE"/>
        </w:rPr>
        <w:t>26</w:t>
      </w:r>
      <w:r w:rsidRPr="001A6AD1">
        <w:rPr>
          <w:i/>
          <w:lang w:val="en-GB" w:eastAsia="de-DE"/>
        </w:rPr>
        <w:t>/1</w:t>
      </w:r>
      <w:r w:rsidRPr="001A6AD1">
        <w:rPr>
          <w:i/>
          <w:lang w:val="en-GB" w:eastAsia="de-DE"/>
        </w:rPr>
        <w:t>543</w:t>
      </w:r>
      <w:r w:rsidRPr="002E2EB9">
        <w:rPr>
          <w:i/>
          <w:lang w:val="en-GB" w:eastAsia="de-DE"/>
        </w:rPr>
        <w:t>.)</w:t>
      </w:r>
    </w:p>
    <w:sectPr w:rsidSect="003E5F9A">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380AEE" w:rsidRPr="003E5F9A" w:rsidP="00466259" w14:paraId="31B1B136" w14:textId="77777777">
    <w:pPr>
      <w:pStyle w:val="EPFooter"/>
    </w:pPr>
    <w:r w:rsidRPr="003E5F9A">
      <w:t>PE</w:t>
    </w:r>
    <w:r w:rsidRPr="003E5F9A">
      <w:rPr>
        <w:rStyle w:val="HideTWBExt"/>
      </w:rPr>
      <w:t>&lt;</w:t>
    </w:r>
    <w:r w:rsidRPr="003E5F9A">
      <w:rPr>
        <w:rStyle w:val="HideTWBExt"/>
      </w:rPr>
      <w:t>NoPE</w:t>
    </w:r>
    <w:r w:rsidRPr="003E5F9A">
      <w:rPr>
        <w:rStyle w:val="HideTWBExt"/>
      </w:rPr>
      <w:t>&gt;</w:t>
    </w:r>
    <w:r w:rsidRPr="003E5F9A">
      <w:t>787.923</w:t>
    </w:r>
    <w:r w:rsidRPr="003E5F9A">
      <w:rPr>
        <w:rStyle w:val="HideTWBExt"/>
      </w:rPr>
      <w:t>&lt;/</w:t>
    </w:r>
    <w:r w:rsidRPr="003E5F9A">
      <w:rPr>
        <w:rStyle w:val="HideTWBExt"/>
      </w:rPr>
      <w:t>NoPE</w:t>
    </w:r>
    <w:r w:rsidRPr="003E5F9A">
      <w:rPr>
        <w:rStyle w:val="HideTWBExt"/>
      </w:rPr>
      <w:t>&gt;&lt;Version&gt;</w:t>
    </w:r>
    <w:r w:rsidRPr="003E5F9A">
      <w:t>v02-00</w:t>
    </w:r>
    <w:r w:rsidRPr="003E5F9A">
      <w:rPr>
        <w:rStyle w:val="HideTWBExt"/>
      </w:rPr>
      <w:t>&lt;/</w:t>
    </w:r>
    <w:r w:rsidRPr="003E5F9A">
      <w:rPr>
        <w:rStyle w:val="HideTWBExt"/>
      </w:rPr>
      <w:t>Version</w:t>
    </w:r>
    <w:r w:rsidRPr="003E5F9A">
      <w:rPr>
        <w:rStyle w:val="HideTWBExt"/>
      </w:rPr>
      <w:t>&gt;</w:t>
    </w:r>
    <w:r w:rsidRPr="003E5F9A">
      <w:tab/>
    </w:r>
    <w:r w:rsidRPr="003E5F9A">
      <w:fldChar w:fldCharType="begin"/>
    </w:r>
    <w:r w:rsidRPr="003E5F9A">
      <w:instrText xml:space="preserve"> PAGE  \* MERGEFORMAT </w:instrText>
    </w:r>
    <w:r w:rsidRPr="003E5F9A">
      <w:fldChar w:fldCharType="separate"/>
    </w:r>
    <w:r w:rsidRPr="003E5F9A">
      <w:rPr>
        <w:noProof/>
      </w:rPr>
      <w:t>2</w:t>
    </w:r>
    <w:r w:rsidRPr="003E5F9A">
      <w:fldChar w:fldCharType="end"/>
    </w:r>
    <w:r w:rsidRPr="003E5F9A">
      <w:t>/</w:t>
    </w:r>
    <w:r>
      <w:fldChar w:fldCharType="begin"/>
    </w:r>
    <w:r>
      <w:instrText xml:space="preserve"> NUMPAGES  \* MERGEFORMAT </w:instrText>
    </w:r>
    <w:r>
      <w:fldChar w:fldCharType="separate"/>
    </w:r>
    <w:r w:rsidRPr="003E5F9A">
      <w:rPr>
        <w:noProof/>
      </w:rPr>
      <w:t>11</w:t>
    </w:r>
    <w:r w:rsidRPr="003E5F9A">
      <w:rPr>
        <w:noProof/>
      </w:rPr>
      <w:fldChar w:fldCharType="end"/>
    </w:r>
    <w:r w:rsidRPr="003E5F9A">
      <w:tab/>
    </w:r>
    <w:r w:rsidRPr="003E5F9A">
      <w:rPr>
        <w:rStyle w:val="HideTWBExt"/>
      </w:rPr>
      <w:t>&lt;PathFdR&gt;</w:t>
    </w:r>
    <w:r w:rsidRPr="003E5F9A">
      <w:t>RR\1345097LT.docx</w:t>
    </w:r>
    <w:r w:rsidRPr="003E5F9A">
      <w:rPr>
        <w:rStyle w:val="HideTWBExt"/>
      </w:rPr>
      <w:t>&lt;/</w:t>
    </w:r>
    <w:r w:rsidRPr="003E5F9A">
      <w:rPr>
        <w:rStyle w:val="HideTWBExt"/>
      </w:rPr>
      <w:t>PathFdR</w:t>
    </w:r>
    <w:r w:rsidRPr="003E5F9A">
      <w:rPr>
        <w:rStyle w:val="HideTWBExt"/>
      </w:rPr>
      <w:t>&gt;</w:t>
    </w:r>
  </w:p>
  <w:p w:rsidR="00380AEE" w:rsidRPr="003E5F9A" w:rsidP="00466259" w14:paraId="08E83E16" w14:textId="77777777">
    <w:pPr>
      <w:pStyle w:val="EPFooter2"/>
    </w:pPr>
    <w:r w:rsidRPr="003E5F9A">
      <w:t>LT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380AEE" w:rsidRPr="003E5F9A" w:rsidP="00466259" w14:paraId="40750763" w14:textId="77777777">
    <w:pPr>
      <w:pStyle w:val="EPFooter"/>
    </w:pPr>
    <w:r w:rsidRPr="003E5F9A">
      <w:rPr>
        <w:rStyle w:val="HideTWBExt"/>
      </w:rPr>
      <w:t>&lt;PathFdR&gt;</w:t>
    </w:r>
    <w:r w:rsidRPr="003E5F9A">
      <w:t>RR\1345097LT.docx</w:t>
    </w:r>
    <w:r w:rsidRPr="003E5F9A">
      <w:rPr>
        <w:rStyle w:val="HideTWBExt"/>
      </w:rPr>
      <w:t>&lt;/</w:t>
    </w:r>
    <w:r w:rsidRPr="003E5F9A">
      <w:rPr>
        <w:rStyle w:val="HideTWBExt"/>
      </w:rPr>
      <w:t>PathFdR</w:t>
    </w:r>
    <w:r w:rsidRPr="003E5F9A">
      <w:rPr>
        <w:rStyle w:val="HideTWBExt"/>
      </w:rPr>
      <w:t>&gt;</w:t>
    </w:r>
    <w:r w:rsidRPr="003E5F9A">
      <w:tab/>
    </w:r>
    <w:r w:rsidRPr="003E5F9A">
      <w:tab/>
      <w:t>PE</w:t>
    </w:r>
    <w:r w:rsidRPr="003E5F9A">
      <w:rPr>
        <w:rStyle w:val="HideTWBExt"/>
      </w:rPr>
      <w:t>&lt;</w:t>
    </w:r>
    <w:r w:rsidRPr="003E5F9A">
      <w:rPr>
        <w:rStyle w:val="HideTWBExt"/>
      </w:rPr>
      <w:t>NoPE</w:t>
    </w:r>
    <w:r w:rsidRPr="003E5F9A">
      <w:rPr>
        <w:rStyle w:val="HideTWBExt"/>
      </w:rPr>
      <w:t>&gt;</w:t>
    </w:r>
    <w:r w:rsidRPr="003E5F9A">
      <w:t>787.923</w:t>
    </w:r>
    <w:r w:rsidRPr="003E5F9A">
      <w:rPr>
        <w:rStyle w:val="HideTWBExt"/>
      </w:rPr>
      <w:t>&lt;/</w:t>
    </w:r>
    <w:r w:rsidRPr="003E5F9A">
      <w:rPr>
        <w:rStyle w:val="HideTWBExt"/>
      </w:rPr>
      <w:t>NoPE</w:t>
    </w:r>
    <w:r w:rsidRPr="003E5F9A">
      <w:rPr>
        <w:rStyle w:val="HideTWBExt"/>
      </w:rPr>
      <w:t>&gt;&lt;Version&gt;</w:t>
    </w:r>
    <w:r w:rsidRPr="003E5F9A">
      <w:t>v02-00</w:t>
    </w:r>
    <w:r w:rsidRPr="003E5F9A">
      <w:rPr>
        <w:rStyle w:val="HideTWBExt"/>
      </w:rPr>
      <w:t>&lt;/</w:t>
    </w:r>
    <w:r w:rsidRPr="003E5F9A">
      <w:rPr>
        <w:rStyle w:val="HideTWBExt"/>
      </w:rPr>
      <w:t>Version</w:t>
    </w:r>
    <w:r w:rsidRPr="003E5F9A">
      <w:rPr>
        <w:rStyle w:val="HideTWBExt"/>
      </w:rPr>
      <w:t>&gt;</w:t>
    </w:r>
  </w:p>
  <w:p w:rsidR="00380AEE" w:rsidRPr="003E5F9A" w:rsidP="00466259" w14:paraId="64A94704" w14:textId="77777777">
    <w:pPr>
      <w:pStyle w:val="EPFooter2"/>
    </w:pPr>
    <w:r w:rsidRPr="003E5F9A">
      <w:t>LT</w:t>
    </w:r>
    <w:r w:rsidRPr="003E5F9A">
      <w:tab/>
    </w:r>
    <w:r w:rsidRPr="003E5F9A">
      <w:rPr>
        <w:b w:val="0"/>
        <w:i/>
        <w:color w:val="C0C0C0"/>
        <w:sz w:val="22"/>
      </w:rPr>
      <w:t>Suvienijusi įvairovę</w:t>
    </w:r>
    <w:r w:rsidRPr="003E5F9A">
      <w:tab/>
      <w:t>LT</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3E5F9A" w14:paraId="3608824E" w14:textId="77777777"/>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3E5F9A" w14:paraId="4AE25B5B" w14:textId="77777777"/>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3E5F9A" w14:paraId="00A7719A" w14:textId="7777777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2F5ECB" w:rsidRPr="003E5F9A" w14:paraId="6CCD070E" w14:textId="77777777">
      <w:r w:rsidRPr="003E5F9A">
        <w:separator/>
      </w:r>
    </w:p>
  </w:footnote>
  <w:footnote w:type="continuationSeparator" w:id="1">
    <w:p w:rsidR="002F5ECB" w:rsidRPr="003E5F9A" w14:paraId="308F46B8" w14:textId="77777777">
      <w:r w:rsidRPr="003E5F9A">
        <w:continuationSeparator/>
      </w:r>
    </w:p>
  </w:footnote>
  <w:footnote w:id="2">
    <w:p w:rsidR="008E4081" w:rsidRPr="003F7BF3" w:rsidP="008E4081" w14:paraId="2F814CEC" w14:textId="7BF5F90F">
      <w:pPr>
        <w:pStyle w:val="FootnoteText"/>
        <w:ind w:left="567" w:hanging="567"/>
        <w:rPr>
          <w:sz w:val="24"/>
          <w:lang w:val="fi-FI"/>
        </w:rPr>
      </w:pPr>
      <w:r w:rsidRPr="0098137A">
        <w:rPr>
          <w:rStyle w:val="FootnoteReference"/>
          <w:sz w:val="24"/>
          <w:lang w:val="en-GB"/>
        </w:rPr>
        <w:footnoteRef/>
      </w:r>
      <w:r w:rsidRPr="003F7BF3">
        <w:rPr>
          <w:sz w:val="24"/>
          <w:lang w:val="fi-FI"/>
        </w:rPr>
        <w:t xml:space="preserve"> </w:t>
      </w:r>
      <w:r w:rsidRPr="003F7BF3">
        <w:rPr>
          <w:sz w:val="24"/>
          <w:lang w:val="fi-FI"/>
        </w:rPr>
        <w:tab/>
        <w:t>O</w:t>
      </w:r>
      <w:r>
        <w:rPr>
          <w:sz w:val="24"/>
          <w:lang w:val="fi-FI"/>
        </w:rPr>
        <w:t>L</w:t>
      </w:r>
      <w:r w:rsidRPr="003E5F9A" w:rsidR="00286B44">
        <w:rPr>
          <w:sz w:val="24"/>
          <w:lang w:val="lt-LT"/>
        </w:rPr>
        <w:t> </w:t>
      </w:r>
      <w:r w:rsidRPr="003F7BF3">
        <w:rPr>
          <w:sz w:val="24"/>
          <w:lang w:val="fi-FI"/>
        </w:rPr>
        <w:t>L</w:t>
      </w:r>
      <w:r w:rsidRPr="003E5F9A" w:rsidR="00286B44">
        <w:rPr>
          <w:sz w:val="24"/>
          <w:lang w:val="lt-LT"/>
        </w:rPr>
        <w:t> </w:t>
      </w:r>
      <w:r w:rsidRPr="003F7BF3">
        <w:rPr>
          <w:sz w:val="24"/>
          <w:lang w:val="fi-FI"/>
        </w:rPr>
        <w:t>153,</w:t>
      </w:r>
      <w:r>
        <w:rPr>
          <w:sz w:val="24"/>
          <w:lang w:val="fi-FI"/>
        </w:rPr>
        <w:t xml:space="preserve"> </w:t>
      </w:r>
      <w:r w:rsidRPr="003F7BF3">
        <w:rPr>
          <w:sz w:val="24"/>
          <w:lang w:val="fi-FI"/>
        </w:rPr>
        <w:t>2021</w:t>
      </w:r>
      <w:r w:rsidRPr="003E5F9A" w:rsidR="00286B44">
        <w:rPr>
          <w:sz w:val="24"/>
          <w:lang w:val="lt-LT"/>
        </w:rPr>
        <w:t> </w:t>
      </w:r>
      <w:r>
        <w:rPr>
          <w:sz w:val="24"/>
          <w:lang w:val="fi-FI"/>
        </w:rPr>
        <w:t>5</w:t>
      </w:r>
      <w:r w:rsidRPr="003E5F9A" w:rsidR="00286B44">
        <w:rPr>
          <w:sz w:val="24"/>
          <w:lang w:val="lt-LT"/>
        </w:rPr>
        <w:t> </w:t>
      </w:r>
      <w:r>
        <w:rPr>
          <w:sz w:val="24"/>
          <w:lang w:val="fi-FI"/>
        </w:rPr>
        <w:t>3</w:t>
      </w:r>
      <w:r w:rsidRPr="003F7BF3">
        <w:rPr>
          <w:sz w:val="24"/>
          <w:lang w:val="fi-FI"/>
        </w:rPr>
        <w:t>, p.</w:t>
      </w:r>
      <w:r w:rsidRPr="003E5F9A" w:rsidR="00286B44">
        <w:rPr>
          <w:sz w:val="24"/>
          <w:lang w:val="lt-LT"/>
        </w:rPr>
        <w:t> </w:t>
      </w:r>
      <w:r w:rsidRPr="003F7BF3">
        <w:rPr>
          <w:sz w:val="24"/>
          <w:lang w:val="fi-FI"/>
        </w:rPr>
        <w:t>48, ELI:</w:t>
      </w:r>
      <w:r w:rsidRPr="003E5F9A" w:rsidR="00286B44">
        <w:rPr>
          <w:sz w:val="24"/>
          <w:lang w:val="lt-LT"/>
        </w:rPr>
        <w:t> </w:t>
      </w:r>
      <w:hyperlink r:id="rId1" w:history="1">
        <w:r w:rsidRPr="003F7BF3">
          <w:rPr>
            <w:rStyle w:val="Hyperlink"/>
            <w:sz w:val="24"/>
            <w:lang w:val="fi-FI"/>
          </w:rPr>
          <w:t>http://data.europa.eu/eli/reg/2021/691/oj</w:t>
        </w:r>
      </w:hyperlink>
      <w:r w:rsidRPr="003F7BF3">
        <w:rPr>
          <w:sz w:val="24"/>
          <w:lang w:val="fi-FI"/>
        </w:rPr>
        <w:t>.</w:t>
      </w:r>
    </w:p>
  </w:footnote>
  <w:footnote w:id="3">
    <w:p w:rsidR="00380AEE" w:rsidRPr="003E5F9A" w:rsidP="003E5F9A" w14:paraId="6A6CEFDC" w14:textId="0C88FA3A">
      <w:pPr>
        <w:pStyle w:val="FootnoteText"/>
        <w:ind w:left="567" w:hanging="567"/>
        <w:rPr>
          <w:sz w:val="24"/>
          <w:lang w:val="lt-LT"/>
        </w:rPr>
      </w:pPr>
      <w:r w:rsidRPr="003E5F9A">
        <w:rPr>
          <w:rStyle w:val="FootnoteReference"/>
          <w:sz w:val="24"/>
          <w:lang w:val="lt-LT"/>
        </w:rPr>
        <w:footnoteRef/>
      </w:r>
      <w:r w:rsidRPr="003E5F9A" w:rsidR="003E5F9A">
        <w:rPr>
          <w:sz w:val="24"/>
          <w:lang w:val="lt-LT"/>
        </w:rPr>
        <w:t xml:space="preserve"> </w:t>
      </w:r>
      <w:r w:rsidRPr="003E5F9A" w:rsidR="003E5F9A">
        <w:rPr>
          <w:sz w:val="24"/>
          <w:lang w:val="lt-LT"/>
        </w:rPr>
        <w:tab/>
      </w:r>
      <w:r w:rsidRPr="003E5F9A">
        <w:rPr>
          <w:sz w:val="24"/>
          <w:lang w:val="lt-LT"/>
        </w:rPr>
        <w:t>O</w:t>
      </w:r>
      <w:r w:rsidR="008E4081">
        <w:rPr>
          <w:sz w:val="24"/>
          <w:lang w:val="lt-LT"/>
        </w:rPr>
        <w:t>L</w:t>
      </w:r>
      <w:r w:rsidRPr="003E5F9A" w:rsidR="00286B44">
        <w:rPr>
          <w:sz w:val="24"/>
          <w:lang w:val="lt-LT"/>
        </w:rPr>
        <w:t> </w:t>
      </w:r>
      <w:r w:rsidR="008E4081">
        <w:rPr>
          <w:sz w:val="24"/>
          <w:lang w:val="lt-LT"/>
        </w:rPr>
        <w:t>L</w:t>
      </w:r>
      <w:r w:rsidRPr="003E5F9A">
        <w:rPr>
          <w:sz w:val="24"/>
          <w:lang w:val="lt-LT"/>
        </w:rPr>
        <w:t xml:space="preserve">, </w:t>
      </w:r>
      <w:r w:rsidRPr="001B6428" w:rsidR="008E4081">
        <w:rPr>
          <w:sz w:val="24"/>
          <w:lang w:val="pt-PT"/>
        </w:rPr>
        <w:t xml:space="preserve">2026/1139, </w:t>
      </w:r>
      <w:r w:rsidRPr="003E5F9A">
        <w:rPr>
          <w:sz w:val="24"/>
          <w:lang w:val="lt-LT"/>
        </w:rPr>
        <w:t>2026 5 20, ELI: </w:t>
      </w:r>
      <w:hyperlink r:id="rId2" w:tgtFrame="_blank" w:tooltip="Prieiga prie šio dokumento suteikiama per ELI sistemoje jam suteiktą URI." w:history="1">
        <w:r w:rsidRPr="003E5F9A">
          <w:rPr>
            <w:rStyle w:val="Hyperlink"/>
            <w:color w:val="0070C0"/>
            <w:sz w:val="24"/>
            <w:lang w:val="lt-LT"/>
          </w:rPr>
          <w:t>http://data.europa.eu/eli/reg/2026/1139/oj</w:t>
        </w:r>
      </w:hyperlink>
      <w:r w:rsidRPr="003E5F9A">
        <w:rPr>
          <w:color w:val="0070C0"/>
          <w:sz w:val="24"/>
          <w:lang w:val="lt-LT"/>
        </w:rPr>
        <w:t>.</w:t>
      </w:r>
    </w:p>
  </w:footnote>
  <w:footnote w:id="4">
    <w:p w:rsidR="00DA67FB" w:rsidRPr="003E5F9A" w:rsidP="00DA67FB" w14:paraId="0CF119FE" w14:textId="77777777">
      <w:pPr>
        <w:pStyle w:val="FootnoteText"/>
        <w:ind w:left="567" w:hanging="567"/>
        <w:rPr>
          <w:sz w:val="24"/>
          <w:lang w:val="lt-LT"/>
        </w:rPr>
      </w:pPr>
      <w:r w:rsidRPr="003E5F9A">
        <w:rPr>
          <w:rStyle w:val="FootnoteReference"/>
          <w:sz w:val="24"/>
          <w:lang w:val="lt-LT"/>
        </w:rPr>
        <w:footnoteRef/>
      </w:r>
      <w:r w:rsidRPr="003E5F9A">
        <w:rPr>
          <w:sz w:val="24"/>
          <w:lang w:val="lt-LT"/>
        </w:rPr>
        <w:t xml:space="preserve"> </w:t>
      </w:r>
      <w:r w:rsidRPr="003E5F9A">
        <w:rPr>
          <w:sz w:val="24"/>
          <w:lang w:val="lt-LT"/>
        </w:rPr>
        <w:tab/>
        <w:t xml:space="preserve">OL L 433 I, 2020 12 22, p. 11, ELI: </w:t>
      </w:r>
      <w:hyperlink r:id="rId3" w:history="1">
        <w:r w:rsidRPr="003E5F9A">
          <w:rPr>
            <w:rStyle w:val="Hyperlink"/>
            <w:sz w:val="24"/>
            <w:lang w:val="lt-LT"/>
          </w:rPr>
          <w:t>http://data.europa.eu/eli/reg/2020/2093/oj</w:t>
        </w:r>
      </w:hyperlink>
      <w:r w:rsidRPr="003E5F9A">
        <w:rPr>
          <w:sz w:val="24"/>
          <w:lang w:val="lt-LT"/>
        </w:rPr>
        <w:t>.</w:t>
      </w:r>
    </w:p>
  </w:footnote>
  <w:footnote w:id="5">
    <w:p w:rsidR="00380AEE" w:rsidRPr="00286B44" w:rsidP="003E5F9A" w14:paraId="1AA37B65" w14:textId="093B0E5B">
      <w:pPr>
        <w:pStyle w:val="FootnoteText"/>
        <w:ind w:left="567" w:hanging="567"/>
        <w:rPr>
          <w:iCs/>
          <w:sz w:val="24"/>
          <w:lang w:val="lt-LT"/>
        </w:rPr>
      </w:pPr>
      <w:r w:rsidRPr="003E5F9A">
        <w:rPr>
          <w:rStyle w:val="FootnoteReference"/>
          <w:sz w:val="24"/>
          <w:lang w:val="lt-LT"/>
        </w:rPr>
        <w:footnoteRef/>
      </w:r>
      <w:r w:rsidRPr="003E5F9A" w:rsidR="003E5F9A">
        <w:rPr>
          <w:sz w:val="24"/>
          <w:shd w:val="clear" w:color="auto" w:fill="FFFFFF"/>
          <w:lang w:val="lt-LT"/>
        </w:rPr>
        <w:t xml:space="preserve"> </w:t>
      </w:r>
      <w:r w:rsidRPr="003E5F9A" w:rsidR="003E5F9A">
        <w:rPr>
          <w:sz w:val="24"/>
          <w:shd w:val="clear" w:color="auto" w:fill="FFFFFF"/>
          <w:lang w:val="lt-LT"/>
        </w:rPr>
        <w:tab/>
      </w:r>
      <w:r w:rsidRPr="003E5F9A">
        <w:rPr>
          <w:sz w:val="24"/>
          <w:shd w:val="clear" w:color="auto" w:fill="FFFFFF"/>
          <w:lang w:val="lt-LT"/>
        </w:rPr>
        <w:t>2024 m. vasario 29 d. Tarybos reglamentas (ES, Euratomas) 2024/765, kuriuo iš dalies keičiamas Reglamentas (ES, Euratomas) 2020/2093, kuriuo nustatoma 2021–2027 m. daugiametė finansinė programa (OL L, 2024/765, 2024 2 29, ELI:</w:t>
      </w:r>
      <w:r w:rsidRPr="003E5F9A">
        <w:rPr>
          <w:color w:val="333333"/>
          <w:sz w:val="24"/>
          <w:shd w:val="clear" w:color="auto" w:fill="FFFFFF"/>
          <w:lang w:val="lt-LT"/>
        </w:rPr>
        <w:t xml:space="preserve"> </w:t>
      </w:r>
      <w:hyperlink r:id="rId4" w:history="1">
        <w:r w:rsidRPr="003E5F9A">
          <w:rPr>
            <w:rStyle w:val="Hyperlink"/>
            <w:sz w:val="24"/>
            <w:shd w:val="clear" w:color="auto" w:fill="FFFFFF"/>
            <w:lang w:val="lt-LT"/>
          </w:rPr>
          <w:t>http://data.europa.eu/eli/reg/2024/765/oj</w:t>
        </w:r>
      </w:hyperlink>
      <w:r w:rsidRPr="003E5F9A">
        <w:rPr>
          <w:i/>
          <w:color w:val="333333"/>
          <w:sz w:val="24"/>
          <w:shd w:val="clear" w:color="auto" w:fill="FFFFFF"/>
          <w:lang w:val="lt-LT"/>
        </w:rPr>
        <w:t>).</w:t>
      </w:r>
    </w:p>
  </w:footnote>
  <w:footnote w:id="6">
    <w:p w:rsidR="00380AEE" w:rsidRPr="003E5F9A" w:rsidP="003E5F9A" w14:paraId="0CC18E50" w14:textId="4374897E">
      <w:pPr>
        <w:pStyle w:val="FootnoteText"/>
        <w:ind w:left="567" w:hanging="567"/>
        <w:rPr>
          <w:sz w:val="24"/>
          <w:lang w:val="lt-LT"/>
        </w:rPr>
      </w:pPr>
      <w:r w:rsidRPr="003E5F9A">
        <w:rPr>
          <w:rStyle w:val="FootnoteReference"/>
          <w:sz w:val="24"/>
          <w:lang w:val="lt-LT"/>
        </w:rPr>
        <w:footnoteRef/>
      </w:r>
      <w:r w:rsidRPr="003E5F9A" w:rsidR="003E5F9A">
        <w:rPr>
          <w:sz w:val="24"/>
          <w:lang w:val="lt-LT"/>
        </w:rPr>
        <w:t xml:space="preserve"> </w:t>
      </w:r>
      <w:r w:rsidRPr="003E5F9A" w:rsidR="003E5F9A">
        <w:rPr>
          <w:sz w:val="24"/>
          <w:lang w:val="lt-LT"/>
        </w:rPr>
        <w:tab/>
      </w:r>
      <w:r w:rsidRPr="003E5F9A">
        <w:rPr>
          <w:sz w:val="24"/>
          <w:lang w:val="lt-LT"/>
        </w:rPr>
        <w:t xml:space="preserve">OL L 433 I, 2020 12 22, p. 28, ELI: </w:t>
      </w:r>
      <w:hyperlink r:id="rId5" w:history="1">
        <w:r w:rsidRPr="003E5F9A">
          <w:rPr>
            <w:rStyle w:val="Hyperlink"/>
            <w:sz w:val="24"/>
            <w:lang w:val="lt-LT"/>
          </w:rPr>
          <w:t>http://data.europa.eu/eli/agree_interinstit/2020/1222/oj</w:t>
        </w:r>
      </w:hyperlink>
      <w:r w:rsidRPr="003E5F9A">
        <w:rPr>
          <w:sz w:val="24"/>
          <w:lang w:val="lt-LT"/>
        </w:rPr>
        <w:t>.</w:t>
      </w:r>
    </w:p>
  </w:footnote>
  <w:footnote w:id="7">
    <w:p w:rsidR="00380AEE" w:rsidRPr="003E5F9A" w:rsidP="003E5F9A" w14:paraId="787D4483" w14:textId="60572C9F">
      <w:pPr>
        <w:pStyle w:val="FootnoteText"/>
        <w:ind w:left="567" w:hanging="567"/>
        <w:rPr>
          <w:sz w:val="24"/>
          <w:lang w:val="lt-LT"/>
        </w:rPr>
      </w:pPr>
      <w:r w:rsidRPr="003E5F9A">
        <w:rPr>
          <w:rStyle w:val="FootnoteReference"/>
          <w:sz w:val="24"/>
          <w:lang w:val="lt-LT"/>
        </w:rPr>
        <w:footnoteRef/>
      </w:r>
      <w:r w:rsidRPr="003E5F9A" w:rsidR="003E5F9A">
        <w:rPr>
          <w:sz w:val="24"/>
          <w:lang w:val="lt-LT"/>
        </w:rPr>
        <w:t xml:space="preserve"> </w:t>
      </w:r>
      <w:r w:rsidRPr="003E5F9A" w:rsidR="003E5F9A">
        <w:rPr>
          <w:sz w:val="24"/>
          <w:lang w:val="lt-LT"/>
        </w:rPr>
        <w:tab/>
      </w:r>
      <w:r w:rsidRPr="003E5F9A">
        <w:rPr>
          <w:sz w:val="24"/>
          <w:lang w:val="lt-LT"/>
        </w:rPr>
        <w:t>Kaip tai suprantama EGF reglamento 3 straipsnyje.</w:t>
      </w:r>
    </w:p>
  </w:footnote>
  <w:footnote w:id="8">
    <w:p w:rsidR="00380AEE" w:rsidRPr="003E5F9A" w:rsidP="003E5F9A" w14:paraId="78BA514B" w14:textId="40202771">
      <w:pPr>
        <w:pStyle w:val="FootnoteText"/>
        <w:ind w:left="567" w:hanging="567"/>
        <w:rPr>
          <w:sz w:val="24"/>
          <w:lang w:val="lt-LT"/>
        </w:rPr>
      </w:pPr>
      <w:r w:rsidRPr="003E5F9A">
        <w:rPr>
          <w:rStyle w:val="FootnoteReference"/>
          <w:sz w:val="24"/>
          <w:lang w:val="lt-LT"/>
        </w:rPr>
        <w:footnoteRef/>
      </w:r>
      <w:r w:rsidRPr="003E5F9A" w:rsidR="003E5F9A">
        <w:rPr>
          <w:sz w:val="24"/>
          <w:lang w:val="lt-LT"/>
        </w:rPr>
        <w:t xml:space="preserve"> </w:t>
      </w:r>
      <w:r w:rsidRPr="003E5F9A" w:rsidR="003E5F9A">
        <w:rPr>
          <w:sz w:val="24"/>
          <w:lang w:val="lt-LT"/>
        </w:rPr>
        <w:tab/>
      </w:r>
      <w:r w:rsidRPr="003E5F9A">
        <w:rPr>
          <w:sz w:val="24"/>
          <w:lang w:val="lt-LT"/>
        </w:rPr>
        <w:t>DFP reglamento 8 straipsnis.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3E5F9A" w14:paraId="30228DA1" w14:textId="777777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3E5F9A" w14:paraId="74511586"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3E5F9A" w14:paraId="2EEE15F0"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459880796">
    <w:abstractNumId w:val="9"/>
  </w:num>
  <w:num w:numId="2" w16cid:durableId="369107160">
    <w:abstractNumId w:val="9"/>
  </w:num>
  <w:num w:numId="3" w16cid:durableId="484710039">
    <w:abstractNumId w:val="7"/>
  </w:num>
  <w:num w:numId="4" w16cid:durableId="1772704173">
    <w:abstractNumId w:val="7"/>
  </w:num>
  <w:num w:numId="5" w16cid:durableId="17896289">
    <w:abstractNumId w:val="6"/>
  </w:num>
  <w:num w:numId="6" w16cid:durableId="859009184">
    <w:abstractNumId w:val="6"/>
  </w:num>
  <w:num w:numId="7" w16cid:durableId="96565480">
    <w:abstractNumId w:val="5"/>
  </w:num>
  <w:num w:numId="8" w16cid:durableId="534998154">
    <w:abstractNumId w:val="5"/>
  </w:num>
  <w:num w:numId="9" w16cid:durableId="1089472049">
    <w:abstractNumId w:val="4"/>
  </w:num>
  <w:num w:numId="10" w16cid:durableId="812530026">
    <w:abstractNumId w:val="4"/>
  </w:num>
  <w:num w:numId="11" w16cid:durableId="1610890351">
    <w:abstractNumId w:val="8"/>
  </w:num>
  <w:num w:numId="12" w16cid:durableId="1677146612">
    <w:abstractNumId w:val="8"/>
  </w:num>
  <w:num w:numId="13" w16cid:durableId="2131168963">
    <w:abstractNumId w:val="3"/>
  </w:num>
  <w:num w:numId="14" w16cid:durableId="73742055">
    <w:abstractNumId w:val="3"/>
  </w:num>
  <w:num w:numId="15" w16cid:durableId="1957443707">
    <w:abstractNumId w:val="2"/>
  </w:num>
  <w:num w:numId="16" w16cid:durableId="1289316204">
    <w:abstractNumId w:val="2"/>
  </w:num>
  <w:num w:numId="17" w16cid:durableId="875850314">
    <w:abstractNumId w:val="1"/>
  </w:num>
  <w:num w:numId="18" w16cid:durableId="524102195">
    <w:abstractNumId w:val="1"/>
  </w:num>
  <w:num w:numId="19" w16cid:durableId="146897691">
    <w:abstractNumId w:val="0"/>
  </w:num>
  <w:num w:numId="20" w16cid:durableId="600987931">
    <w:abstractNumId w:val="0"/>
  </w:num>
  <w:num w:numId="21" w16cid:durableId="1349722404">
    <w:abstractNumId w:val="9"/>
  </w:num>
  <w:num w:numId="22" w16cid:durableId="1015770801">
    <w:abstractNumId w:val="7"/>
  </w:num>
  <w:num w:numId="23" w16cid:durableId="1532718685">
    <w:abstractNumId w:val="6"/>
  </w:num>
  <w:num w:numId="24" w16cid:durableId="793448155">
    <w:abstractNumId w:val="5"/>
  </w:num>
  <w:num w:numId="25" w16cid:durableId="1833135105">
    <w:abstractNumId w:val="4"/>
  </w:num>
  <w:num w:numId="26" w16cid:durableId="36710906">
    <w:abstractNumId w:val="8"/>
  </w:num>
  <w:num w:numId="27" w16cid:durableId="1774011970">
    <w:abstractNumId w:val="3"/>
  </w:num>
  <w:num w:numId="28" w16cid:durableId="1750735949">
    <w:abstractNumId w:val="2"/>
  </w:num>
  <w:num w:numId="29" w16cid:durableId="618686700">
    <w:abstractNumId w:val="1"/>
  </w:num>
  <w:num w:numId="30" w16cid:durableId="272523294">
    <w:abstractNumId w:val="0"/>
  </w:num>
  <w:num w:numId="31" w16cid:durableId="450897698">
    <w:abstractNumId w:val="9"/>
  </w:num>
  <w:num w:numId="32" w16cid:durableId="803424946">
    <w:abstractNumId w:val="7"/>
  </w:num>
  <w:num w:numId="33" w16cid:durableId="1572276580">
    <w:abstractNumId w:val="6"/>
  </w:num>
  <w:num w:numId="34" w16cid:durableId="154994806">
    <w:abstractNumId w:val="5"/>
  </w:num>
  <w:num w:numId="35" w16cid:durableId="1972437683">
    <w:abstractNumId w:val="4"/>
  </w:num>
  <w:num w:numId="36" w16cid:durableId="485706186">
    <w:abstractNumId w:val="8"/>
  </w:num>
  <w:num w:numId="37" w16cid:durableId="951858773">
    <w:abstractNumId w:val="3"/>
  </w:num>
  <w:num w:numId="38" w16cid:durableId="863135464">
    <w:abstractNumId w:val="2"/>
  </w:num>
  <w:num w:numId="39" w16cid:durableId="324749044">
    <w:abstractNumId w:val="1"/>
  </w:num>
  <w:num w:numId="40" w16cid:durableId="1001128089">
    <w:abstractNumId w:val="0"/>
  </w:num>
  <w:num w:numId="41" w16cid:durableId="456029504">
    <w:abstractNumId w:val="10"/>
  </w:num>
  <w:num w:numId="42" w16cid:durableId="996229558">
    <w:abstractNumId w:val="10"/>
  </w:num>
  <w:num w:numId="43" w16cid:durableId="1764452820">
    <w:abstractNumId w:val="10"/>
  </w:num>
  <w:num w:numId="44" w16cid:durableId="155504256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0"/>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5ECB"/>
    <w:rsid w:val="00002272"/>
    <w:rsid w:val="00064002"/>
    <w:rsid w:val="000677B9"/>
    <w:rsid w:val="000831BA"/>
    <w:rsid w:val="000A42CC"/>
    <w:rsid w:val="000E7DD9"/>
    <w:rsid w:val="0010095E"/>
    <w:rsid w:val="00125B37"/>
    <w:rsid w:val="00187494"/>
    <w:rsid w:val="001A6AD1"/>
    <w:rsid w:val="001B6428"/>
    <w:rsid w:val="001F32AE"/>
    <w:rsid w:val="002767FF"/>
    <w:rsid w:val="00286B44"/>
    <w:rsid w:val="002B18FE"/>
    <w:rsid w:val="002B5493"/>
    <w:rsid w:val="002E2EB9"/>
    <w:rsid w:val="002F5ECB"/>
    <w:rsid w:val="00343214"/>
    <w:rsid w:val="00361C00"/>
    <w:rsid w:val="00380AEE"/>
    <w:rsid w:val="00395FA1"/>
    <w:rsid w:val="003E15D4"/>
    <w:rsid w:val="003E5F9A"/>
    <w:rsid w:val="003F7BF3"/>
    <w:rsid w:val="00411CCE"/>
    <w:rsid w:val="0041666E"/>
    <w:rsid w:val="00421060"/>
    <w:rsid w:val="00424AE3"/>
    <w:rsid w:val="00466259"/>
    <w:rsid w:val="00471C19"/>
    <w:rsid w:val="004867E3"/>
    <w:rsid w:val="00494A28"/>
    <w:rsid w:val="004C0004"/>
    <w:rsid w:val="004C5D52"/>
    <w:rsid w:val="0050519A"/>
    <w:rsid w:val="005072A1"/>
    <w:rsid w:val="00514517"/>
    <w:rsid w:val="00545827"/>
    <w:rsid w:val="00560270"/>
    <w:rsid w:val="00595851"/>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8E4081"/>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BF20EE"/>
    <w:rsid w:val="00BF77D4"/>
    <w:rsid w:val="00C05BFE"/>
    <w:rsid w:val="00C23CD4"/>
    <w:rsid w:val="00C61C0C"/>
    <w:rsid w:val="00C74346"/>
    <w:rsid w:val="00C941CB"/>
    <w:rsid w:val="00C97317"/>
    <w:rsid w:val="00CC2357"/>
    <w:rsid w:val="00CF071A"/>
    <w:rsid w:val="00D058B8"/>
    <w:rsid w:val="00D55FF9"/>
    <w:rsid w:val="00D56C11"/>
    <w:rsid w:val="00D834A0"/>
    <w:rsid w:val="00D872DF"/>
    <w:rsid w:val="00D91E21"/>
    <w:rsid w:val="00DA67FB"/>
    <w:rsid w:val="00DA7FCD"/>
    <w:rsid w:val="00DE3913"/>
    <w:rsid w:val="00E365E1"/>
    <w:rsid w:val="00E56033"/>
    <w:rsid w:val="00E820A4"/>
    <w:rsid w:val="00EB006A"/>
    <w:rsid w:val="00EB4772"/>
    <w:rsid w:val="00ED169E"/>
    <w:rsid w:val="00ED4235"/>
    <w:rsid w:val="00F04346"/>
    <w:rsid w:val="00F075DC"/>
    <w:rsid w:val="00F149E9"/>
    <w:rsid w:val="00F5134D"/>
    <w:rsid w:val="00F74202"/>
    <w:rsid w:val="00F87713"/>
    <w:rsid w:val="00FB4360"/>
    <w:rsid w:val="00FD0C70"/>
  </w:rsids>
  <w:docVars>
    <w:docVar w:name="dvdocse" w:val="A10-0149/2026"/>
    <w:docVar w:name="dvlangue" w:val="LT"/>
    <w:docVar w:name="dvnumam" w:val="0"/>
    <w:docVar w:name="dvpe" w:val="787.923"/>
    <w:docVar w:name="dvrapporteur" w:val="Pranešėjas: "/>
    <w:docVar w:name="dvtitre" w:val="2026 m. ... ... d. Europos Parlamento teisėkūros rezoliucija dėl pasiūlymo dėl Europos Parlamento ir Tarybos sprendimo dėl Europos prisitaikymo prie globalizacijos padarinių fondo atleistiems darbuotojams lėšų mobilizavimo pagal Belgijos paraišką EGF/2025/009 BE/Soliver(COM(2026)0050 – C10-0111/2026 – 2026/0097(BUD))"/>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4E9E4664"/>
  <w15:chartTrackingRefBased/>
  <w15:docId w15:val="{F71A6E01-969A-4849-9D45-F5FF41B208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lt-L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16 Point,Footnote,Footnote Reference Number,Footnote Reference Superscript,Footnote Reference_LVL6,Footnote Reference_LVL61,Footnote Reference_LVL62,Footnote Reference_LVL63,Footnote symbol,Superscript 6 Point"/>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380AEE"/>
    <w:pPr>
      <w:widowControl/>
      <w:tabs>
        <w:tab w:val="center" w:pos="4535"/>
        <w:tab w:val="right" w:pos="9921"/>
      </w:tabs>
      <w:ind w:left="-850" w:right="-850"/>
    </w:pPr>
    <w:rPr>
      <w:rFonts w:ascii="Arial" w:hAnsi="Arial" w:cs="Arial"/>
      <w:b/>
      <w:sz w:val="48"/>
    </w:rPr>
  </w:style>
  <w:style w:type="paragraph" w:customStyle="1" w:styleId="PageHeading">
    <w:name w:val="PageHeading"/>
    <w:basedOn w:val="Normal"/>
    <w:link w:val="PageHeadingChar"/>
    <w:rsid w:val="00380AEE"/>
    <w:pPr>
      <w:keepNext/>
      <w:spacing w:after="480"/>
      <w:jc w:val="center"/>
    </w:pPr>
    <w:rPr>
      <w:rFonts w:ascii="Arial" w:hAnsi="Arial" w:cs="Arial"/>
      <w:b/>
    </w:rPr>
  </w:style>
  <w:style w:type="paragraph" w:customStyle="1" w:styleId="NormalHanging12a">
    <w:name w:val="NormalHanging12a"/>
    <w:basedOn w:val="Normal"/>
    <w:link w:val="NormalHanging12aChar"/>
    <w:rsid w:val="00380AEE"/>
    <w:pPr>
      <w:spacing w:after="240"/>
      <w:ind w:left="567" w:hanging="567"/>
    </w:pPr>
  </w:style>
  <w:style w:type="paragraph" w:styleId="Header">
    <w:name w:val="header"/>
    <w:basedOn w:val="Normal"/>
    <w:link w:val="HeaderChar"/>
    <w:rsid w:val="00380AEE"/>
    <w:pPr>
      <w:tabs>
        <w:tab w:val="center" w:pos="4513"/>
        <w:tab w:val="right" w:pos="9026"/>
      </w:tabs>
    </w:pPr>
  </w:style>
  <w:style w:type="character" w:customStyle="1" w:styleId="HeaderChar">
    <w:name w:val="Header Char"/>
    <w:basedOn w:val="DefaultParagraphFont"/>
    <w:link w:val="Header"/>
    <w:rsid w:val="00380AEE"/>
    <w:rPr>
      <w:sz w:val="24"/>
      <w:lang w:val="lt-LT"/>
    </w:rPr>
  </w:style>
  <w:style w:type="paragraph" w:customStyle="1" w:styleId="EPFooter">
    <w:name w:val="EPFooter"/>
    <w:basedOn w:val="Normal"/>
    <w:rsid w:val="00380AEE"/>
    <w:pPr>
      <w:tabs>
        <w:tab w:val="center" w:pos="4535"/>
        <w:tab w:val="right" w:pos="9071"/>
      </w:tabs>
      <w:spacing w:before="240" w:after="240"/>
    </w:pPr>
    <w:rPr>
      <w:color w:val="010000"/>
      <w:sz w:val="22"/>
    </w:rPr>
  </w:style>
  <w:style w:type="paragraph" w:customStyle="1" w:styleId="EPComma">
    <w:name w:val="EPComma"/>
    <w:basedOn w:val="Normal"/>
    <w:rsid w:val="00380AEE"/>
    <w:pPr>
      <w:spacing w:before="480" w:after="240"/>
    </w:pPr>
  </w:style>
  <w:style w:type="character" w:styleId="Hyperlink">
    <w:name w:val="Hyperlink"/>
    <w:basedOn w:val="DefaultParagraphFont"/>
    <w:uiPriority w:val="99"/>
    <w:rsid w:val="00380AEE"/>
    <w:rPr>
      <w:color w:val="0563C1" w:themeColor="hyperlink"/>
      <w:u w:val="single"/>
    </w:rPr>
  </w:style>
  <w:style w:type="character" w:customStyle="1" w:styleId="NormalHanging12aChar">
    <w:name w:val="NormalHanging12a Char"/>
    <w:basedOn w:val="DefaultParagraphFont"/>
    <w:link w:val="NormalHanging12a"/>
    <w:locked/>
    <w:rsid w:val="00380AEE"/>
    <w:rPr>
      <w:sz w:val="24"/>
      <w:lang w:val="lt-LT"/>
    </w:rPr>
  </w:style>
  <w:style w:type="paragraph" w:customStyle="1" w:styleId="Titreobjet">
    <w:name w:val="Titre objet"/>
    <w:basedOn w:val="Normal"/>
    <w:next w:val="Normal"/>
    <w:rsid w:val="00380AEE"/>
    <w:pPr>
      <w:widowControl/>
      <w:spacing w:before="360" w:after="360"/>
      <w:jc w:val="center"/>
    </w:pPr>
    <w:rPr>
      <w:rFonts w:eastAsiaTheme="minorHAnsi"/>
      <w:b/>
      <w:szCs w:val="22"/>
      <w:lang w:eastAsia="en-US"/>
    </w:rPr>
  </w:style>
  <w:style w:type="paragraph" w:customStyle="1" w:styleId="Personnequisigne">
    <w:name w:val="Personne qui signe"/>
    <w:basedOn w:val="Normal"/>
    <w:next w:val="Institutionquisigne"/>
    <w:rsid w:val="00380AEE"/>
    <w:pPr>
      <w:widowControl/>
      <w:tabs>
        <w:tab w:val="left" w:pos="4252"/>
      </w:tabs>
    </w:pPr>
    <w:rPr>
      <w:rFonts w:eastAsiaTheme="minorHAnsi"/>
      <w:i/>
      <w:szCs w:val="22"/>
      <w:lang w:eastAsia="en-US"/>
    </w:rPr>
  </w:style>
  <w:style w:type="paragraph" w:customStyle="1" w:styleId="Institutionquisigne">
    <w:name w:val="Institution qui signe"/>
    <w:basedOn w:val="Normal"/>
    <w:next w:val="Personnequisigne"/>
    <w:rsid w:val="00380AEE"/>
    <w:pPr>
      <w:keepNext/>
      <w:widowControl/>
      <w:tabs>
        <w:tab w:val="left" w:pos="4252"/>
      </w:tabs>
      <w:spacing w:before="720"/>
      <w:jc w:val="both"/>
    </w:pPr>
    <w:rPr>
      <w:rFonts w:eastAsiaTheme="minorHAnsi"/>
      <w:i/>
      <w:szCs w:val="22"/>
      <w:lang w:eastAsia="en-US"/>
    </w:rPr>
  </w:style>
  <w:style w:type="character" w:customStyle="1" w:styleId="PageHeadingChar">
    <w:name w:val="PageHeading Char"/>
    <w:basedOn w:val="DefaultParagraphFont"/>
    <w:link w:val="PageHeading"/>
    <w:locked/>
    <w:rsid w:val="00380AEE"/>
    <w:rPr>
      <w:rFonts w:ascii="Arial" w:hAnsi="Arial" w:cs="Arial"/>
      <w:b/>
      <w:sz w:val="24"/>
      <w:lang w:val="lt-LT"/>
    </w:rPr>
  </w:style>
  <w:style w:type="paragraph" w:customStyle="1" w:styleId="Fait">
    <w:name w:val="Fait à"/>
    <w:basedOn w:val="Normal"/>
    <w:next w:val="Institutionquisigne"/>
    <w:rsid w:val="00380AEE"/>
    <w:pPr>
      <w:keepNext/>
      <w:widowControl/>
      <w:spacing w:before="120" w:line="360" w:lineRule="auto"/>
    </w:pPr>
    <w:rPr>
      <w:rFonts w:eastAsiaTheme="minorHAnsi"/>
      <w:szCs w:val="22"/>
      <w:lang w:eastAsia="lt-LT" w:bidi="lt-LT"/>
    </w:rPr>
  </w:style>
  <w:style w:type="paragraph" w:customStyle="1" w:styleId="Formuledadoption">
    <w:name w:val="Formule d'adoption"/>
    <w:basedOn w:val="Normal"/>
    <w:next w:val="Titrearticle"/>
    <w:rsid w:val="00380AEE"/>
    <w:pPr>
      <w:keepNext/>
      <w:widowControl/>
      <w:spacing w:before="120" w:after="120" w:line="360" w:lineRule="auto"/>
    </w:pPr>
    <w:rPr>
      <w:rFonts w:eastAsiaTheme="minorHAnsi"/>
      <w:szCs w:val="22"/>
      <w:lang w:eastAsia="lt-LT" w:bidi="lt-LT"/>
    </w:rPr>
  </w:style>
  <w:style w:type="paragraph" w:customStyle="1" w:styleId="Institutionquiagit">
    <w:name w:val="Institution qui agit"/>
    <w:basedOn w:val="Normal"/>
    <w:next w:val="Normal"/>
    <w:rsid w:val="00380AEE"/>
    <w:pPr>
      <w:keepNext/>
      <w:widowControl/>
      <w:spacing w:before="600" w:after="120" w:line="360" w:lineRule="auto"/>
    </w:pPr>
    <w:rPr>
      <w:rFonts w:eastAsiaTheme="minorHAnsi"/>
      <w:szCs w:val="22"/>
      <w:lang w:eastAsia="lt-LT" w:bidi="lt-LT"/>
    </w:rPr>
  </w:style>
  <w:style w:type="paragraph" w:customStyle="1" w:styleId="ManualConsidrant">
    <w:name w:val="Manual Considérant"/>
    <w:basedOn w:val="Normal"/>
    <w:rsid w:val="00380AEE"/>
    <w:pPr>
      <w:widowControl/>
      <w:spacing w:before="120" w:after="120" w:line="360" w:lineRule="auto"/>
      <w:ind w:left="850" w:hanging="850"/>
    </w:pPr>
    <w:rPr>
      <w:rFonts w:eastAsiaTheme="minorHAnsi"/>
      <w:szCs w:val="22"/>
      <w:lang w:eastAsia="lt-LT" w:bidi="lt-LT"/>
    </w:rPr>
  </w:style>
  <w:style w:type="paragraph" w:customStyle="1" w:styleId="Titrearticle">
    <w:name w:val="Titre article"/>
    <w:basedOn w:val="Normal"/>
    <w:next w:val="Normal"/>
    <w:rsid w:val="00380AEE"/>
    <w:pPr>
      <w:keepNext/>
      <w:widowControl/>
      <w:spacing w:before="360" w:after="120" w:line="360" w:lineRule="auto"/>
      <w:jc w:val="center"/>
    </w:pPr>
    <w:rPr>
      <w:rFonts w:eastAsiaTheme="minorHAnsi"/>
      <w:i/>
      <w:szCs w:val="22"/>
      <w:lang w:eastAsia="lt-LT" w:bidi="lt-LT"/>
    </w:rPr>
  </w:style>
  <w:style w:type="paragraph" w:customStyle="1" w:styleId="Lignefinal">
    <w:name w:val="Ligne final"/>
    <w:basedOn w:val="Normal"/>
    <w:next w:val="Normal"/>
    <w:rsid w:val="00380AEE"/>
    <w:pPr>
      <w:widowControl/>
      <w:pBdr>
        <w:bottom w:val="single" w:sz="4" w:space="0" w:color="000000"/>
      </w:pBdr>
      <w:spacing w:before="360" w:after="120" w:line="360" w:lineRule="auto"/>
      <w:ind w:left="3400" w:right="3400"/>
      <w:jc w:val="center"/>
    </w:pPr>
    <w:rPr>
      <w:rFonts w:eastAsiaTheme="minorHAnsi"/>
      <w:b/>
      <w:szCs w:val="22"/>
      <w:lang w:eastAsia="lt-LT" w:bidi="lt-LT"/>
    </w:rPr>
  </w:style>
  <w:style w:type="paragraph" w:styleId="Revision">
    <w:name w:val="Revision"/>
    <w:hidden/>
    <w:uiPriority w:val="99"/>
    <w:semiHidden/>
    <w:rsid w:val="00DA67FB"/>
    <w:rPr>
      <w:sz w:val="24"/>
      <w:lang w:val="lt-LT"/>
    </w:rPr>
  </w:style>
  <w:style w:type="character" w:styleId="FollowedHyperlink">
    <w:name w:val="FollowedHyperlink"/>
    <w:basedOn w:val="DefaultParagraphFont"/>
    <w:rsid w:val="00DA67FB"/>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header" Target="header2.xml" /><Relationship Id="rId11" Type="http://schemas.openxmlformats.org/officeDocument/2006/relationships/footer" Target="footer3.xml" /><Relationship Id="rId12" Type="http://schemas.openxmlformats.org/officeDocument/2006/relationships/footer" Target="footer4.xml" /><Relationship Id="rId13" Type="http://schemas.openxmlformats.org/officeDocument/2006/relationships/header" Target="header3.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footer" Target="footer1.xml" /><Relationship Id="rId8" Type="http://schemas.openxmlformats.org/officeDocument/2006/relationships/footer" Target="footer2.xml" /><Relationship Id="rId9" Type="http://schemas.openxmlformats.org/officeDocument/2006/relationships/header" Target="header1.xml" /></Relationships>
</file>

<file path=word/_rels/footnotes.xml.rels><?xml version="1.0" encoding="utf-8" standalone="yes"?><Relationships xmlns="http://schemas.openxmlformats.org/package/2006/relationships"><Relationship Id="rId1" Type="http://schemas.openxmlformats.org/officeDocument/2006/relationships/hyperlink" Target="http://data.europa.eu/eli/reg/2021/691/oj" TargetMode="External" /><Relationship Id="rId2" Type="http://schemas.openxmlformats.org/officeDocument/2006/relationships/hyperlink" Target="http://data.europa.eu/eli/reg/2026/1139/oj" TargetMode="External" /><Relationship Id="rId3" Type="http://schemas.openxmlformats.org/officeDocument/2006/relationships/hyperlink" Target="http://data.europa.eu/eli/reg/2020/2093/oj" TargetMode="External" /><Relationship Id="rId4" Type="http://schemas.openxmlformats.org/officeDocument/2006/relationships/hyperlink" Target="http://data.europa.eu/eli/reg/2024/765/oj" TargetMode="External" /><Relationship Id="rId5" Type="http://schemas.openxmlformats.org/officeDocument/2006/relationships/hyperlink" Target="http://data.europa.eu/eli/agree_interinstit/2020/1222/oj"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6</Pages>
  <Words>1516</Words>
  <Characters>10636</Characters>
  <Application>Microsoft Office Word</Application>
  <DocSecurity>0</DocSecurity>
  <Lines>88</Lines>
  <Paragraphs>24</Paragraphs>
  <ScaleCrop>false</ScaleCrop>
  <HeadingPairs>
    <vt:vector size="4" baseType="variant">
      <vt:variant>
        <vt:lpstr>Title</vt:lpstr>
      </vt:variant>
      <vt:variant>
        <vt:i4>1</vt:i4>
      </vt:variant>
      <vt:variant>
        <vt:lpstr>Headings</vt:lpstr>
      </vt:variant>
      <vt:variant>
        <vt:i4>3</vt:i4>
      </vt:variant>
    </vt:vector>
  </HeadingPairs>
  <TitlesOfParts>
    <vt:vector size="4" baseType="lpstr">
      <vt:lpstr>TA</vt:lpstr>
      <vt:lpstr>P10_TA(2026)0000</vt:lpstr>
      <vt:lpstr>    Europos prisitaikymo prie globalizacijos padarinių fondo atleistiems darbuotojam</vt:lpstr>
      <vt:lpstr>        2026 m. birželio 16 d. Europos Parlamento rezoliucija dėl pasiūlymo dėl Europos </vt:lpstr>
    </vt:vector>
  </TitlesOfParts>
  <Company/>
  <LinksUpToDate>false</LinksUpToDate>
  <CharactersWithSpaces>12128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2026-08-31T11:40:00Z</dcterms:created>
  <dcterms:modified xsi:type="dcterms:W3CDTF">2026-08-31T11:40:00Z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lt;FdR&gt;">
    <vt:lpwstr>P10_TA(2026)0201_</vt:lpwstr>
  </property>
  <property fmtid="{D5CDD505-2E9C-101B-9397-08002B2CF9AE}" pid="4" name="&lt;Type&gt;">
    <vt:lpwstr>RR</vt:lpwstr>
  </property>
</Properties>
</file>