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0646581" w14:textId="77777777" w:rsidTr="0010095E">
        <w:tblPrEx>
          <w:tblW w:w="9072" w:type="dxa"/>
          <w:tblLook w:val="01E0"/>
        </w:tblPrEx>
        <w:trPr>
          <w:trHeight w:hRule="exact" w:val="1418"/>
        </w:trPr>
        <w:tc>
          <w:tcPr>
            <w:tcW w:w="6804" w:type="dxa"/>
            <w:shd w:val="clear" w:color="auto" w:fill="auto"/>
            <w:vAlign w:val="center"/>
          </w:tcPr>
          <w:p w:rsidR="00751A4A" w:rsidRPr="00287EE1" w:rsidP="0010095E" w14:paraId="1FE7760A" w14:textId="77777777">
            <w:pPr>
              <w:pStyle w:val="EPName"/>
            </w:pPr>
            <w:r w:rsidRPr="00287EE1">
              <w:t>Eiropas Parlaments</w:t>
            </w:r>
          </w:p>
          <w:p w:rsidR="00751A4A" w:rsidRPr="00287EE1" w:rsidP="005F1B17" w14:paraId="0DA81994" w14:textId="77777777">
            <w:pPr>
              <w:pStyle w:val="EPTerm"/>
              <w:rPr>
                <w:rStyle w:val="HideTWBExt"/>
                <w:noProof w:val="0"/>
                <w:vanish w:val="0"/>
                <w:color w:val="auto"/>
              </w:rPr>
            </w:pPr>
            <w:r w:rsidRPr="00287EE1">
              <w:t>2024</w:t>
            </w:r>
            <w:r w:rsidRPr="00287EE1" w:rsidR="00817416">
              <w:t>-202</w:t>
            </w:r>
            <w:r w:rsidRPr="00287EE1">
              <w:t>9</w:t>
            </w:r>
          </w:p>
        </w:tc>
        <w:tc>
          <w:tcPr>
            <w:tcW w:w="2268" w:type="dxa"/>
            <w:shd w:val="clear" w:color="auto" w:fill="auto"/>
          </w:tcPr>
          <w:p w:rsidR="00751A4A" w:rsidRPr="00287EE1" w:rsidP="0010095E" w14:paraId="04EA023C" w14:textId="77777777">
            <w:pPr>
              <w:pStyle w:val="EPLogo"/>
            </w:pPr>
            <w:r w:rsidRPr="00287E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7EE1" w:rsidP="004C5D52" w14:paraId="4696D80F" w14:textId="77777777">
      <w:pPr>
        <w:pStyle w:val="LineTop"/>
      </w:pPr>
    </w:p>
    <w:p w:rsidR="00680577" w:rsidRPr="00287EE1" w:rsidP="00680577" w14:paraId="23EB9B41" w14:textId="77777777">
      <w:pPr>
        <w:pStyle w:val="EPBodyTA1"/>
      </w:pPr>
      <w:r w:rsidRPr="00287EE1">
        <w:t>PIEŅEMTIE TEKSTI</w:t>
      </w:r>
    </w:p>
    <w:p w:rsidR="00D058B8" w:rsidRPr="00287EE1" w:rsidP="00D058B8" w14:paraId="20AFE45B" w14:textId="77777777">
      <w:pPr>
        <w:pStyle w:val="LineBottom"/>
      </w:pPr>
    </w:p>
    <w:p w:rsidR="008F39C4" w:rsidRPr="00287EE1" w:rsidP="008F39C4" w14:paraId="16D84570" w14:textId="3B30C1D1">
      <w:pPr>
        <w:pStyle w:val="ATHeading1"/>
      </w:pPr>
      <w:bookmarkStart w:id="0" w:name="TANumber"/>
      <w:r w:rsidRPr="00287EE1">
        <w:t>P10_TA(2026)0</w:t>
      </w:r>
      <w:bookmarkEnd w:id="0"/>
      <w:r w:rsidRPr="00287EE1" w:rsidR="00287EE1">
        <w:t>201</w:t>
      </w:r>
    </w:p>
    <w:p w:rsidR="008F39C4" w:rsidRPr="00287EE1" w:rsidP="003E6BB9" w14:paraId="5BCB9F5C" w14:textId="2109CA4B">
      <w:pPr>
        <w:pStyle w:val="ATHeading2"/>
      </w:pPr>
      <w:bookmarkStart w:id="1" w:name="title"/>
      <w:r w:rsidRPr="00287EE1">
        <w:t>Eiropas Globaliz</w:t>
      </w:r>
      <w:r w:rsidRPr="00287EE1">
        <w:rPr>
          <w:rFonts w:hint="eastAsia"/>
        </w:rPr>
        <w:t>ā</w:t>
      </w:r>
      <w:r w:rsidRPr="00287EE1">
        <w:t>cijas piel</w:t>
      </w:r>
      <w:r w:rsidRPr="00287EE1">
        <w:rPr>
          <w:rFonts w:hint="eastAsia"/>
        </w:rPr>
        <w:t>ā</w:t>
      </w:r>
      <w:r w:rsidRPr="00287EE1">
        <w:t>go</w:t>
      </w:r>
      <w:r w:rsidRPr="00287EE1">
        <w:rPr>
          <w:rFonts w:hint="eastAsia"/>
        </w:rPr>
        <w:t>š</w:t>
      </w:r>
      <w:r w:rsidRPr="00287EE1">
        <w:t>an</w:t>
      </w:r>
      <w:r w:rsidRPr="00287EE1">
        <w:rPr>
          <w:rFonts w:hint="eastAsia"/>
        </w:rPr>
        <w:t>ā</w:t>
      </w:r>
      <w:r w:rsidRPr="00287EE1">
        <w:t>s fonda darbu zaud</w:t>
      </w:r>
      <w:r w:rsidRPr="00287EE1">
        <w:rPr>
          <w:rFonts w:hint="eastAsia"/>
        </w:rPr>
        <w:t>ē</w:t>
      </w:r>
      <w:r w:rsidRPr="00287EE1">
        <w:t>ju</w:t>
      </w:r>
      <w:r w:rsidRPr="00287EE1">
        <w:rPr>
          <w:rFonts w:hint="eastAsia"/>
        </w:rPr>
        <w:t>š</w:t>
      </w:r>
      <w:r w:rsidRPr="00287EE1">
        <w:t xml:space="preserve">iem darba </w:t>
      </w:r>
      <w:r w:rsidRPr="00287EE1">
        <w:rPr>
          <w:rFonts w:hint="eastAsia"/>
        </w:rPr>
        <w:t>ņē</w:t>
      </w:r>
      <w:r w:rsidRPr="00287EE1">
        <w:t>m</w:t>
      </w:r>
      <w:r w:rsidRPr="00287EE1">
        <w:rPr>
          <w:rFonts w:hint="eastAsia"/>
        </w:rPr>
        <w:t>ē</w:t>
      </w:r>
      <w:r w:rsidRPr="00287EE1">
        <w:t>jiem izmanto</w:t>
      </w:r>
      <w:r w:rsidRPr="00287EE1">
        <w:rPr>
          <w:rFonts w:hint="eastAsia"/>
        </w:rPr>
        <w:t>š</w:t>
      </w:r>
      <w:r w:rsidRPr="00287EE1">
        <w:t>ana saist</w:t>
      </w:r>
      <w:r w:rsidRPr="00287EE1">
        <w:rPr>
          <w:rFonts w:hint="eastAsia"/>
        </w:rPr>
        <w:t>ī</w:t>
      </w:r>
      <w:r w:rsidRPr="00287EE1">
        <w:t>b</w:t>
      </w:r>
      <w:r w:rsidRPr="00287EE1">
        <w:rPr>
          <w:rFonts w:hint="eastAsia"/>
        </w:rPr>
        <w:t>ā</w:t>
      </w:r>
      <w:r w:rsidRPr="00287EE1">
        <w:t xml:space="preserve"> ar Be</w:t>
      </w:r>
      <w:r w:rsidRPr="00287EE1">
        <w:rPr>
          <w:rFonts w:hint="eastAsia"/>
        </w:rPr>
        <w:t>ļģ</w:t>
      </w:r>
      <w:r w:rsidRPr="00287EE1">
        <w:t xml:space="preserve">ijas iesniegto pieteikumu </w:t>
      </w:r>
      <w:r w:rsidRPr="00287EE1">
        <w:rPr>
          <w:rFonts w:hint="eastAsia"/>
        </w:rPr>
        <w:t>–</w:t>
      </w:r>
      <w:r w:rsidRPr="00287EE1">
        <w:t xml:space="preserve"> EGF/2025/009 BE/</w:t>
      </w:r>
      <w:r w:rsidRPr="00287EE1">
        <w:rPr>
          <w:i/>
          <w:iCs/>
        </w:rPr>
        <w:t>Soliver</w:t>
      </w:r>
    </w:p>
    <w:p w:rsidR="008F39C4" w:rsidRPr="00287EE1" w:rsidP="008F39C4" w14:paraId="2DAD8429" w14:textId="77777777">
      <w:pPr>
        <w:rPr>
          <w:i/>
          <w:vanish/>
        </w:rPr>
      </w:pPr>
      <w:r>
        <w:rPr>
          <w:i/>
        </w:rPr>
        <w:fldChar w:fldCharType="begin"/>
      </w:r>
      <w:r w:rsidRPr="00287EE1">
        <w:rPr>
          <w:i/>
        </w:rPr>
        <w:instrText xml:space="preserve"> TC"(</w:instrText>
      </w:r>
      <w:bookmarkStart w:id="2" w:name="DocNumber"/>
      <w:r w:rsidRPr="00287EE1">
        <w:rPr>
          <w:i/>
        </w:rPr>
        <w:instrText>A10-0149/2026</w:instrText>
      </w:r>
      <w:bookmarkEnd w:id="2"/>
      <w:r w:rsidRPr="00287EE1">
        <w:rPr>
          <w:i/>
        </w:rPr>
        <w:instrText xml:space="preserve"> - Referents: </w:instrText>
      </w:r>
      <w:r w:rsidRPr="00287EE1">
        <w:rPr>
          <w:i/>
        </w:rPr>
        <w:instrText>Bogdan</w:instrText>
      </w:r>
      <w:r w:rsidRPr="00287EE1">
        <w:rPr>
          <w:i/>
        </w:rPr>
        <w:instrText xml:space="preserve"> </w:instrText>
      </w:r>
      <w:r w:rsidRPr="00287EE1">
        <w:rPr>
          <w:i/>
        </w:rPr>
        <w:instrText>Rzońca</w:instrText>
      </w:r>
      <w:r w:rsidRPr="00287EE1">
        <w:rPr>
          <w:i/>
        </w:rPr>
        <w:instrText xml:space="preserve">)"\l3 \n&gt; \* MERGEFORMAT </w:instrText>
      </w:r>
      <w:r>
        <w:rPr>
          <w:i/>
        </w:rPr>
        <w:fldChar w:fldCharType="end"/>
      </w:r>
    </w:p>
    <w:p w:rsidR="008F39C4" w:rsidRPr="00287EE1" w:rsidP="008F39C4" w14:paraId="74B3D668" w14:textId="77777777">
      <w:pPr>
        <w:rPr>
          <w:vanish/>
        </w:rPr>
      </w:pPr>
      <w:bookmarkStart w:id="3" w:name="Commission"/>
      <w:r w:rsidRPr="00287EE1">
        <w:rPr>
          <w:vanish/>
        </w:rPr>
        <w:t>Budžeta komiteja</w:t>
      </w:r>
      <w:bookmarkEnd w:id="3"/>
    </w:p>
    <w:p w:rsidR="008F39C4" w:rsidRPr="00287EE1" w:rsidP="008F39C4" w14:paraId="323558DB" w14:textId="77777777">
      <w:pPr>
        <w:rPr>
          <w:vanish/>
        </w:rPr>
      </w:pPr>
      <w:bookmarkStart w:id="4" w:name="PE"/>
      <w:r w:rsidRPr="00287EE1">
        <w:rPr>
          <w:vanish/>
        </w:rPr>
        <w:t>PE787.923</w:t>
      </w:r>
      <w:bookmarkEnd w:id="4"/>
    </w:p>
    <w:p w:rsidR="008F39C4" w:rsidRPr="00287EE1" w:rsidP="008F39C4" w14:paraId="439E93D0" w14:textId="30CBCD04">
      <w:pPr>
        <w:pStyle w:val="ATHeading3"/>
      </w:pPr>
      <w:bookmarkStart w:id="5" w:name="Sujet"/>
      <w:r w:rsidRPr="00287EE1">
        <w:t xml:space="preserve">Eiropas Parlamenta 2026. gada </w:t>
      </w:r>
      <w:r w:rsidRPr="00287EE1" w:rsidR="003E6BB9">
        <w:t>16</w:t>
      </w:r>
      <w:r w:rsidRPr="00287EE1">
        <w:t xml:space="preserve">. </w:t>
      </w:r>
      <w:r w:rsidRPr="00287EE1" w:rsidR="003E6BB9">
        <w:t>jūnija</w:t>
      </w:r>
      <w:r w:rsidRPr="00287EE1">
        <w:t xml:space="preserve"> rezolūcija par priekšlikumu Eiropas Parlamenta un Padomes lēmumam par Eiropas Globalizācijas pielāgošanās fonda darbu zaudējušiem darba ņēmējiem izmantošanu saistībā ar Beļģijas iesniegto pieteikumu – EGF/2025/009 BE/</w:t>
      </w:r>
      <w:r w:rsidRPr="00287EE1">
        <w:rPr>
          <w:i/>
          <w:iCs/>
        </w:rPr>
        <w:t>Soliver</w:t>
      </w:r>
      <w:bookmarkEnd w:id="5"/>
      <w:r w:rsidRPr="00287EE1">
        <w:t xml:space="preserve"> </w:t>
      </w:r>
      <w:bookmarkStart w:id="6" w:name="References"/>
      <w:r w:rsidRPr="00287EE1">
        <w:t>(COM(2026)0050 – C10-0111/2026 – 2026/0097(BUD))</w:t>
      </w:r>
      <w:bookmarkEnd w:id="6"/>
    </w:p>
    <w:p w:rsidR="008E7AF7" w:rsidRPr="00287EE1" w:rsidP="008E7AF7" w14:paraId="3C5604FF" w14:textId="77777777">
      <w:pPr>
        <w:pStyle w:val="EPComma"/>
        <w:rPr>
          <w:noProof/>
        </w:rPr>
      </w:pPr>
      <w:r w:rsidRPr="00287EE1">
        <w:rPr>
          <w:i/>
          <w:iCs/>
        </w:rPr>
        <w:t>Eiropas Parlaments</w:t>
      </w:r>
      <w:r w:rsidRPr="00287EE1">
        <w:t>,</w:t>
      </w:r>
    </w:p>
    <w:p w:rsidR="008E7AF7" w:rsidRPr="00287EE1" w:rsidP="008E7AF7" w14:paraId="4B0A78A3" w14:textId="77777777">
      <w:pPr>
        <w:pStyle w:val="NormalHanging12a"/>
        <w:rPr>
          <w:noProof/>
        </w:rPr>
      </w:pPr>
      <w:r w:rsidRPr="00287EE1">
        <w:t>–</w:t>
      </w:r>
      <w:r w:rsidRPr="00287EE1">
        <w:tab/>
        <w:t>ņemot vērā Komisijas priekšlikumu Eiropas Parlamentam un Padomei (COM(2026)0050 – C10</w:t>
      </w:r>
      <w:r w:rsidRPr="00287EE1">
        <w:noBreakHyphen/>
        <w:t>0111/2026),</w:t>
      </w:r>
    </w:p>
    <w:p w:rsidR="008E7AF7" w:rsidRPr="00287EE1" w:rsidP="008E7AF7" w14:paraId="6BC2E26C" w14:textId="1002D7DD">
      <w:pPr>
        <w:pStyle w:val="NormalHanging12a"/>
      </w:pPr>
      <w:r w:rsidRPr="00287EE1">
        <w:t>–</w:t>
      </w:r>
      <w:r w:rsidRPr="00287EE1">
        <w:tab/>
        <w:t>ņemot vērā Eiropas Parlamenta un Padomes 2021. gada 28. aprīļa Regulu (ES) 2021/691 par Eiropas Globalizācijas pielāgošanās fondu darbu zaudējušiem darba ņēmējiem (EGF) un ar ko atceļ Regulu (ES) Nr. 1309/2013</w:t>
      </w:r>
      <w:r>
        <w:rPr>
          <w:vertAlign w:val="superscript"/>
        </w:rPr>
        <w:footnoteReference w:id="2"/>
      </w:r>
      <w:r w:rsidRPr="00287EE1">
        <w:t xml:space="preserve"> (“EGF regula”), kurā izdarīti grozījumi ar Regulu </w:t>
      </w:r>
      <w:r w:rsidRPr="00287EE1" w:rsidR="00746EDE">
        <w:t xml:space="preserve">(ES) </w:t>
      </w:r>
      <w:r w:rsidRPr="00287EE1">
        <w:t>2026/1139</w:t>
      </w:r>
      <w:r>
        <w:rPr>
          <w:vertAlign w:val="superscript"/>
        </w:rPr>
        <w:footnoteReference w:id="3"/>
      </w:r>
      <w:r w:rsidRPr="00287EE1">
        <w:t xml:space="preserve">, </w:t>
      </w:r>
    </w:p>
    <w:p w:rsidR="008E7AF7" w:rsidRPr="00287EE1" w:rsidP="008E7AF7" w14:paraId="2E7547F1" w14:textId="77777777">
      <w:pPr>
        <w:pStyle w:val="NormalHanging12a"/>
        <w:rPr>
          <w:noProof/>
        </w:rPr>
      </w:pPr>
      <w:r w:rsidRPr="00287EE1">
        <w:t>–</w:t>
      </w:r>
      <w:r w:rsidRPr="00287EE1">
        <w:tab/>
        <w:t xml:space="preserve">ņemot vērā Padomes 2020. gada 17. decembra Regulu (ES, </w:t>
      </w:r>
      <w:r w:rsidRPr="00287EE1">
        <w:rPr>
          <w:i/>
          <w:iCs/>
        </w:rPr>
        <w:t>Euratom</w:t>
      </w:r>
      <w:r w:rsidRPr="00287EE1">
        <w:t>) 2020/2093, ar ko nosaka daudzgadu finanšu shēmu 2021.–2027. gadam (“DFS regula”)</w:t>
      </w:r>
      <w:r>
        <w:rPr>
          <w:noProof/>
          <w:vertAlign w:val="superscript"/>
        </w:rPr>
        <w:footnoteReference w:id="4"/>
      </w:r>
      <w:r w:rsidRPr="00287EE1">
        <w:t xml:space="preserve">, kurā izdarīti grozījumi ar Regulu (ES, </w:t>
      </w:r>
      <w:r w:rsidRPr="00287EE1">
        <w:rPr>
          <w:i/>
          <w:iCs/>
        </w:rPr>
        <w:t>Euratom</w:t>
      </w:r>
      <w:r w:rsidRPr="00287EE1">
        <w:t>) 2024/765</w:t>
      </w:r>
      <w:r>
        <w:rPr>
          <w:noProof/>
          <w:vertAlign w:val="superscript"/>
        </w:rPr>
        <w:footnoteReference w:id="5"/>
      </w:r>
      <w:r w:rsidRPr="00287EE1">
        <w:t>, un jo īpaši tās 8. pantu,</w:t>
      </w:r>
    </w:p>
    <w:p w:rsidR="008E7AF7" w:rsidRPr="00287EE1" w:rsidP="008E7AF7" w14:paraId="6455A205" w14:textId="77777777">
      <w:pPr>
        <w:pStyle w:val="NormalHanging12a"/>
        <w:rPr>
          <w:noProof/>
        </w:rPr>
      </w:pPr>
      <w:r w:rsidRPr="00287EE1">
        <w:t>–</w:t>
      </w:r>
      <w:r w:rsidRPr="00287EE1">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287EE1">
        <w:t>tostarp par ceļvedi jaunu pašu resursu ieviešanai</w:t>
      </w:r>
      <w:r>
        <w:rPr>
          <w:rStyle w:val="FootnoteReference"/>
          <w:noProof/>
        </w:rPr>
        <w:footnoteReference w:id="6"/>
      </w:r>
      <w:r w:rsidRPr="00287EE1">
        <w:t>, un jo īpaši tā 9. punktu,</w:t>
      </w:r>
    </w:p>
    <w:p w:rsidR="008E7AF7" w:rsidRPr="00287EE1" w:rsidP="008E7AF7" w14:paraId="44357FDE" w14:textId="77777777">
      <w:pPr>
        <w:pStyle w:val="NormalHanging12a"/>
      </w:pPr>
      <w:r w:rsidRPr="00287EE1">
        <w:t>–</w:t>
      </w:r>
      <w:r w:rsidRPr="00287EE1">
        <w:tab/>
        <w:t>ņemot vērā Eiropas sociālo tiesību pīlāru,</w:t>
      </w:r>
    </w:p>
    <w:p w:rsidR="008E7AF7" w:rsidRPr="00287EE1" w:rsidP="008E7AF7" w14:paraId="5377509F" w14:textId="77777777">
      <w:pPr>
        <w:pStyle w:val="NormalHanging12a"/>
      </w:pPr>
      <w:r w:rsidRPr="00287EE1">
        <w:t>–</w:t>
      </w:r>
      <w:r w:rsidRPr="00287EE1">
        <w:tab/>
        <w:t>ņemot vērā Nodarbinātības un sociālo lietu komitejas vēstuli,</w:t>
      </w:r>
    </w:p>
    <w:p w:rsidR="008E7AF7" w:rsidRPr="00287EE1" w:rsidP="008E7AF7" w14:paraId="235CCFF6" w14:textId="77777777">
      <w:pPr>
        <w:pStyle w:val="NormalHanging12a"/>
      </w:pPr>
      <w:r w:rsidRPr="00287EE1">
        <w:t>–</w:t>
      </w:r>
      <w:r w:rsidRPr="00287EE1">
        <w:tab/>
        <w:t>ņemot vērā Budžeta komitejas ziņojumu (A10-0149/2026),</w:t>
      </w:r>
    </w:p>
    <w:p w:rsidR="008E7AF7" w:rsidRPr="00287EE1" w:rsidP="008E7AF7" w14:paraId="3AA2CEEF" w14:textId="77777777">
      <w:pPr>
        <w:pStyle w:val="NormalHanging12a"/>
      </w:pPr>
      <w:r w:rsidRPr="00287EE1">
        <w:t>A.</w:t>
      </w:r>
      <w:r w:rsidRPr="00287EE1">
        <w:tab/>
        <w:t xml:space="preserve">tā kā Savienība ir izveidojusi likumdošanas un budžeta instrumentus, lai sniegtu papildu atbalstu darba ņēmējiem, kurus nelabvēlīgi </w:t>
      </w:r>
      <w:r w:rsidRPr="00287EE1">
        <w:t>skāruši</w:t>
      </w:r>
      <w:r w:rsidRPr="00287EE1">
        <w:t xml:space="preserve"> būtiski strukturāli notikumi un pārmaiņas pasaules tirdzniecības struktūrā, un lai palīdzētu viņiem no jauna iekļauties darba tirgū; tā kā šī palīdzība tiek nodrošināta, sniedzot finansiālu atbalstu darba ņēmējiem; tā kā saglabāt Eiropas rūpniecības konkurētspēju un stiprināt ieguldījumus inovācijā un prasmēs ir būtiski, lai novērstu turpmāku rūpniecības lejupslīdi un darbvietu zudumu visā Savienībā;</w:t>
      </w:r>
    </w:p>
    <w:p w:rsidR="008E7AF7" w:rsidRPr="00287EE1" w:rsidP="008E7AF7" w14:paraId="12E97401" w14:textId="77777777">
      <w:pPr>
        <w:pStyle w:val="NormalHanging12a"/>
      </w:pPr>
      <w:r w:rsidRPr="00287EE1">
        <w:t>B.</w:t>
      </w:r>
      <w:r w:rsidRPr="00287EE1">
        <w:tab/>
        <w:t>tā kā Beļģija ir iesniegusi pieteikumu EGF/2025/009 BE/</w:t>
      </w:r>
      <w:r w:rsidRPr="00287EE1">
        <w:rPr>
          <w:i/>
          <w:iCs/>
        </w:rPr>
        <w:t>Soliver</w:t>
      </w:r>
      <w:r w:rsidRPr="00287EE1">
        <w:t xml:space="preserve">, lai saņemtu finansiālu ieguldījumu no EGF saistībā ar to, ka pārskata periodā no 2025. gada 1. jūlija līdz 2025. gada 1. novembrim uzņēmumā </w:t>
      </w:r>
      <w:r w:rsidRPr="00287EE1">
        <w:rPr>
          <w:i/>
          <w:iCs/>
        </w:rPr>
        <w:t>Soliver</w:t>
      </w:r>
      <w:r w:rsidRPr="00287EE1">
        <w:rPr>
          <w:i/>
          <w:iCs/>
        </w:rPr>
        <w:t xml:space="preserve"> NV</w:t>
      </w:r>
      <w:r w:rsidRPr="00287EE1">
        <w:t xml:space="preserve"> (</w:t>
      </w:r>
      <w:r w:rsidRPr="00287EE1">
        <w:rPr>
          <w:i/>
          <w:iCs/>
        </w:rPr>
        <w:t>Soliver</w:t>
      </w:r>
      <w:r w:rsidRPr="00287EE1">
        <w:t xml:space="preserve">), kas darbojas </w:t>
      </w:r>
      <w:r w:rsidRPr="00287EE1">
        <w:rPr>
          <w:i/>
          <w:iCs/>
        </w:rPr>
        <w:t>NACE</w:t>
      </w:r>
      <w:r w:rsidRPr="00287EE1">
        <w:t xml:space="preserve"> 2. redakcijas 46. nodaļā klasificētajā saimnieciskās darbības nozarē (Vairumtirdzniecība) </w:t>
      </w:r>
      <w:r w:rsidRPr="00287EE1">
        <w:t>Austrumflandrijas</w:t>
      </w:r>
      <w:r w:rsidRPr="00287EE1">
        <w:t xml:space="preserve"> provincē (BE23) un </w:t>
      </w:r>
      <w:r w:rsidRPr="00287EE1">
        <w:t>Rietumflandrijas</w:t>
      </w:r>
      <w:r w:rsidRPr="00287EE1">
        <w:t xml:space="preserve"> provincē (BE25), darbu ir zaudējuši 803 darba ņēmēji</w:t>
      </w:r>
      <w:r>
        <w:rPr>
          <w:vertAlign w:val="superscript"/>
        </w:rPr>
        <w:footnoteReference w:id="7"/>
      </w:r>
      <w:r w:rsidRPr="00287EE1">
        <w:t>;</w:t>
      </w:r>
    </w:p>
    <w:p w:rsidR="008E7AF7" w:rsidRPr="00287EE1" w:rsidP="008E7AF7" w14:paraId="2114014A" w14:textId="77777777">
      <w:pPr>
        <w:pStyle w:val="NormalHanging12a"/>
      </w:pPr>
      <w:r w:rsidRPr="00287EE1">
        <w:t>C.</w:t>
      </w:r>
      <w:r w:rsidRPr="00287EE1">
        <w:tab/>
        <w:t>tā kā pieteikums pamatojas uz EGF regulas 4. panta 2. punkta a) apakšpunktā minētajiem intervences kritērijiem;</w:t>
      </w:r>
    </w:p>
    <w:p w:rsidR="008E7AF7" w:rsidRPr="00287EE1" w:rsidP="008E7AF7" w14:paraId="17822CD5" w14:textId="77777777">
      <w:pPr>
        <w:pStyle w:val="NormalHanging12a"/>
        <w:rPr>
          <w:noProof/>
        </w:rPr>
      </w:pPr>
      <w:r w:rsidRPr="00287EE1">
        <w:t>D.</w:t>
      </w:r>
      <w:r w:rsidRPr="00287EE1">
        <w:tab/>
        <w:t xml:space="preserve">tā kā </w:t>
      </w:r>
      <w:r w:rsidRPr="00287EE1">
        <w:rPr>
          <w:i/>
          <w:iCs/>
        </w:rPr>
        <w:t>Soliver</w:t>
      </w:r>
      <w:r w:rsidRPr="00287EE1">
        <w:t xml:space="preserve"> 2024. gada decembrī iesniedza bankrota pieteikumu; tā kā Beļģijā bankrotu skaits kopš 2022. gada pieaug un bezdarbs smagi ietekmē vairākus Flandrijas reģionus;</w:t>
      </w:r>
    </w:p>
    <w:p w:rsidR="008E7AF7" w:rsidRPr="00287EE1" w:rsidP="008E7AF7" w14:paraId="77FE9CA6" w14:textId="77777777">
      <w:pPr>
        <w:pStyle w:val="NormalHanging12a"/>
        <w:rPr>
          <w:bCs/>
          <w:iCs/>
          <w:noProof/>
        </w:rPr>
      </w:pPr>
      <w:r w:rsidRPr="00287EE1">
        <w:t>E.</w:t>
      </w:r>
      <w:r w:rsidRPr="00287EE1">
        <w:tab/>
        <w:t xml:space="preserve">tā kā darbaspēks, kuru ietekmējusi </w:t>
      </w:r>
      <w:r w:rsidRPr="00287EE1">
        <w:rPr>
          <w:i/>
          <w:iCs/>
        </w:rPr>
        <w:t>Soliver</w:t>
      </w:r>
      <w:r w:rsidRPr="00287EE1">
        <w:t xml:space="preserve"> slēgšana, ietver ievērojamu skaitu gados vecāku darbinieku, kuri saskaras ar īpašiem un sarežģītiem šķēršļiem, lai </w:t>
      </w:r>
      <w:r w:rsidRPr="00287EE1">
        <w:t>reintegrētos</w:t>
      </w:r>
      <w:r w:rsidRPr="00287EE1">
        <w:t xml:space="preserve"> darba tirgū, tostarp diskrimināciju vecuma dēļ, prasmju neatbilstību un ierobežotu piekļuvi iespējām pārkvalificēties; tā kā jāievieš mērķtiecīgi pasākumi, lai atbalstītu gados vecāku darbinieku īpašās vajadzības, tostarp vecumam atbilstošu apmācību formātu, </w:t>
      </w:r>
      <w:r w:rsidRPr="00287EE1">
        <w:t>mentorēšanu</w:t>
      </w:r>
      <w:r w:rsidRPr="00287EE1">
        <w:t xml:space="preserve"> un sadarbību ar darba devējiem, kas atbalsta dažāda vecuma darbinieku pieņemšanu darbā;</w:t>
      </w:r>
    </w:p>
    <w:p w:rsidR="008E7AF7" w:rsidRPr="00287EE1" w:rsidP="008E7AF7" w14:paraId="7DCC9220" w14:textId="77777777">
      <w:pPr>
        <w:pStyle w:val="NormalHanging12a"/>
      </w:pPr>
      <w:r w:rsidRPr="00287EE1">
        <w:t>F.</w:t>
      </w:r>
      <w:r w:rsidRPr="00287EE1">
        <w:tab/>
        <w:t xml:space="preserve">tā kā </w:t>
      </w:r>
      <w:r w:rsidRPr="00287EE1">
        <w:rPr>
          <w:i/>
          <w:iCs/>
        </w:rPr>
        <w:t>VDAB</w:t>
      </w:r>
      <w:r w:rsidRPr="00287EE1">
        <w:t xml:space="preserve"> nodrošina valsts </w:t>
      </w:r>
      <w:r w:rsidRPr="00287EE1">
        <w:t>priekšfinansējumu</w:t>
      </w:r>
      <w:r w:rsidRPr="00287EE1">
        <w:t xml:space="preserve"> un līdzfinansējumu paredzētajiem atbalsta pasākumiem;</w:t>
      </w:r>
    </w:p>
    <w:p w:rsidR="008E7AF7" w:rsidRPr="00287EE1" w:rsidP="008E7AF7" w14:paraId="2C0EBF5A" w14:textId="77777777">
      <w:pPr>
        <w:pStyle w:val="NormalHanging12a"/>
      </w:pPr>
      <w:r w:rsidRPr="00287EE1">
        <w:t>G.</w:t>
      </w:r>
      <w:r w:rsidRPr="00287EE1">
        <w:tab/>
        <w:t>tā kā ir ievērotas Savienības un valsts tiesību aktos paredzētās prasības attiecībā uz kolektīvo atlaišanu;</w:t>
      </w:r>
    </w:p>
    <w:p w:rsidR="008E7AF7" w:rsidRPr="00287EE1" w:rsidP="008E7AF7" w14:paraId="4CCF9E8F" w14:textId="77777777">
      <w:pPr>
        <w:pStyle w:val="NormalHanging12a"/>
      </w:pPr>
      <w:r w:rsidRPr="00287EE1">
        <w:t>H.</w:t>
      </w:r>
      <w:r w:rsidRPr="00287EE1">
        <w:tab/>
        <w:t xml:space="preserve">tā kā EGF finansiālajam ieguldījumam galvenokārt vajadzētu būt vērstam uz aktīviem darba tirgus politikas pasākumiem un individualizētiem pakalpojumiem, kuru mērķis ir panākt, lai atbalsta saņēmēji uz ilgu laiku un kvalitatīvos nodarbinātības apstākļos atgrieztos darba tirgū, piedāvājot viņiem prasmju apmācību nolūkā atvieglot </w:t>
      </w:r>
      <w:r w:rsidRPr="00287EE1">
        <w:t>viņu reintegrāciju darba tirgū;</w:t>
      </w:r>
    </w:p>
    <w:p w:rsidR="008E7AF7" w:rsidRPr="00287EE1" w:rsidP="008E7AF7" w14:paraId="5402BCFF" w14:textId="77777777">
      <w:pPr>
        <w:pStyle w:val="NormalHanging12a"/>
      </w:pPr>
      <w:r w:rsidRPr="00287EE1">
        <w:t>I.</w:t>
      </w:r>
      <w:r w:rsidRPr="00287EE1">
        <w:tab/>
        <w:t>tā kā EGF ikgadējais apjoms nedrīkst pārsniegt 30 miljonus EUR (2018. gada cenās)</w:t>
      </w:r>
      <w:r>
        <w:rPr>
          <w:rStyle w:val="FootnoteReference"/>
        </w:rPr>
        <w:footnoteReference w:id="8"/>
      </w:r>
      <w:r w:rsidRPr="00287EE1">
        <w:t>,</w:t>
      </w:r>
    </w:p>
    <w:p w:rsidR="008E7AF7" w:rsidRPr="00287EE1" w:rsidP="008E7AF7" w14:paraId="081975CE" w14:textId="77777777">
      <w:pPr>
        <w:pStyle w:val="NormalHanging12a"/>
      </w:pPr>
      <w:r w:rsidRPr="00287EE1">
        <w:t>1.</w:t>
      </w:r>
      <w:r w:rsidRPr="00287EE1">
        <w:tab/>
        <w:t>piekrīt Komisijai, ka EGF regulā un jo īpaši tās 4. panta 2. punkta a) apakšpunktā paredzētie nosacījumi ir izpildīti un ka Beļģija saskaņā ar minēto regulu ir tiesīga saņemt 2 132 535 EUR lielu finansiālu ieguldījumu, kas atbilst 85 % no kopējām izmaksām 2 508 865 EUR apmērā, kuras ietver izdevumus par individualizētiem pakalpojumiem 2 412 465 EUR apmērā un izdevumus par sagatavošanās, pārvaldības, informācijas un publicitātes, kontroles un ziņošanas darbībām 96 400 EUR apmērā;</w:t>
      </w:r>
    </w:p>
    <w:p w:rsidR="008E7AF7" w:rsidRPr="00287EE1" w:rsidP="008E7AF7" w14:paraId="53C91A47" w14:textId="5D2976BC">
      <w:pPr>
        <w:pStyle w:val="NormalHanging12a"/>
      </w:pPr>
      <w:r w:rsidRPr="00287EE1">
        <w:t>2.</w:t>
      </w:r>
      <w:r w:rsidRPr="00287EE1">
        <w:tab/>
        <w:t>norāda, ka Beļģijas iestādes pieteikumu iesniedza 2025. gada 22. decembrī un ka pēc papildu informācijas saņemšanas no Beļģijas Komisija pieteikuma novērtēšanu pabeidza 202</w:t>
      </w:r>
      <w:r w:rsidR="00746EDE">
        <w:t>6</w:t>
      </w:r>
      <w:r w:rsidRPr="00287EE1">
        <w:t>. gada 30. aprīlī, proti, gandrīz mēnesi pirms termiņa, un tajā pašā dienā par to informēja Parlamentu; uzsver, ka ir svarīgi saīsināt laiku starp EGF atbalsta pieteikuma iesniegšanu un finansēšanas lēmuma pieņemšanu, vienlaikus pilnībā aizsargājot Eiropas Parlamenta tiesības kā vienai no budžeta lēmējinstitūcijām;</w:t>
      </w:r>
    </w:p>
    <w:p w:rsidR="008E7AF7" w:rsidRPr="00287EE1" w:rsidP="008E7AF7" w14:paraId="650209B5" w14:textId="77777777">
      <w:pPr>
        <w:pStyle w:val="NormalHanging12a"/>
        <w:rPr>
          <w:noProof/>
        </w:rPr>
      </w:pPr>
      <w:r w:rsidRPr="00287EE1">
        <w:t>3.</w:t>
      </w:r>
      <w:r w:rsidRPr="00287EE1">
        <w:tab/>
        <w:t xml:space="preserve">norāda, ka pieteikums attiecas uz 803 labuma guvējiem, kurus uzņēmums </w:t>
      </w:r>
      <w:r w:rsidRPr="00287EE1">
        <w:rPr>
          <w:i/>
          <w:iCs/>
        </w:rPr>
        <w:t>Soliver</w:t>
      </w:r>
      <w:r w:rsidRPr="00287EE1">
        <w:t xml:space="preserve"> atlaida;</w:t>
      </w:r>
    </w:p>
    <w:p w:rsidR="008E7AF7" w:rsidRPr="00287EE1" w:rsidP="008E7AF7" w14:paraId="1A3B3E85" w14:textId="77777777">
      <w:pPr>
        <w:pStyle w:val="NormalHanging12a"/>
      </w:pPr>
      <w:r w:rsidRPr="00287EE1">
        <w:t>4.</w:t>
      </w:r>
      <w:r w:rsidRPr="00287EE1">
        <w:tab/>
        <w:t xml:space="preserve">pieņem zināšanai, ka </w:t>
      </w:r>
      <w:r w:rsidRPr="00287EE1">
        <w:rPr>
          <w:i/>
          <w:iCs/>
        </w:rPr>
        <w:t>Soliver</w:t>
      </w:r>
      <w:r w:rsidRPr="00287EE1">
        <w:t xml:space="preserve">, kas ražo stikla izstrādājumus būvniecībai un autobūves nozarei, pēc tam, kad </w:t>
      </w:r>
      <w:r w:rsidRPr="00287EE1">
        <w:rPr>
          <w:i/>
          <w:iCs/>
        </w:rPr>
        <w:t xml:space="preserve">American </w:t>
      </w:r>
      <w:r w:rsidRPr="00287EE1">
        <w:rPr>
          <w:i/>
          <w:iCs/>
        </w:rPr>
        <w:t>Glass</w:t>
      </w:r>
      <w:r w:rsidRPr="00287EE1">
        <w:rPr>
          <w:i/>
          <w:iCs/>
        </w:rPr>
        <w:t xml:space="preserve"> </w:t>
      </w:r>
      <w:r w:rsidRPr="00287EE1">
        <w:rPr>
          <w:i/>
          <w:iCs/>
        </w:rPr>
        <w:t>Products</w:t>
      </w:r>
      <w:r w:rsidRPr="00287EE1">
        <w:rPr>
          <w:i/>
          <w:iCs/>
        </w:rPr>
        <w:t xml:space="preserve"> Holding</w:t>
      </w:r>
      <w:r w:rsidRPr="00287EE1">
        <w:t xml:space="preserve"> (</w:t>
      </w:r>
      <w:r w:rsidRPr="00287EE1">
        <w:rPr>
          <w:i/>
          <w:iCs/>
        </w:rPr>
        <w:t>AGP</w:t>
      </w:r>
      <w:r w:rsidRPr="00287EE1">
        <w:t>) 2018. gadā to iegādājās, galveno uzmanību pievērsa tikai augsto tehnoloģiju automobiļu stiklam; norāda, ka uzņēmums sāka saskarties ar grūtībām, kas galvenokārt bija saistītas ar lejupslīdi autobūves nozarē, ko izraisīja novēlota tādu automobiļu modeļu ražošana, kuriem tā ražojumi bija paredzēti, un kas galu galā būtiski samazināja rentabilitāti un izraisīja bankrotu;</w:t>
      </w:r>
    </w:p>
    <w:p w:rsidR="008E7AF7" w:rsidRPr="00287EE1" w:rsidP="008E7AF7" w14:paraId="6DDA3F04" w14:textId="77777777">
      <w:pPr>
        <w:pStyle w:val="NormalHanging12a"/>
        <w:rPr>
          <w:bCs/>
          <w:iCs/>
        </w:rPr>
      </w:pPr>
      <w:r w:rsidRPr="00287EE1">
        <w:t>5.</w:t>
      </w:r>
      <w:r w:rsidRPr="00287EE1">
        <w:tab/>
        <w:t>norāda, ka stikla rūpniecība ir energoietilpīga nozare un tā ir smagi cietusi no ilgstoši augstām enerģijas cenām, kas ievērojami ir mazinājušas tās konkurētspēju; uzsver, ka, lai ilgtermiņā panāktu konkurētspējīgas enerģijas cenas, ir ievērojami jāpalielina uzticama un cenas ziņā pieejama energoapgāde, tostarp dažādojot enerģijas avotus un piegādes ceļus, attīstot vietējās enerģijas ražošanu un pilnībā pabeidzot Enerģētikas savienības izveidi;</w:t>
      </w:r>
    </w:p>
    <w:p w:rsidR="008E7AF7" w:rsidRPr="00287EE1" w:rsidP="008E7AF7" w14:paraId="68B08053" w14:textId="77777777">
      <w:pPr>
        <w:pStyle w:val="NormalHanging12a"/>
        <w:rPr>
          <w:bCs/>
          <w:iCs/>
        </w:rPr>
      </w:pPr>
      <w:r w:rsidRPr="00287EE1">
        <w:t>6.</w:t>
      </w:r>
      <w:r w:rsidRPr="00287EE1">
        <w:tab/>
        <w:t xml:space="preserve">norāda, ka kaut gan tehniski kvalificētiem darba ņēmējiem vai tiem, kuri vēlas pārkvalificēties, ir vislabvēlīgākās nodarbinātības perspektīvas, tās rada tehnisko speciālistu trūkums, ko izraisa zema jauniešu iesaiste profesionālajā apmācībā un darbaspēka novecošana; uzsver, ka ir svarīgi </w:t>
      </w:r>
      <w:r w:rsidRPr="00287EE1">
        <w:t>reintegrēt</w:t>
      </w:r>
      <w:r w:rsidRPr="00287EE1">
        <w:t xml:space="preserve"> atlaistos darbiniekus un nodrošināt vienlīdzīgu piekļuvi augstas kvalitātes apmācību iespējām, lai veidotu nākotnes prasībām atbilstošu Eiropas ekonomiku ar spēcīgu rūpniecisko pamatu; uzsver, cik svarīgi šajā kontekstā ir stiprināt Savienības rūpniecības konkurētspēju;</w:t>
      </w:r>
    </w:p>
    <w:p w:rsidR="008E7AF7" w:rsidRPr="00287EE1" w:rsidP="008E7AF7" w14:paraId="5637E45D" w14:textId="77777777">
      <w:pPr>
        <w:pStyle w:val="NormalHanging12a"/>
        <w:rPr>
          <w:noProof/>
        </w:rPr>
      </w:pPr>
      <w:r w:rsidRPr="00287EE1">
        <w:t>7.</w:t>
      </w:r>
      <w:r w:rsidRPr="00287EE1">
        <w:tab/>
        <w:t xml:space="preserve">pieņem zināšanai, ka bankrota gadījumu skaita pieaugums pēdējo gadu laikā ir ievērojami palielinājis bezdarba līmeni vairākos Beļģijas reģionos, jo īpaši Flandrijas reģionā; uzsver, ka Flandrijā atlaistajiem gados vecākiem darbiniekiem ir jāsaskaras ar lielākiem šķēršļiem, lai atgrieztos darba tirgū; aicina Beļģijas iestādes nodrošināt īpašu atbalstu, kas pielāgots, lai palīdzētu darba ņēmējiem attīstīt nepieciešamās prasmes, kas vajadzīgas, lai atrastu jaunu, kvalitatīvu darbu, un vienlaikus veikt pasākumus nolūkā </w:t>
      </w:r>
      <w:r w:rsidRPr="00287EE1">
        <w:t>samazināt bankrota gadījumu skaitu, un novērst sociālās atšķirības, kas noved pie darba ņēmēju izslēgšanas no darba tirgus;</w:t>
      </w:r>
    </w:p>
    <w:p w:rsidR="008E7AF7" w:rsidRPr="00287EE1" w:rsidP="008E7AF7" w14:paraId="3940B96C" w14:textId="77777777">
      <w:pPr>
        <w:pStyle w:val="NormalHanging12a"/>
      </w:pPr>
      <w:r w:rsidRPr="00287EE1">
        <w:t>8.</w:t>
      </w:r>
      <w:r w:rsidRPr="00287EE1">
        <w:tab/>
        <w:t xml:space="preserve">atgādina, ka saskaņā ar vienošanos ar ekspertiem un sociālajiem partneriem individualizētie pakalpojumi, kas sniedzami darba ņēmējiem, ietver šādus pasākumus: pieredzējušu konsultantu un kontu vadītāju darba grupa, kas sniedz personalizētus konsultāciju pakalpojumus; pārcelšanas pakalpojumi, kas sniedz individuālus norādījumus; palīdzība darba atrašanā. pastiprināts atbalsts darba meklēšanā; apmācība un </w:t>
      </w:r>
      <w:r w:rsidRPr="00287EE1">
        <w:t>pārkvalifikācija</w:t>
      </w:r>
      <w:r w:rsidRPr="00287EE1">
        <w:t>, tostarp apmācība darba vietā; dalība darbavietu gadatirgū; uzsver, ka ir svarīgi veicināt kvalitatīvu un uz nākotni vērstu darbvietu izveidi, kas stiprina konkurētspēju un atbalsta digitālo pārveidi;</w:t>
      </w:r>
    </w:p>
    <w:p w:rsidR="008E7AF7" w:rsidRPr="00287EE1" w:rsidP="008E7AF7" w14:paraId="031644D2" w14:textId="77777777">
      <w:pPr>
        <w:pStyle w:val="NormalHanging12a"/>
      </w:pPr>
      <w:r w:rsidRPr="00287EE1">
        <w:t>9.</w:t>
      </w:r>
      <w:r w:rsidRPr="00287EE1">
        <w:tab/>
        <w:t xml:space="preserve">atgādina, ka EGF ir solidaritātes un taisnīgas pārkārtošanās instruments un, lai gan tas sniedz atbalstu pēc darbvietu zaudēšanas, tas nevar aizstāt </w:t>
      </w:r>
      <w:r w:rsidRPr="00287EE1">
        <w:t>proaktīvu</w:t>
      </w:r>
      <w:r w:rsidRPr="00287EE1">
        <w:t xml:space="preserve"> rūpniecības politiku; uzskata, ka EGF līdzekļu izmantošana ir jāiekļauj plašākā politikas pasākumu kopumā visos politiskajos līmeņos, lai nodrošinātu, ka skartie darba ņēmēji atrod pienācīgas nodarbinātības iespējas, kas atbilst viņu kvalifikācijai un prasmēm; uzsver, ka Savienības galvenajam uzdevumam ir jābūt šādu slēgšanas gadījumu novēršanai, radot apstākļus tam, lai varētu saglabāt rūpnieciskās ražošanas konkurētspēju un sociālā nodrošinājuma sistēmu finansiālo ilgtspēju, vienlaikus investējot gan augsti kvalificētu darba ņēmēju, gan rūpniecības darbinieku prasmēs; uzsver, ka ir jāsniedz šiem darba ņēmēju profiliem pielāgots īpašs atbalsts, vienlaikus veicot pasākumus nolūkā samazināt bankrota gadījumu skaitu un novērst sociālās atšķirības, kas noved pie izslēgšanas no darba tirgus; uzsver, ka nevajadzīga regulatīvā un administratīvā sloga samazināšana ir būtiska, lai veicinātu rūpniecības konkurētspēju, piesaistītu ieguldījumus un saglabātu kvalitatīvas darbvietas Savienībā;</w:t>
      </w:r>
    </w:p>
    <w:p w:rsidR="008E7AF7" w:rsidRPr="00287EE1" w:rsidP="008E7AF7" w14:paraId="085AE4F0" w14:textId="77777777">
      <w:pPr>
        <w:pStyle w:val="NormalHanging12a"/>
        <w:rPr>
          <w:bCs/>
          <w:iCs/>
        </w:rPr>
      </w:pPr>
      <w:r w:rsidRPr="00287EE1">
        <w:t>10.</w:t>
      </w:r>
      <w:r w:rsidRPr="00287EE1">
        <w:tab/>
        <w:t xml:space="preserve">uzsver, ka Beļģijas iestādēm ir jānodrošina Savienības finansējuma </w:t>
      </w:r>
      <w:r w:rsidRPr="00287EE1">
        <w:t>pamanāmība</w:t>
      </w:r>
      <w:r w:rsidRPr="00287EE1">
        <w:t xml:space="preserve"> un jāuzsver tā pievienotā vērtība, sniedzot efektīvu un </w:t>
      </w:r>
      <w:r w:rsidRPr="00287EE1">
        <w:t>mērķorientētu</w:t>
      </w:r>
      <w:r w:rsidRPr="00287EE1">
        <w:t xml:space="preserve"> informāciju labuma guvējiem, reģionālajām un vietējām iestādēm, sociālajiem partneriem un plašākai sabiedrībai;</w:t>
      </w:r>
    </w:p>
    <w:p w:rsidR="008E7AF7" w:rsidRPr="00287EE1" w:rsidP="008E7AF7" w14:paraId="220D8AF5" w14:textId="77777777">
      <w:pPr>
        <w:pStyle w:val="NormalHanging12a"/>
      </w:pPr>
      <w:r w:rsidRPr="00287EE1">
        <w:t>11.</w:t>
      </w:r>
      <w:r w:rsidRPr="00287EE1">
        <w:tab/>
        <w:t xml:space="preserve">aicina Komisiju nodrošināt instrumenta vienlīdzīgu </w:t>
      </w:r>
      <w:r w:rsidRPr="00287EE1">
        <w:t>pamanāmību</w:t>
      </w:r>
      <w:r w:rsidRPr="00287EE1">
        <w:t xml:space="preserve"> visās dalībvalstīs un sekmēt tā pievienoto vērtību, izplatot </w:t>
      </w:r>
      <w:r w:rsidRPr="00287EE1">
        <w:t>mērķorientētu</w:t>
      </w:r>
      <w:r w:rsidRPr="00287EE1">
        <w:t xml:space="preserve"> informāciju valstu iestādēm, kam šī informācija būtu </w:t>
      </w:r>
      <w:r w:rsidRPr="00287EE1">
        <w:t>jāpārsūta</w:t>
      </w:r>
      <w:r w:rsidRPr="00287EE1">
        <w:t xml:space="preserve"> tālāk uzņēmumiem, kurus </w:t>
      </w:r>
      <w:r w:rsidRPr="00287EE1">
        <w:t>skāruši</w:t>
      </w:r>
      <w:r w:rsidRPr="00287EE1">
        <w:t xml:space="preserve"> atlaišanas, vietējām pašvaldībām un pilsētām, sociālajiem partneriem un plašākai sabiedrībai;</w:t>
      </w:r>
    </w:p>
    <w:p w:rsidR="008E7AF7" w:rsidRPr="00287EE1" w:rsidP="008E7AF7" w14:paraId="7C989336" w14:textId="77777777">
      <w:pPr>
        <w:pStyle w:val="NormalHanging12a"/>
        <w:rPr>
          <w:bCs/>
          <w:iCs/>
        </w:rPr>
      </w:pPr>
      <w:r w:rsidRPr="00287EE1">
        <w:t>12.</w:t>
      </w:r>
      <w:r w:rsidRPr="00287EE1">
        <w:tab/>
        <w:t>prasa kopā ar sociālajiem partneriem veikt visaptverošus īstenoto pasākumu galīgos novērtējumus, tostarp sniegt skaidru un pārredzamu informāciju par to līdzekļu izlietošanu, darba ņēmēju reintegrāciju darba tirgū un EGF mērķu sasniegšanu; šajā sakarībā uzsver, ka ir svarīgi regulāri uzraudzīt no EGF finansētos pasākumus, lai novērtētu to efektivitāti;</w:t>
      </w:r>
    </w:p>
    <w:p w:rsidR="008E7AF7" w:rsidRPr="00287EE1" w:rsidP="008E7AF7" w14:paraId="045474BF" w14:textId="77777777">
      <w:pPr>
        <w:pStyle w:val="NormalHanging12a"/>
      </w:pPr>
      <w:r w:rsidRPr="00287EE1">
        <w:t>13.</w:t>
      </w:r>
      <w:r w:rsidRPr="00287EE1">
        <w:tab/>
        <w:t>pieņem zināšanai to, ka 2025. gada 11. jūnijā Beļģija sāka sniegt individualizētus pakalpojumus paredzētajiem atbalsta saņēmējiem un administratīvie izdevumi saistībā ar EGF īstenošanu tai sāka rasties šajā datumā un ka tāpēc tiesības saņemt finansiālu ieguldījumu no EGF būs attiecīgi laikposmā, kas sākas minētajā datumā un beidzas 24 mēnešus vēlāk un 31 mēnesi pēc finansēšanas lēmuma spēkā stāšanās dienas;</w:t>
      </w:r>
    </w:p>
    <w:p w:rsidR="008E7AF7" w:rsidRPr="00287EE1" w:rsidP="008E7AF7" w14:paraId="370F7178" w14:textId="77777777">
      <w:pPr>
        <w:pStyle w:val="NormalHanging12a"/>
      </w:pPr>
      <w:r w:rsidRPr="00287EE1">
        <w:t>14.</w:t>
      </w:r>
      <w:r w:rsidRPr="00287EE1">
        <w:tab/>
        <w:t xml:space="preserve">pieņem zināšanai, ka Beļģijas iestādes ir sniegušas apstiprinājumu tam, ka, īstenojot ierosinātās darbības, tiks ievēroti vienlīdzīgas attieksmes un </w:t>
      </w:r>
      <w:r w:rsidRPr="00287EE1">
        <w:t>nediskriminācijas</w:t>
      </w:r>
      <w:r w:rsidRPr="00287EE1">
        <w:t xml:space="preserve"> principi un novērsta jebkāda dubulta finansēšana;</w:t>
      </w:r>
    </w:p>
    <w:p w:rsidR="008E7AF7" w:rsidRPr="00287EE1" w:rsidP="008E7AF7" w14:paraId="6680D744" w14:textId="77777777">
      <w:pPr>
        <w:pStyle w:val="NormalHanging12a"/>
      </w:pPr>
      <w:r w:rsidRPr="00287EE1">
        <w:t>15.</w:t>
      </w:r>
      <w:r w:rsidRPr="00287EE1">
        <w:tab/>
        <w:t xml:space="preserve">atkārtoti norāda, ka palīdzība no EGF nedrīkst aizstāt darbības, par kurām saskaņā ar attiecīgās valsts tiesību aktiem vai koplīgumiem ir atbildīgas valsts sektora iestādes un uzņēmumi; atgādina, ka EGF ir ierobežots, </w:t>
      </w:r>
      <w:r w:rsidRPr="00287EE1">
        <w:t>mērķorientēts</w:t>
      </w:r>
      <w:r w:rsidRPr="00287EE1">
        <w:t xml:space="preserve"> un papildinošs mehānisms;</w:t>
      </w:r>
    </w:p>
    <w:p w:rsidR="008E7AF7" w:rsidRPr="00287EE1" w:rsidP="008E7AF7" w14:paraId="77CF4143" w14:textId="77777777">
      <w:pPr>
        <w:pStyle w:val="NormalHanging12a"/>
      </w:pPr>
      <w:r w:rsidRPr="00287EE1">
        <w:t>16.</w:t>
      </w:r>
      <w:r w:rsidRPr="00287EE1">
        <w:tab/>
        <w:t>apstiprina šai rezolūcijai pievienoto lēmumu;</w:t>
      </w:r>
    </w:p>
    <w:p w:rsidR="008E7AF7" w:rsidRPr="00287EE1" w:rsidP="008E7AF7" w14:paraId="6507A751" w14:textId="77777777">
      <w:pPr>
        <w:pStyle w:val="NormalHanging12a"/>
      </w:pPr>
      <w:r w:rsidRPr="00287EE1">
        <w:t>17.</w:t>
      </w:r>
      <w:r w:rsidRPr="00287EE1">
        <w:tab/>
        <w:t xml:space="preserve">uzdod priekšsēdētājai parakstīt šo lēmumu kopā ar Padomes priekšsēdētāju un nodrošināt tā publicēšanu </w:t>
      </w:r>
      <w:r w:rsidRPr="00287EE1">
        <w:rPr>
          <w:i/>
          <w:iCs/>
        </w:rPr>
        <w:t>Eiropas Savienības Oficiālajā Vēstnesī</w:t>
      </w:r>
      <w:r w:rsidRPr="00287EE1">
        <w:t>;</w:t>
      </w:r>
    </w:p>
    <w:p w:rsidR="008E7AF7" w:rsidRPr="00287EE1" w:rsidP="008E7AF7" w14:paraId="71AAB18E" w14:textId="77777777">
      <w:pPr>
        <w:pStyle w:val="NormalHanging12a"/>
      </w:pPr>
      <w:r w:rsidRPr="00287EE1">
        <w:t>18.</w:t>
      </w:r>
      <w:r w:rsidRPr="00287EE1">
        <w:tab/>
        <w:t>uzdod priekšsēdētājai šo rezolūciju, kā arī tās pielikumu nosūtīt Padomei un Komisijai.</w:t>
      </w:r>
    </w:p>
    <w:p w:rsidR="008E7AF7" w:rsidP="008E7AF7" w14:paraId="124D4948" w14:textId="77777777">
      <w:pPr>
        <w:pStyle w:val="PageHeading"/>
        <w:rPr>
          <w:noProof/>
        </w:rPr>
      </w:pPr>
    </w:p>
    <w:p w:rsidR="00746EDE" w:rsidRPr="00287EE1" w:rsidP="008E7AF7" w14:paraId="3C6A7A57" w14:textId="77777777">
      <w:pPr>
        <w:pStyle w:val="PageHeading"/>
        <w:rPr>
          <w:noProof/>
        </w:rPr>
        <w:sectPr w:rsidSect="00DA1C77">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6EDE" w:rsidRPr="00746EDE" w:rsidP="008E7AF7" w14:paraId="7D22AB73" w14:textId="361852D0">
      <w:pPr>
        <w:pStyle w:val="PageHeading"/>
        <w:rPr>
          <w:rFonts w:ascii="Times New Roman" w:hAnsi="Times New Roman" w:cs="Times New Roman"/>
        </w:rPr>
      </w:pPr>
      <w:bookmarkStart w:id="7" w:name="_Toc232159577"/>
      <w:r w:rsidRPr="00746EDE">
        <w:rPr>
          <w:rFonts w:ascii="Times New Roman" w:hAnsi="Times New Roman" w:cs="Times New Roman"/>
        </w:rPr>
        <w:t xml:space="preserve">PIELIKUMS </w:t>
      </w:r>
    </w:p>
    <w:p w:rsidR="008E7AF7" w:rsidRPr="00746EDE" w:rsidP="008E7AF7" w14:paraId="5BE428DB" w14:textId="56D32441">
      <w:pPr>
        <w:pStyle w:val="PageHeading"/>
        <w:rPr>
          <w:rFonts w:ascii="Times New Roman" w:hAnsi="Times New Roman" w:cs="Times New Roman"/>
          <w:noProof/>
        </w:rPr>
      </w:pPr>
      <w:r w:rsidRPr="00746EDE">
        <w:rPr>
          <w:rFonts w:ascii="Times New Roman" w:hAnsi="Times New Roman" w:cs="Times New Roman"/>
        </w:rPr>
        <w:t>EIROPAS PARLAMENTA UN PADOMES LĒMUMS</w:t>
      </w:r>
      <w:bookmarkEnd w:id="7"/>
    </w:p>
    <w:p w:rsidR="008E7AF7" w:rsidP="00746EDE" w14:paraId="5B003DD0" w14:textId="32B90D59">
      <w:pPr>
        <w:pStyle w:val="Titreobjet"/>
        <w:rPr>
          <w:i/>
          <w:iCs/>
        </w:rPr>
      </w:pPr>
      <w:r w:rsidRPr="00746EDE">
        <w:rPr>
          <w:bCs/>
        </w:rPr>
        <w:t>par Eiropas Globalizācijas pielāgošanās fonda darbu zaudējušiem darba ņēmējiem izmantošanu saistībā ar Beļģijas iesniegto pieteikumu – EGF/2025/009 BE/</w:t>
      </w:r>
      <w:r w:rsidRPr="00746EDE">
        <w:rPr>
          <w:bCs/>
          <w:i/>
          <w:iCs/>
        </w:rPr>
        <w:t>Soliver</w:t>
      </w:r>
    </w:p>
    <w:p w:rsidR="00746EDE" w:rsidP="00746EDE" w14:paraId="20C57812" w14:textId="34AD2C71">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26</w:t>
      </w:r>
      <w:r w:rsidRPr="00611295">
        <w:rPr>
          <w:b w:val="0"/>
          <w:i/>
          <w:iCs/>
          <w:noProof/>
        </w:rPr>
        <w:t>/</w:t>
      </w:r>
      <w:r>
        <w:rPr>
          <w:b w:val="0"/>
          <w:i/>
          <w:iCs/>
          <w:noProof/>
        </w:rPr>
        <w:t>15</w:t>
      </w:r>
      <w:r>
        <w:rPr>
          <w:b w:val="0"/>
          <w:i/>
          <w:iCs/>
          <w:noProof/>
        </w:rPr>
        <w:t>43</w:t>
      </w:r>
      <w:r w:rsidRPr="00981C8E">
        <w:rPr>
          <w:b w:val="0"/>
          <w:i/>
          <w:iCs/>
          <w:noProof/>
        </w:rPr>
        <w:t>.</w:t>
      </w:r>
      <w:r w:rsidRPr="00EB02AD">
        <w:rPr>
          <w:b w:val="0"/>
          <w:i/>
          <w:iCs/>
          <w:noProof/>
        </w:rPr>
        <w:t>)</w:t>
      </w:r>
    </w:p>
    <w:p w:rsidR="00746EDE" w:rsidRPr="00746EDE" w:rsidP="00746EDE" w14:paraId="19DD1101" w14:textId="77777777">
      <w:pPr>
        <w:rPr>
          <w:lang w:eastAsia="en-US"/>
        </w:rPr>
      </w:pPr>
    </w:p>
    <w:bookmarkEnd w:id="1"/>
    <w:sectPr w:rsidSect="00DA1C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AF7" w:rsidRPr="00DA1C77" w:rsidP="00304C95" w14:paraId="5E109A87" w14:textId="77777777">
    <w:pPr>
      <w:pStyle w:val="EPFooter"/>
    </w:pPr>
    <w:r w:rsidRPr="00DA1C77">
      <w:t>PE</w:t>
    </w:r>
    <w:r w:rsidRPr="00DA1C77">
      <w:rPr>
        <w:rStyle w:val="HideTWBExt"/>
      </w:rPr>
      <w:t>&lt;</w:t>
    </w:r>
    <w:r w:rsidRPr="00DA1C77">
      <w:rPr>
        <w:rStyle w:val="HideTWBExt"/>
      </w:rPr>
      <w:t>NoPE</w:t>
    </w:r>
    <w:r w:rsidRPr="00DA1C77">
      <w:rPr>
        <w:rStyle w:val="HideTWBExt"/>
      </w:rPr>
      <w:t>&gt;</w:t>
    </w:r>
    <w:r w:rsidRPr="00DA1C77">
      <w:t>787.923</w:t>
    </w:r>
    <w:r w:rsidRPr="00DA1C77">
      <w:rPr>
        <w:rStyle w:val="HideTWBExt"/>
      </w:rPr>
      <w:t>&lt;/</w:t>
    </w:r>
    <w:r w:rsidRPr="00DA1C77">
      <w:rPr>
        <w:rStyle w:val="HideTWBExt"/>
      </w:rPr>
      <w:t>NoPE</w:t>
    </w:r>
    <w:r w:rsidRPr="00DA1C77">
      <w:rPr>
        <w:rStyle w:val="HideTWBExt"/>
      </w:rPr>
      <w:t>&gt;&lt;Version&gt;</w:t>
    </w:r>
    <w:r w:rsidRPr="00DA1C77">
      <w:t>v02-00</w:t>
    </w:r>
    <w:r w:rsidRPr="00DA1C77">
      <w:rPr>
        <w:rStyle w:val="HideTWBExt"/>
      </w:rPr>
      <w:t>&lt;/</w:t>
    </w:r>
    <w:r w:rsidRPr="00DA1C77">
      <w:rPr>
        <w:rStyle w:val="HideTWBExt"/>
      </w:rPr>
      <w:t>Version</w:t>
    </w:r>
    <w:r w:rsidRPr="00DA1C77">
      <w:rPr>
        <w:rStyle w:val="HideTWBExt"/>
      </w:rPr>
      <w:t>&gt;</w:t>
    </w:r>
    <w:r w:rsidRPr="00DA1C77">
      <w:tab/>
    </w:r>
    <w:r w:rsidRPr="00DA1C77">
      <w:fldChar w:fldCharType="begin"/>
    </w:r>
    <w:r w:rsidRPr="00DA1C77">
      <w:instrText xml:space="preserve"> PAGE  \* MERGEFORMAT </w:instrText>
    </w:r>
    <w:r w:rsidRPr="00DA1C77">
      <w:fldChar w:fldCharType="separate"/>
    </w:r>
    <w:r w:rsidRPr="00DA1C77">
      <w:rPr>
        <w:noProof/>
      </w:rPr>
      <w:t>2</w:t>
    </w:r>
    <w:r w:rsidRPr="00DA1C77">
      <w:fldChar w:fldCharType="end"/>
    </w:r>
    <w:r w:rsidRPr="00DA1C77">
      <w:t>/</w:t>
    </w:r>
    <w:r>
      <w:fldChar w:fldCharType="begin"/>
    </w:r>
    <w:r>
      <w:instrText xml:space="preserve"> NUMPAGES  \* MERGEFORMAT </w:instrText>
    </w:r>
    <w:r>
      <w:fldChar w:fldCharType="separate"/>
    </w:r>
    <w:r w:rsidRPr="00DA1C77">
      <w:rPr>
        <w:noProof/>
      </w:rPr>
      <w:t>19</w:t>
    </w:r>
    <w:r w:rsidRPr="00DA1C77">
      <w:rPr>
        <w:noProof/>
      </w:rPr>
      <w:fldChar w:fldCharType="end"/>
    </w:r>
    <w:r w:rsidRPr="00DA1C77">
      <w:tab/>
    </w:r>
    <w:r w:rsidRPr="00DA1C77">
      <w:rPr>
        <w:rStyle w:val="HideTWBExt"/>
      </w:rPr>
      <w:t>&lt;PathFdR&gt;</w:t>
    </w:r>
    <w:r w:rsidRPr="00DA1C77">
      <w:t>RR\1345097LV.docx</w:t>
    </w:r>
    <w:r w:rsidRPr="00DA1C77">
      <w:rPr>
        <w:rStyle w:val="HideTWBExt"/>
      </w:rPr>
      <w:t>&lt;/</w:t>
    </w:r>
    <w:r w:rsidRPr="00DA1C77">
      <w:rPr>
        <w:rStyle w:val="HideTWBExt"/>
      </w:rPr>
      <w:t>PathFdR</w:t>
    </w:r>
    <w:r w:rsidRPr="00DA1C77">
      <w:rPr>
        <w:rStyle w:val="HideTWBExt"/>
      </w:rPr>
      <w:t>&gt;</w:t>
    </w:r>
  </w:p>
  <w:p w:rsidR="008E7AF7" w:rsidRPr="00DA1C77" w:rsidP="00304C95" w14:paraId="3E051F29" w14:textId="77777777">
    <w:pPr>
      <w:pStyle w:val="EPFooter2"/>
    </w:pPr>
    <w:r w:rsidRPr="00DA1C77">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AF7" w:rsidRPr="00DA1C77" w:rsidP="00304C95" w14:paraId="20505708" w14:textId="77777777">
    <w:pPr>
      <w:pStyle w:val="EPFooter"/>
    </w:pPr>
    <w:r w:rsidRPr="00DA1C77">
      <w:rPr>
        <w:rStyle w:val="HideTWBExt"/>
      </w:rPr>
      <w:t>&lt;PathFdR&gt;</w:t>
    </w:r>
    <w:r w:rsidRPr="00DA1C77">
      <w:t>RR\1345097LV.docx</w:t>
    </w:r>
    <w:r w:rsidRPr="00DA1C77">
      <w:rPr>
        <w:rStyle w:val="HideTWBExt"/>
      </w:rPr>
      <w:t>&lt;/</w:t>
    </w:r>
    <w:r w:rsidRPr="00DA1C77">
      <w:rPr>
        <w:rStyle w:val="HideTWBExt"/>
      </w:rPr>
      <w:t>PathFdR</w:t>
    </w:r>
    <w:r w:rsidRPr="00DA1C77">
      <w:rPr>
        <w:rStyle w:val="HideTWBExt"/>
      </w:rPr>
      <w:t>&gt;</w:t>
    </w:r>
    <w:r w:rsidRPr="00DA1C77">
      <w:tab/>
    </w:r>
    <w:r w:rsidRPr="00DA1C77">
      <w:tab/>
      <w:t>PE</w:t>
    </w:r>
    <w:r w:rsidRPr="00DA1C77">
      <w:rPr>
        <w:rStyle w:val="HideTWBExt"/>
      </w:rPr>
      <w:t>&lt;</w:t>
    </w:r>
    <w:r w:rsidRPr="00DA1C77">
      <w:rPr>
        <w:rStyle w:val="HideTWBExt"/>
      </w:rPr>
      <w:t>NoPE</w:t>
    </w:r>
    <w:r w:rsidRPr="00DA1C77">
      <w:rPr>
        <w:rStyle w:val="HideTWBExt"/>
      </w:rPr>
      <w:t>&gt;</w:t>
    </w:r>
    <w:r w:rsidRPr="00DA1C77">
      <w:t>787.923</w:t>
    </w:r>
    <w:r w:rsidRPr="00DA1C77">
      <w:rPr>
        <w:rStyle w:val="HideTWBExt"/>
      </w:rPr>
      <w:t>&lt;/</w:t>
    </w:r>
    <w:r w:rsidRPr="00DA1C77">
      <w:rPr>
        <w:rStyle w:val="HideTWBExt"/>
      </w:rPr>
      <w:t>NoPE</w:t>
    </w:r>
    <w:r w:rsidRPr="00DA1C77">
      <w:rPr>
        <w:rStyle w:val="HideTWBExt"/>
      </w:rPr>
      <w:t>&gt;&lt;Version&gt;</w:t>
    </w:r>
    <w:r w:rsidRPr="00DA1C77">
      <w:t>v02-00</w:t>
    </w:r>
    <w:r w:rsidRPr="00DA1C77">
      <w:rPr>
        <w:rStyle w:val="HideTWBExt"/>
      </w:rPr>
      <w:t>&lt;/</w:t>
    </w:r>
    <w:r w:rsidRPr="00DA1C77">
      <w:rPr>
        <w:rStyle w:val="HideTWBExt"/>
      </w:rPr>
      <w:t>Version</w:t>
    </w:r>
    <w:r w:rsidRPr="00DA1C77">
      <w:rPr>
        <w:rStyle w:val="HideTWBExt"/>
      </w:rPr>
      <w:t>&gt;</w:t>
    </w:r>
  </w:p>
  <w:p w:rsidR="008E7AF7" w:rsidRPr="00DA1C77" w:rsidP="00304C95" w14:paraId="45279F0E" w14:textId="77777777">
    <w:pPr>
      <w:pStyle w:val="EPFooter2"/>
    </w:pPr>
    <w:r w:rsidRPr="00DA1C77">
      <w:t>LV</w:t>
    </w:r>
    <w:r w:rsidRPr="00DA1C77">
      <w:tab/>
    </w:r>
    <w:r w:rsidRPr="00DA1C77">
      <w:rPr>
        <w:b w:val="0"/>
        <w:i/>
        <w:color w:val="C0C0C0"/>
        <w:sz w:val="22"/>
      </w:rPr>
      <w:t>Vienoti daudzveidībā</w:t>
    </w:r>
    <w:r w:rsidRPr="00DA1C77">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6F1560E5"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1C6E95E4"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5A26B12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39C4" w:rsidRPr="00DA1C77" w14:paraId="3DFF2358" w14:textId="77777777">
      <w:r w:rsidRPr="00DA1C77">
        <w:separator/>
      </w:r>
    </w:p>
  </w:footnote>
  <w:footnote w:type="continuationSeparator" w:id="1">
    <w:p w:rsidR="008F39C4" w:rsidRPr="00DA1C77" w14:paraId="77B07BE9" w14:textId="77777777">
      <w:r w:rsidRPr="00DA1C77">
        <w:continuationSeparator/>
      </w:r>
    </w:p>
  </w:footnote>
  <w:footnote w:id="2">
    <w:p w:rsidR="008E7AF7" w:rsidRPr="00DA1C77" w:rsidP="00DA1C77" w14:paraId="3D97C79B" w14:textId="58F2FD83">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 xml:space="preserve">OV L 153, 3.5.2021., 48. lpp., ELI: </w:t>
      </w:r>
      <w:hyperlink r:id="rId1" w:history="1">
        <w:r w:rsidRPr="00DA1C77">
          <w:rPr>
            <w:rStyle w:val="Hyperlink"/>
            <w:sz w:val="24"/>
            <w:lang w:val="lv-LV"/>
          </w:rPr>
          <w:t>http://data.europa.eu/eli/reg/2021/691/oj</w:t>
        </w:r>
      </w:hyperlink>
      <w:r w:rsidRPr="00DA1C77">
        <w:rPr>
          <w:sz w:val="24"/>
          <w:lang w:val="lv-LV"/>
        </w:rPr>
        <w:t>.</w:t>
      </w:r>
    </w:p>
  </w:footnote>
  <w:footnote w:id="3">
    <w:p w:rsidR="008E7AF7" w:rsidRPr="00DA1C77" w:rsidP="00DA1C77" w14:paraId="02D14B72" w14:textId="4605A9E9">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OV L, 2026/1139, 20.5.2026., ELI: </w:t>
      </w:r>
      <w:hyperlink r:id="rId2" w:tgtFrame="_blank" w:tooltip="Nodrošina piekļuvi šim dokumentam pēc tā ELI URI." w:history="1">
        <w:r w:rsidRPr="00DA1C77">
          <w:rPr>
            <w:rStyle w:val="Hyperlink"/>
            <w:color w:val="0070C0"/>
            <w:sz w:val="24"/>
            <w:lang w:val="lv-LV"/>
          </w:rPr>
          <w:t>http://data.europa.eu/eli/reg/2026/1139/oj</w:t>
        </w:r>
      </w:hyperlink>
      <w:r w:rsidRPr="00DA1C77">
        <w:rPr>
          <w:color w:val="0070C0"/>
          <w:sz w:val="24"/>
          <w:lang w:val="lv-LV"/>
        </w:rPr>
        <w:t>.</w:t>
      </w:r>
    </w:p>
  </w:footnote>
  <w:footnote w:id="4">
    <w:p w:rsidR="008E7AF7" w:rsidRPr="00DA1C77" w:rsidP="00DA1C77" w14:paraId="3248087E" w14:textId="5104D483">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OV L 433 I, 22.12.2020., 11. </w:t>
      </w:r>
      <w:r w:rsidRPr="00DA1C77">
        <w:rPr>
          <w:sz w:val="24"/>
          <w:lang w:val="lv-LV"/>
        </w:rPr>
        <w:t xml:space="preserve">lpp., ELI: </w:t>
      </w:r>
      <w:hyperlink r:id="rId3" w:history="1">
        <w:r w:rsidRPr="00DA1C77">
          <w:rPr>
            <w:rStyle w:val="Hyperlink"/>
            <w:sz w:val="24"/>
            <w:lang w:val="lv-LV"/>
          </w:rPr>
          <w:t>http://data.europa.eu/eli/reg/2020/2093/oj</w:t>
        </w:r>
      </w:hyperlink>
      <w:r w:rsidRPr="00DA1C77">
        <w:rPr>
          <w:sz w:val="24"/>
          <w:lang w:val="lv-LV"/>
        </w:rPr>
        <w:t>.</w:t>
      </w:r>
    </w:p>
  </w:footnote>
  <w:footnote w:id="5">
    <w:p w:rsidR="008E7AF7" w:rsidRPr="00DA1C77" w:rsidP="00DA1C77" w14:paraId="107A8679" w14:textId="23299D3C">
      <w:pPr>
        <w:pStyle w:val="FootnoteText"/>
        <w:ind w:left="567" w:hanging="567"/>
        <w:rPr>
          <w:sz w:val="24"/>
          <w:lang w:val="lv-LV"/>
        </w:rPr>
      </w:pPr>
      <w:r w:rsidRPr="00DA1C77">
        <w:rPr>
          <w:rStyle w:val="FootnoteReference"/>
          <w:sz w:val="24"/>
          <w:lang w:val="lv-LV"/>
        </w:rPr>
        <w:footnoteRef/>
      </w:r>
      <w:r w:rsidRPr="00DA1C77" w:rsidR="00DA1C77">
        <w:rPr>
          <w:sz w:val="24"/>
          <w:shd w:val="clear" w:color="auto" w:fill="FFFFFF"/>
          <w:lang w:val="lv-LV"/>
        </w:rPr>
        <w:t xml:space="preserve"> </w:t>
      </w:r>
      <w:r w:rsidRPr="00DA1C77" w:rsidR="00DA1C77">
        <w:rPr>
          <w:sz w:val="24"/>
          <w:shd w:val="clear" w:color="auto" w:fill="FFFFFF"/>
          <w:lang w:val="lv-LV"/>
        </w:rPr>
        <w:tab/>
      </w:r>
      <w:r w:rsidRPr="00DA1C77">
        <w:rPr>
          <w:sz w:val="24"/>
          <w:shd w:val="clear" w:color="auto" w:fill="FFFFFF"/>
          <w:lang w:val="lv-LV"/>
        </w:rPr>
        <w:t xml:space="preserve">Padomes Regula (ES, </w:t>
      </w:r>
      <w:r w:rsidRPr="00DA1C77">
        <w:rPr>
          <w:i/>
          <w:iCs/>
          <w:sz w:val="24"/>
          <w:shd w:val="clear" w:color="auto" w:fill="FFFFFF"/>
          <w:lang w:val="lv-LV"/>
        </w:rPr>
        <w:t>Euratom</w:t>
      </w:r>
      <w:r w:rsidRPr="00DA1C77">
        <w:rPr>
          <w:sz w:val="24"/>
          <w:shd w:val="clear" w:color="auto" w:fill="FFFFFF"/>
          <w:lang w:val="lv-LV"/>
        </w:rPr>
        <w:t xml:space="preserve">) 2024/765 (2024. gada 29. februāris), ar kuru groza Regulu (ES, </w:t>
      </w:r>
      <w:r w:rsidRPr="00DA1C77">
        <w:rPr>
          <w:i/>
          <w:iCs/>
          <w:sz w:val="24"/>
          <w:shd w:val="clear" w:color="auto" w:fill="FFFFFF"/>
          <w:lang w:val="lv-LV"/>
        </w:rPr>
        <w:t>Euratom</w:t>
      </w:r>
      <w:r w:rsidRPr="00DA1C77">
        <w:rPr>
          <w:sz w:val="24"/>
          <w:shd w:val="clear" w:color="auto" w:fill="FFFFFF"/>
          <w:lang w:val="lv-LV"/>
        </w:rPr>
        <w:t>) 2020/2093, ar ko nosaka daudzgadu finanšu shēmu 2021.–2027. </w:t>
      </w:r>
      <w:r w:rsidRPr="00DA1C77">
        <w:rPr>
          <w:sz w:val="24"/>
          <w:shd w:val="clear" w:color="auto" w:fill="FFFFFF"/>
          <w:lang w:val="lv-LV"/>
        </w:rPr>
        <w:t>gadam (OV L, 2024/765, 29.2.2024., ELI:</w:t>
      </w:r>
      <w:r w:rsidRPr="00DA1C77">
        <w:rPr>
          <w:color w:val="333333"/>
          <w:sz w:val="24"/>
          <w:shd w:val="clear" w:color="auto" w:fill="FFFFFF"/>
          <w:lang w:val="lv-LV"/>
        </w:rPr>
        <w:t xml:space="preserve"> </w:t>
      </w:r>
      <w:hyperlink r:id="rId4" w:history="1">
        <w:r w:rsidRPr="00DA1C77">
          <w:rPr>
            <w:rStyle w:val="Hyperlink"/>
            <w:sz w:val="24"/>
            <w:shd w:val="clear" w:color="auto" w:fill="FFFFFF"/>
            <w:lang w:val="lv-LV"/>
          </w:rPr>
          <w:t>http://data.europa.eu/eli/reg/2024/765/oj</w:t>
        </w:r>
      </w:hyperlink>
      <w:r w:rsidRPr="00DA1C77">
        <w:rPr>
          <w:i/>
          <w:color w:val="333333"/>
          <w:sz w:val="24"/>
          <w:shd w:val="clear" w:color="auto" w:fill="FFFFFF"/>
          <w:lang w:val="lv-LV"/>
        </w:rPr>
        <w:t>).</w:t>
      </w:r>
    </w:p>
  </w:footnote>
  <w:footnote w:id="6">
    <w:p w:rsidR="008E7AF7" w:rsidRPr="00DA1C77" w:rsidP="00DA1C77" w14:paraId="47857905" w14:textId="26DBA72A">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OV L 433 I, 22.12.2020., 28. </w:t>
      </w:r>
      <w:r w:rsidRPr="00DA1C77">
        <w:rPr>
          <w:sz w:val="24"/>
          <w:lang w:val="lv-LV"/>
        </w:rPr>
        <w:t xml:space="preserve">lpp., ELI: </w:t>
      </w:r>
      <w:hyperlink r:id="rId5" w:history="1">
        <w:r w:rsidRPr="00DA1C77">
          <w:rPr>
            <w:rStyle w:val="Hyperlink"/>
            <w:sz w:val="24"/>
            <w:lang w:val="lv-LV"/>
          </w:rPr>
          <w:t>http://data.europa.eu/eli/agree_interinstit/2020/1222/oj</w:t>
        </w:r>
      </w:hyperlink>
      <w:r w:rsidRPr="00DA1C77">
        <w:rPr>
          <w:sz w:val="24"/>
          <w:lang w:val="lv-LV"/>
        </w:rPr>
        <w:t>.</w:t>
      </w:r>
    </w:p>
  </w:footnote>
  <w:footnote w:id="7">
    <w:p w:rsidR="008E7AF7" w:rsidRPr="00DA1C77" w:rsidP="00DA1C77" w14:paraId="66807CF8" w14:textId="0D7AE9CF">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EGF regulas 3. panta nozīmē.</w:t>
      </w:r>
    </w:p>
  </w:footnote>
  <w:footnote w:id="8">
    <w:p w:rsidR="008E7AF7" w:rsidRPr="00DA1C77" w:rsidP="00DA1C77" w14:paraId="6A473339" w14:textId="24C9E5E6">
      <w:pPr>
        <w:pStyle w:val="FootnoteText"/>
        <w:ind w:left="567" w:hanging="567"/>
        <w:rPr>
          <w:sz w:val="24"/>
          <w:lang w:val="lv-LV"/>
        </w:rPr>
      </w:pPr>
      <w:r w:rsidRPr="00DA1C77">
        <w:rPr>
          <w:rStyle w:val="FootnoteReference"/>
          <w:sz w:val="24"/>
          <w:lang w:val="lv-LV"/>
        </w:rPr>
        <w:footnoteRef/>
      </w:r>
      <w:r w:rsidRPr="00DA1C77" w:rsidR="00DA1C77">
        <w:rPr>
          <w:sz w:val="24"/>
          <w:lang w:val="lv-LV"/>
        </w:rPr>
        <w:t xml:space="preserve"> </w:t>
      </w:r>
      <w:r w:rsidRPr="00DA1C77" w:rsidR="00DA1C77">
        <w:rPr>
          <w:sz w:val="24"/>
          <w:lang w:val="lv-LV"/>
        </w:rPr>
        <w:tab/>
      </w:r>
      <w:r w:rsidRPr="00DA1C77">
        <w:rPr>
          <w:sz w:val="24"/>
          <w:lang w:val="lv-LV"/>
        </w:rPr>
        <w:t>DFS regulas 8.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783AA1A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7153A8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A1C77" w14:paraId="16D50C3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9302591">
    <w:abstractNumId w:val="9"/>
  </w:num>
  <w:num w:numId="2" w16cid:durableId="1587617588">
    <w:abstractNumId w:val="9"/>
  </w:num>
  <w:num w:numId="3" w16cid:durableId="317542021">
    <w:abstractNumId w:val="7"/>
  </w:num>
  <w:num w:numId="4" w16cid:durableId="486749111">
    <w:abstractNumId w:val="7"/>
  </w:num>
  <w:num w:numId="5" w16cid:durableId="1176579999">
    <w:abstractNumId w:val="6"/>
  </w:num>
  <w:num w:numId="6" w16cid:durableId="553811889">
    <w:abstractNumId w:val="6"/>
  </w:num>
  <w:num w:numId="7" w16cid:durableId="1348747966">
    <w:abstractNumId w:val="5"/>
  </w:num>
  <w:num w:numId="8" w16cid:durableId="480772691">
    <w:abstractNumId w:val="5"/>
  </w:num>
  <w:num w:numId="9" w16cid:durableId="610823548">
    <w:abstractNumId w:val="4"/>
  </w:num>
  <w:num w:numId="10" w16cid:durableId="1119451236">
    <w:abstractNumId w:val="4"/>
  </w:num>
  <w:num w:numId="11" w16cid:durableId="1842429921">
    <w:abstractNumId w:val="8"/>
  </w:num>
  <w:num w:numId="12" w16cid:durableId="1254894050">
    <w:abstractNumId w:val="8"/>
  </w:num>
  <w:num w:numId="13" w16cid:durableId="2092464316">
    <w:abstractNumId w:val="3"/>
  </w:num>
  <w:num w:numId="14" w16cid:durableId="251204129">
    <w:abstractNumId w:val="3"/>
  </w:num>
  <w:num w:numId="15" w16cid:durableId="1251619081">
    <w:abstractNumId w:val="2"/>
  </w:num>
  <w:num w:numId="16" w16cid:durableId="1046176304">
    <w:abstractNumId w:val="2"/>
  </w:num>
  <w:num w:numId="17" w16cid:durableId="1255748924">
    <w:abstractNumId w:val="1"/>
  </w:num>
  <w:num w:numId="18" w16cid:durableId="2053727459">
    <w:abstractNumId w:val="1"/>
  </w:num>
  <w:num w:numId="19" w16cid:durableId="1470980191">
    <w:abstractNumId w:val="0"/>
  </w:num>
  <w:num w:numId="20" w16cid:durableId="885264904">
    <w:abstractNumId w:val="0"/>
  </w:num>
  <w:num w:numId="21" w16cid:durableId="906767942">
    <w:abstractNumId w:val="9"/>
  </w:num>
  <w:num w:numId="22" w16cid:durableId="703410464">
    <w:abstractNumId w:val="7"/>
  </w:num>
  <w:num w:numId="23" w16cid:durableId="1478912495">
    <w:abstractNumId w:val="6"/>
  </w:num>
  <w:num w:numId="24" w16cid:durableId="1320841883">
    <w:abstractNumId w:val="5"/>
  </w:num>
  <w:num w:numId="25" w16cid:durableId="803347267">
    <w:abstractNumId w:val="4"/>
  </w:num>
  <w:num w:numId="26" w16cid:durableId="1496189113">
    <w:abstractNumId w:val="8"/>
  </w:num>
  <w:num w:numId="27" w16cid:durableId="765923604">
    <w:abstractNumId w:val="3"/>
  </w:num>
  <w:num w:numId="28" w16cid:durableId="1363046742">
    <w:abstractNumId w:val="2"/>
  </w:num>
  <w:num w:numId="29" w16cid:durableId="1190338561">
    <w:abstractNumId w:val="1"/>
  </w:num>
  <w:num w:numId="30" w16cid:durableId="730807005">
    <w:abstractNumId w:val="0"/>
  </w:num>
  <w:num w:numId="31" w16cid:durableId="352846830">
    <w:abstractNumId w:val="9"/>
  </w:num>
  <w:num w:numId="32" w16cid:durableId="666370528">
    <w:abstractNumId w:val="7"/>
  </w:num>
  <w:num w:numId="33" w16cid:durableId="31074122">
    <w:abstractNumId w:val="6"/>
  </w:num>
  <w:num w:numId="34" w16cid:durableId="1822886382">
    <w:abstractNumId w:val="5"/>
  </w:num>
  <w:num w:numId="35" w16cid:durableId="94135718">
    <w:abstractNumId w:val="4"/>
  </w:num>
  <w:num w:numId="36" w16cid:durableId="129986050">
    <w:abstractNumId w:val="8"/>
  </w:num>
  <w:num w:numId="37" w16cid:durableId="1899587380">
    <w:abstractNumId w:val="3"/>
  </w:num>
  <w:num w:numId="38" w16cid:durableId="1142842468">
    <w:abstractNumId w:val="2"/>
  </w:num>
  <w:num w:numId="39" w16cid:durableId="1774393514">
    <w:abstractNumId w:val="1"/>
  </w:num>
  <w:num w:numId="40" w16cid:durableId="870146977">
    <w:abstractNumId w:val="0"/>
  </w:num>
  <w:num w:numId="41" w16cid:durableId="2143692054">
    <w:abstractNumId w:val="10"/>
  </w:num>
  <w:num w:numId="42" w16cid:durableId="2116320567">
    <w:abstractNumId w:val="10"/>
  </w:num>
  <w:num w:numId="43" w16cid:durableId="527262504">
    <w:abstractNumId w:val="10"/>
  </w:num>
  <w:num w:numId="44" w16cid:durableId="1556503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C4"/>
    <w:rsid w:val="00002272"/>
    <w:rsid w:val="000564A4"/>
    <w:rsid w:val="00064002"/>
    <w:rsid w:val="000677B9"/>
    <w:rsid w:val="000831BA"/>
    <w:rsid w:val="000A42CC"/>
    <w:rsid w:val="000E7DD9"/>
    <w:rsid w:val="0010095E"/>
    <w:rsid w:val="00125B37"/>
    <w:rsid w:val="00187494"/>
    <w:rsid w:val="001F32AE"/>
    <w:rsid w:val="002767FF"/>
    <w:rsid w:val="00287EE1"/>
    <w:rsid w:val="002B18FE"/>
    <w:rsid w:val="002B5493"/>
    <w:rsid w:val="00304C95"/>
    <w:rsid w:val="00343214"/>
    <w:rsid w:val="00361C00"/>
    <w:rsid w:val="00395FA1"/>
    <w:rsid w:val="003E15D4"/>
    <w:rsid w:val="003E6BB9"/>
    <w:rsid w:val="00411CCE"/>
    <w:rsid w:val="0041666E"/>
    <w:rsid w:val="00421060"/>
    <w:rsid w:val="00471C19"/>
    <w:rsid w:val="004867E3"/>
    <w:rsid w:val="00494A28"/>
    <w:rsid w:val="004C0004"/>
    <w:rsid w:val="004C5D52"/>
    <w:rsid w:val="0050519A"/>
    <w:rsid w:val="005072A1"/>
    <w:rsid w:val="00514517"/>
    <w:rsid w:val="00545827"/>
    <w:rsid w:val="00560270"/>
    <w:rsid w:val="0059246F"/>
    <w:rsid w:val="005C2568"/>
    <w:rsid w:val="005F1B17"/>
    <w:rsid w:val="006037C0"/>
    <w:rsid w:val="00611295"/>
    <w:rsid w:val="006631B6"/>
    <w:rsid w:val="00680577"/>
    <w:rsid w:val="006F74FA"/>
    <w:rsid w:val="00731ADD"/>
    <w:rsid w:val="00734777"/>
    <w:rsid w:val="00746ED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AF7"/>
    <w:rsid w:val="008F39C4"/>
    <w:rsid w:val="00930C23"/>
    <w:rsid w:val="0093193B"/>
    <w:rsid w:val="009509D8"/>
    <w:rsid w:val="00950B64"/>
    <w:rsid w:val="00981893"/>
    <w:rsid w:val="00981C8E"/>
    <w:rsid w:val="00A1687D"/>
    <w:rsid w:val="00A3403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C77"/>
    <w:rsid w:val="00DA7FCD"/>
    <w:rsid w:val="00E365E1"/>
    <w:rsid w:val="00E820A4"/>
    <w:rsid w:val="00EB006A"/>
    <w:rsid w:val="00EB02AD"/>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LV"/>
    <w:docVar w:name="dvnumam" w:val="0"/>
    <w:docVar w:name="dvpe" w:val="787.923"/>
    <w:docVar w:name="dvrapporteur" w:val="Referents: "/>
    <w:docVar w:name="dvtitre" w:val="Eiropas Parlamenta 2026. gada XX. XXX  rezolūcija par priekšlikumu Eiropas Parlamenta un Padomes lēmumam par Eiropas Globalizācijas pielāgošanās fonda darbu zaudējušiem darba ņēmējiem izmantošanu saistībā ar Beļģijas iesniegto pieteikumu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F935BA"/>
  <w15:chartTrackingRefBased/>
  <w15:docId w15:val="{1821CF51-746D-4D04-8506-063782EA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7AF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E7AF7"/>
    <w:pPr>
      <w:keepNext/>
      <w:spacing w:after="480"/>
      <w:jc w:val="center"/>
    </w:pPr>
    <w:rPr>
      <w:rFonts w:ascii="Arial" w:hAnsi="Arial" w:cs="Arial"/>
      <w:b/>
    </w:rPr>
  </w:style>
  <w:style w:type="paragraph" w:customStyle="1" w:styleId="NormalBold">
    <w:name w:val="NormalBold"/>
    <w:basedOn w:val="Normal"/>
    <w:rsid w:val="008E7AF7"/>
    <w:rPr>
      <w:b/>
    </w:rPr>
  </w:style>
  <w:style w:type="paragraph" w:customStyle="1" w:styleId="NormalHanging12a">
    <w:name w:val="NormalHanging12a"/>
    <w:basedOn w:val="Normal"/>
    <w:link w:val="NormalHanging12aChar"/>
    <w:rsid w:val="008E7AF7"/>
    <w:pPr>
      <w:spacing w:after="240"/>
      <w:ind w:left="567" w:hanging="567"/>
    </w:pPr>
  </w:style>
  <w:style w:type="paragraph" w:styleId="Header">
    <w:name w:val="header"/>
    <w:basedOn w:val="Normal"/>
    <w:link w:val="HeaderChar"/>
    <w:rsid w:val="008E7AF7"/>
    <w:pPr>
      <w:tabs>
        <w:tab w:val="center" w:pos="4513"/>
        <w:tab w:val="right" w:pos="9026"/>
      </w:tabs>
    </w:pPr>
  </w:style>
  <w:style w:type="character" w:customStyle="1" w:styleId="HeaderChar">
    <w:name w:val="Header Char"/>
    <w:basedOn w:val="DefaultParagraphFont"/>
    <w:link w:val="Header"/>
    <w:rsid w:val="008E7AF7"/>
    <w:rPr>
      <w:sz w:val="24"/>
      <w:lang w:val="lv-LV"/>
    </w:rPr>
  </w:style>
  <w:style w:type="paragraph" w:customStyle="1" w:styleId="EPFooter">
    <w:name w:val="EPFooter"/>
    <w:basedOn w:val="Normal"/>
    <w:rsid w:val="008E7AF7"/>
    <w:pPr>
      <w:tabs>
        <w:tab w:val="center" w:pos="4535"/>
        <w:tab w:val="right" w:pos="9071"/>
      </w:tabs>
      <w:spacing w:before="240" w:after="240"/>
    </w:pPr>
    <w:rPr>
      <w:color w:val="010000"/>
      <w:sz w:val="22"/>
    </w:rPr>
  </w:style>
  <w:style w:type="paragraph" w:customStyle="1" w:styleId="EPComma">
    <w:name w:val="EPComma"/>
    <w:basedOn w:val="Normal"/>
    <w:rsid w:val="008E7AF7"/>
    <w:pPr>
      <w:spacing w:before="480" w:after="240"/>
    </w:pPr>
  </w:style>
  <w:style w:type="character" w:styleId="Hyperlink">
    <w:name w:val="Hyperlink"/>
    <w:basedOn w:val="DefaultParagraphFont"/>
    <w:uiPriority w:val="99"/>
    <w:rsid w:val="008E7AF7"/>
    <w:rPr>
      <w:color w:val="0563C1" w:themeColor="hyperlink"/>
      <w:u w:val="single"/>
    </w:rPr>
  </w:style>
  <w:style w:type="character" w:customStyle="1" w:styleId="NormalHanging12aChar">
    <w:name w:val="NormalHanging12a Char"/>
    <w:basedOn w:val="DefaultParagraphFont"/>
    <w:link w:val="NormalHanging12a"/>
    <w:locked/>
    <w:rsid w:val="008E7AF7"/>
    <w:rPr>
      <w:sz w:val="24"/>
      <w:lang w:val="lv-LV"/>
    </w:rPr>
  </w:style>
  <w:style w:type="paragraph" w:customStyle="1" w:styleId="Titreobjet">
    <w:name w:val="Titre objet"/>
    <w:basedOn w:val="Normal"/>
    <w:next w:val="Normal"/>
    <w:rsid w:val="008E7AF7"/>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8E7AF7"/>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8E7AF7"/>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8E7AF7"/>
    <w:rPr>
      <w:rFonts w:ascii="Arial" w:hAnsi="Arial" w:cs="Arial"/>
      <w:b/>
      <w:sz w:val="24"/>
      <w:lang w:val="lv-LV"/>
    </w:rPr>
  </w:style>
  <w:style w:type="paragraph" w:styleId="Footer">
    <w:name w:val="footer"/>
    <w:basedOn w:val="Normal"/>
    <w:link w:val="FooterChar"/>
    <w:rsid w:val="003E6BB9"/>
    <w:pPr>
      <w:tabs>
        <w:tab w:val="center" w:pos="4513"/>
        <w:tab w:val="right" w:pos="9026"/>
      </w:tabs>
    </w:pPr>
  </w:style>
  <w:style w:type="character" w:customStyle="1" w:styleId="FooterChar">
    <w:name w:val="Footer Char"/>
    <w:basedOn w:val="DefaultParagraphFont"/>
    <w:link w:val="Footer"/>
    <w:rsid w:val="003E6BB9"/>
    <w:rPr>
      <w:sz w:val="24"/>
      <w:lang w:val="lv-LV"/>
    </w:rPr>
  </w:style>
  <w:style w:type="paragraph" w:customStyle="1" w:styleId="Normal24Bold">
    <w:name w:val="Normal24Bold"/>
    <w:basedOn w:val="Normal"/>
    <w:rsid w:val="00746EDE"/>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1507</Words>
  <Characters>10235</Characters>
  <Application>Microsoft Office Word</Application>
  <DocSecurity>0</DocSecurity>
  <Lines>852</Lines>
  <Paragraphs>690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2026-09-01T13:19:00Z</dcterms:created>
  <dcterms:modified xsi:type="dcterms:W3CDTF">2026-09-01T13:19:00Z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P10_TA(2026)0201_</vt:lpwstr>
  </property>
  <property fmtid="{D5CDD505-2E9C-101B-9397-08002B2CF9AE}" pid="4" name="&lt;Type&gt;">
    <vt:lpwstr>RR</vt:lpwstr>
  </property>
</Properties>
</file>