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D32471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A3B42" w:rsidP="0010095E" w14:paraId="74569D13" w14:textId="77777777">
            <w:pPr>
              <w:pStyle w:val="EPName"/>
            </w:pPr>
            <w:r w:rsidRPr="00BA3B42">
              <w:t>Parlament Ewropew</w:t>
            </w:r>
          </w:p>
          <w:p w:rsidR="00751A4A" w:rsidRPr="00BA3B42" w:rsidP="005F1B17" w14:paraId="39D4CC1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3B42">
              <w:t>2024</w:t>
            </w:r>
            <w:r w:rsidRPr="00BA3B42" w:rsidR="00817416">
              <w:t>-202</w:t>
            </w:r>
            <w:r w:rsidRPr="00BA3B4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A3B42" w:rsidP="0010095E" w14:paraId="33A5DD94" w14:textId="77777777">
            <w:pPr>
              <w:pStyle w:val="EPLogo"/>
            </w:pPr>
            <w:r w:rsidRPr="00BA3B4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A3B42" w:rsidP="004C5D52" w14:paraId="0CDE0C69" w14:textId="77777777">
      <w:pPr>
        <w:pStyle w:val="LineTop"/>
      </w:pPr>
    </w:p>
    <w:p w:rsidR="00680577" w:rsidRPr="00BA3B42" w:rsidP="00680577" w14:paraId="3D8EBD89" w14:textId="77777777">
      <w:pPr>
        <w:pStyle w:val="EPBodyTA1"/>
      </w:pPr>
      <w:r w:rsidRPr="00BA3B42">
        <w:t>TESTI ADOTTATI</w:t>
      </w:r>
    </w:p>
    <w:p w:rsidR="00D058B8" w:rsidRPr="00BA3B42" w:rsidP="00D058B8" w14:paraId="2809FCC0" w14:textId="77777777">
      <w:pPr>
        <w:pStyle w:val="LineBottom"/>
      </w:pPr>
    </w:p>
    <w:p w:rsidR="00AE55A7" w:rsidRPr="00BA3B42" w:rsidP="00AE55A7" w14:paraId="22320C45" w14:textId="3FC5F952">
      <w:pPr>
        <w:pStyle w:val="ATHeading1"/>
      </w:pPr>
      <w:bookmarkStart w:id="0" w:name="TANumber"/>
      <w:r w:rsidRPr="00BA3B42">
        <w:t>P10_TA(2026)0</w:t>
      </w:r>
      <w:r w:rsidR="00DE7015">
        <w:t>201</w:t>
      </w:r>
      <w:bookmarkEnd w:id="0"/>
    </w:p>
    <w:p w:rsidR="00AE55A7" w:rsidRPr="00BA3B42" w:rsidP="00AE55A7" w14:paraId="750D8795" w14:textId="77777777">
      <w:pPr>
        <w:pStyle w:val="ATHeading2"/>
      </w:pPr>
      <w:bookmarkStart w:id="1" w:name="title"/>
      <w:r w:rsidRPr="00BA3B42">
        <w:t>Il-mobilizzazzjoni tal-Fond Ewropew ta’ Aġġustament għall-Globalizzazzjoni għall-Ħaddiema Ssensjati wara applikazzjoni mill-Belġju – EGF/2025/009 BE/</w:t>
      </w:r>
      <w:r w:rsidRPr="00BA3B42">
        <w:t>Soliver</w:t>
      </w:r>
      <w:bookmarkEnd w:id="1"/>
    </w:p>
    <w:p w:rsidR="00AE55A7" w:rsidRPr="00BA3B42" w:rsidP="00AE55A7" w14:paraId="23175B23" w14:textId="77777777">
      <w:pPr>
        <w:rPr>
          <w:i/>
          <w:vanish/>
        </w:rPr>
      </w:pPr>
      <w:r>
        <w:rPr>
          <w:i/>
        </w:rPr>
        <w:fldChar w:fldCharType="begin"/>
      </w:r>
      <w:r w:rsidRPr="00BA3B42">
        <w:rPr>
          <w:i/>
        </w:rPr>
        <w:instrText xml:space="preserve"> TC"(</w:instrText>
      </w:r>
      <w:bookmarkStart w:id="2" w:name="DocNumber"/>
      <w:r w:rsidRPr="00BA3B42">
        <w:rPr>
          <w:i/>
        </w:rPr>
        <w:instrText>A10-0149/2026</w:instrText>
      </w:r>
      <w:bookmarkEnd w:id="2"/>
      <w:r w:rsidRPr="00BA3B42">
        <w:rPr>
          <w:i/>
        </w:rPr>
        <w:instrText xml:space="preserve"> - Rapporteur:  Bogdan Rzońca )"\l3 \n&gt; \* MERGEFORMAT </w:instrText>
      </w:r>
      <w:r>
        <w:rPr>
          <w:i/>
        </w:rPr>
        <w:fldChar w:fldCharType="end"/>
      </w:r>
    </w:p>
    <w:p w:rsidR="00AE55A7" w:rsidRPr="00BA3B42" w:rsidP="00AE55A7" w14:paraId="521018DE" w14:textId="77777777">
      <w:pPr>
        <w:rPr>
          <w:vanish/>
        </w:rPr>
      </w:pPr>
      <w:bookmarkStart w:id="3" w:name="Commission"/>
      <w:r w:rsidRPr="00BA3B42">
        <w:rPr>
          <w:vanish/>
        </w:rPr>
        <w:t>Kumitat għall-Baġits</w:t>
      </w:r>
      <w:bookmarkEnd w:id="3"/>
    </w:p>
    <w:p w:rsidR="00AE55A7" w:rsidRPr="00BA3B42" w:rsidP="00AE55A7" w14:paraId="4E96DD9B" w14:textId="77777777">
      <w:pPr>
        <w:rPr>
          <w:vanish/>
        </w:rPr>
      </w:pPr>
      <w:bookmarkStart w:id="4" w:name="PE"/>
      <w:r w:rsidRPr="00BA3B42">
        <w:rPr>
          <w:vanish/>
        </w:rPr>
        <w:t>PE787.923</w:t>
      </w:r>
      <w:bookmarkEnd w:id="4"/>
    </w:p>
    <w:p w:rsidR="00AE55A7" w:rsidRPr="00BA3B42" w:rsidP="00AE55A7" w14:paraId="0CC05ECD" w14:textId="7C890374">
      <w:pPr>
        <w:pStyle w:val="ATHeading3"/>
      </w:pPr>
      <w:bookmarkStart w:id="5" w:name="Sujet"/>
      <w:r w:rsidRPr="00BA3B42">
        <w:t xml:space="preserve">Riżoluzzjoni tal-Parlament Ewropew </w:t>
      </w:r>
      <w:r w:rsidR="00652480">
        <w:t>tas-16 ta’ Ġunju</w:t>
      </w:r>
      <w:r w:rsidRPr="00BA3B42">
        <w:t xml:space="preserve"> 2026 dwar il-proposta għal deċiżjoni tal-Parlament Ewropew u tal-Kunsill dwar il-mobilizzazzjoni tal-Fond Ewropew ta’ Aġġustament għall-Globalizzazzjoni għall-Ħaddiema Ssensjati wara applikazzjoni mill-Belġju – EGF/2025/009 BE/</w:t>
      </w:r>
      <w:r w:rsidRPr="00BA3B42">
        <w:t>Soliver</w:t>
      </w:r>
      <w:bookmarkEnd w:id="5"/>
      <w:r w:rsidRPr="00BA3B42">
        <w:t xml:space="preserve"> </w:t>
      </w:r>
      <w:bookmarkStart w:id="6" w:name="References"/>
      <w:r w:rsidRPr="00BA3B42">
        <w:t>(COM(2026)0050 – C10-0111/2026 – 2026/0097(BUD))</w:t>
      </w:r>
      <w:bookmarkEnd w:id="6"/>
    </w:p>
    <w:p w:rsidR="00A31771" w:rsidRPr="00BA3B42" w:rsidP="00A31771" w14:paraId="3D12E281" w14:textId="77777777">
      <w:pPr>
        <w:pStyle w:val="EPComma"/>
        <w:rPr>
          <w:noProof/>
        </w:rPr>
      </w:pPr>
      <w:r w:rsidRPr="00BA3B42">
        <w:rPr>
          <w:i/>
        </w:rPr>
        <w:t>Il-Parlament Ewropew</w:t>
      </w:r>
      <w:r w:rsidRPr="00BA3B42">
        <w:t>,</w:t>
      </w:r>
    </w:p>
    <w:p w:rsidR="00A31771" w:rsidRPr="00BA3B42" w:rsidP="00A31771" w14:paraId="18884DF3" w14:textId="77777777">
      <w:pPr>
        <w:pStyle w:val="NormalHanging12a"/>
        <w:rPr>
          <w:noProof/>
        </w:rPr>
      </w:pPr>
      <w:r w:rsidRPr="00BA3B42">
        <w:t>–</w:t>
      </w:r>
      <w:r w:rsidRPr="00BA3B42">
        <w:tab/>
        <w:t>wara li kkunsidra l-proposta tal-Kummissjoni lill-Parlament Ewropew u lill-Kunsill (COM(2026)0050 – C10</w:t>
      </w:r>
      <w:r w:rsidRPr="00BA3B42">
        <w:noBreakHyphen/>
        <w:t>0111/2026),</w:t>
      </w:r>
    </w:p>
    <w:p w:rsidR="00A31771" w:rsidRPr="00BA3B42" w:rsidP="00A31771" w14:paraId="40232A03" w14:textId="77777777">
      <w:pPr>
        <w:pStyle w:val="NormalHanging12a"/>
      </w:pPr>
      <w:r w:rsidRPr="00BA3B42">
        <w:t>–</w:t>
      </w:r>
      <w:r w:rsidRPr="00BA3B42">
        <w:tab/>
        <w:t>wara li kkunsidra r-Regolament (UE) 2021/691 tal-Parlament Ewropew u tal-Kunsill tat-28 ta’ April 2021 dwar il-Fond Ewropew ta’ Aġġustament għall-Globalizzazzjoni għall-Ħaddiema Ssensjati (FEG) u li jħassar ir-Regolament (UE) Nru 1309/2013</w:t>
      </w:r>
      <w:r>
        <w:rPr>
          <w:vertAlign w:val="superscript"/>
        </w:rPr>
        <w:footnoteReference w:id="2"/>
      </w:r>
      <w:r w:rsidRPr="00BA3B42">
        <w:t xml:space="preserve"> (“ir-Regolament dwar il-FEG”), kif emendat mir-Regolament (UE) 2026/1139</w:t>
      </w:r>
      <w:r>
        <w:rPr>
          <w:vertAlign w:val="superscript"/>
        </w:rPr>
        <w:footnoteReference w:id="3"/>
      </w:r>
      <w:r w:rsidRPr="00BA3B42">
        <w:t xml:space="preserve">, </w:t>
      </w:r>
    </w:p>
    <w:p w:rsidR="00A31771" w:rsidRPr="00BA3B42" w:rsidP="00A31771" w14:paraId="200F7A8D" w14:textId="77777777">
      <w:pPr>
        <w:pStyle w:val="NormalHanging12a"/>
        <w:rPr>
          <w:noProof/>
        </w:rPr>
      </w:pPr>
      <w:r w:rsidRPr="00BA3B42">
        <w:t>–</w:t>
      </w:r>
      <w:r w:rsidRPr="00BA3B42">
        <w:tab/>
        <w:t>wara li kkunsidra r-Regolament tal-Kunsill (UE, Euratom) 2020/2093 tas-17 ta’ Diċembru 2020 li jistabbilixxi l-qafas finanzjarju pluriennali għas-snin mill-2021 sal-2027 (“ir-Regolament QFP”)</w:t>
      </w:r>
      <w:r>
        <w:rPr>
          <w:noProof/>
          <w:vertAlign w:val="superscript"/>
        </w:rPr>
        <w:footnoteReference w:id="4"/>
      </w:r>
      <w:r w:rsidRPr="00BA3B42">
        <w:t>, kif emendat bir-Regolament (UE, Euratom) 2024/765</w:t>
      </w:r>
      <w:r>
        <w:rPr>
          <w:noProof/>
          <w:vertAlign w:val="superscript"/>
        </w:rPr>
        <w:footnoteReference w:id="5"/>
      </w:r>
      <w:r w:rsidRPr="00BA3B42">
        <w:t>, u b’mod partikolari l-Artikolu 8 tiegħu,</w:t>
      </w:r>
    </w:p>
    <w:p w:rsidR="00A31771" w:rsidRPr="00BA3B42" w:rsidP="00A31771" w14:paraId="0CDD3550" w14:textId="77777777">
      <w:pPr>
        <w:pStyle w:val="NormalHanging12a"/>
        <w:rPr>
          <w:noProof/>
        </w:rPr>
      </w:pPr>
      <w:r w:rsidRPr="00BA3B42">
        <w:t>–</w:t>
      </w:r>
      <w:r w:rsidRPr="00BA3B42">
        <w:tab/>
        <w:t>wara li kkunsidra l-Ftehim Interistituzzjonali tas-16 ta’ Diċembru 2020 bejn il-Parlament Ewropew, il-Kunsill u l-Kummissjoni dwar dixxiplina baġitarja, dwar kooperazzjoni f’materji baġitarji u dwar ġestjoni finanzjarja tajba, kif ukoll dwar riżorsi proprji ġodda, inkluż pjan direzzjonali lejn l-introduzzjoni ta’ riżorsi proprji ġodda</w:t>
      </w:r>
      <w:r>
        <w:rPr>
          <w:rStyle w:val="FootnoteReference"/>
          <w:noProof/>
        </w:rPr>
        <w:footnoteReference w:id="6"/>
      </w:r>
      <w:r w:rsidRPr="00BA3B42">
        <w:t>, u b’mod partikolari l-punt 9 tiegħu,</w:t>
      </w:r>
    </w:p>
    <w:p w:rsidR="00A31771" w:rsidRPr="00BA3B42" w:rsidP="00A31771" w14:paraId="1D52F97C" w14:textId="77777777">
      <w:pPr>
        <w:pStyle w:val="NormalHanging12a"/>
      </w:pPr>
      <w:r w:rsidRPr="00BA3B42">
        <w:t>–</w:t>
      </w:r>
      <w:r w:rsidRPr="00BA3B42">
        <w:tab/>
        <w:t>wara li kkunsidra l-Pilastru Ewropew tad-Drittijiet Soċjali,</w:t>
      </w:r>
    </w:p>
    <w:p w:rsidR="00A31771" w:rsidRPr="00BA3B42" w:rsidP="00A31771" w14:paraId="1339BF19" w14:textId="77777777">
      <w:pPr>
        <w:pStyle w:val="NormalHanging12a"/>
      </w:pPr>
      <w:r w:rsidRPr="00BA3B42">
        <w:t>–</w:t>
      </w:r>
      <w:r w:rsidRPr="00BA3B42">
        <w:tab/>
        <w:t>wara li kkunsidra l-ittra tal-Kumitat għall-Impjiegi u l-Affarijiet Soċjali,</w:t>
      </w:r>
    </w:p>
    <w:p w:rsidR="00A31771" w:rsidRPr="00BA3B42" w:rsidP="00A31771" w14:paraId="2964ECA3" w14:textId="77777777">
      <w:pPr>
        <w:pStyle w:val="NormalHanging12a"/>
      </w:pPr>
      <w:r w:rsidRPr="00BA3B42">
        <w:t>–</w:t>
      </w:r>
      <w:r w:rsidRPr="00BA3B42">
        <w:tab/>
        <w:t>wara li kkunsidra r-rapport tal-Kumitat għall-Baġits (A10-0149/2026),</w:t>
      </w:r>
    </w:p>
    <w:p w:rsidR="00A31771" w:rsidRPr="00BA3B42" w:rsidP="00A31771" w14:paraId="1FD6F8CA" w14:textId="77777777">
      <w:pPr>
        <w:pStyle w:val="NormalHanging12a"/>
      </w:pPr>
      <w:r w:rsidRPr="00BA3B42">
        <w:t>A.</w:t>
      </w:r>
      <w:r w:rsidRPr="00BA3B42">
        <w:tab/>
        <w:t>billi l-Unjoni stabbiliet strumenti leġiżlattivi u baġitarji biex tipprovdi appoġġ addizzjonali għall-ħaddiema li qed ibatu l-konsegwenzi ta’ avvenimenti u ta’ bidliet strutturali kbar fix-xejriet tal-kummerċ dinji u biex tgħinhom jintegraw mill-ġdid fis-suq tax-xogħol; billi din l-assistenza qed tingħata permezz ta’ appoġġ finanzjarju mogħti lill-ħaddiema; billi ż-żamma tal-kompetittività tal-industrija Ewropea u t-tisħiħ tal-investiment fl-innovazzjoni u l-ħiliet huma essenzjali biex jiġi evitat aktar tnaqqis industrijali u telf ta’ impjiegi madwar l-Unjoni;</w:t>
      </w:r>
    </w:p>
    <w:p w:rsidR="00A31771" w:rsidRPr="00BA3B42" w:rsidP="00A31771" w14:paraId="1513337A" w14:textId="77777777">
      <w:pPr>
        <w:pStyle w:val="NormalHanging12a"/>
      </w:pPr>
      <w:r w:rsidRPr="00BA3B42">
        <w:t>B.</w:t>
      </w:r>
      <w:r w:rsidRPr="00BA3B42">
        <w:tab/>
        <w:t>billi l-Belġju ppreżenta l-applikazzjoni EGF/2025/009 BE/</w:t>
      </w:r>
      <w:r w:rsidRPr="00BA3B42">
        <w:t>Soliver</w:t>
      </w:r>
      <w:r w:rsidRPr="00BA3B42">
        <w:t xml:space="preserve"> għal kontribuzzjoni finanzjarja mill-FEG wara 803 sensji</w:t>
      </w:r>
      <w:r>
        <w:rPr>
          <w:vertAlign w:val="superscript"/>
        </w:rPr>
        <w:footnoteReference w:id="7"/>
      </w:r>
      <w:r w:rsidRPr="00BA3B42">
        <w:t xml:space="preserve"> f’</w:t>
      </w:r>
      <w:r w:rsidRPr="00BA3B42">
        <w:t>Soliver</w:t>
      </w:r>
      <w:r w:rsidRPr="00BA3B42">
        <w:t xml:space="preserve"> NV (</w:t>
      </w:r>
      <w:r w:rsidRPr="00BA3B42">
        <w:t>Soliver</w:t>
      </w:r>
      <w:r w:rsidRPr="00BA3B42">
        <w:t xml:space="preserve">) fil-Belġju, fis-settur ekonomiku </w:t>
      </w:r>
      <w:r w:rsidRPr="00BA3B42">
        <w:t>kklassifikat</w:t>
      </w:r>
      <w:r w:rsidRPr="00BA3B42">
        <w:t xml:space="preserve"> taħt id-diviżjoni 46 tan-NACE Reviżjoni 2 (Negozju bl-ingrossa) fir-reġjuni tal-Provinċja ta’ Flanders tal-Lvant (BE23) u l-Provinċja ta’ Flanders tal-Punent (BE25), Flanders, f’perjodu ta’ referenza mill-1 ta’ Lulju 2025 sal-1 ta’ Novembru 2025;</w:t>
      </w:r>
    </w:p>
    <w:p w:rsidR="00A31771" w:rsidRPr="00BA3B42" w:rsidP="00A31771" w14:paraId="1CAA9DD9" w14:textId="77777777">
      <w:pPr>
        <w:pStyle w:val="NormalHanging12a"/>
      </w:pPr>
      <w:r w:rsidRPr="00BA3B42">
        <w:t>C.</w:t>
      </w:r>
      <w:r w:rsidRPr="00BA3B42">
        <w:tab/>
        <w:t>billi l-applikazzjoni hija bbażata fuq il-kriterji ta’ intervent previsti fl-Artikolu 4(2)(a) tar-Regolament dwar il-FEG;</w:t>
      </w:r>
    </w:p>
    <w:p w:rsidR="00A31771" w:rsidRPr="00BA3B42" w:rsidP="00A31771" w14:paraId="58764F18" w14:textId="77777777">
      <w:pPr>
        <w:pStyle w:val="NormalHanging12a"/>
        <w:rPr>
          <w:noProof/>
        </w:rPr>
      </w:pPr>
      <w:r w:rsidRPr="00BA3B42">
        <w:t>D.</w:t>
      </w:r>
      <w:r w:rsidRPr="00BA3B42">
        <w:tab/>
        <w:t xml:space="preserve">billi </w:t>
      </w:r>
      <w:r w:rsidRPr="00BA3B42">
        <w:t>Soliver</w:t>
      </w:r>
      <w:r w:rsidRPr="00BA3B42">
        <w:t xml:space="preserve"> iddikjara falliment f’Diċembru 2024; billi fil-Belġju l-fallimenti ilhom jiżdiedu mill-2022 u l-qgħad qed jaffettwa serjament diversi reġjuni fi Flanders;</w:t>
      </w:r>
    </w:p>
    <w:p w:rsidR="00A31771" w:rsidRPr="00BA3B42" w:rsidP="00A31771" w14:paraId="4DC52D93" w14:textId="77777777">
      <w:pPr>
        <w:pStyle w:val="NormalHanging12a"/>
        <w:rPr>
          <w:bCs/>
          <w:iCs/>
          <w:noProof/>
        </w:rPr>
      </w:pPr>
      <w:r w:rsidRPr="00BA3B42">
        <w:t>E.</w:t>
      </w:r>
      <w:r w:rsidRPr="00BA3B42">
        <w:tab/>
        <w:t xml:space="preserve">billi l-forza tax-xogħol affettwata mill-għeluq ta’ </w:t>
      </w:r>
      <w:r w:rsidRPr="00BA3B42">
        <w:t>Soliver</w:t>
      </w:r>
      <w:r w:rsidRPr="00BA3B42">
        <w:t xml:space="preserve"> tinkludi proporzjon sinifikanti ta’ ħaddiema akbar fl-età, li jiffaċċjaw ostakli speċifiċi u aggravati biex jintegraw mill-ġdid fis-suq tax-xogħol, inklużi diskriminazzjoni abbażi tal-età, </w:t>
      </w:r>
      <w:r w:rsidRPr="00BA3B42">
        <w:t>spariġġi</w:t>
      </w:r>
      <w:r w:rsidRPr="00BA3B42">
        <w:t xml:space="preserve"> fil-ħiliet u aċċess limitat għal opportunitajiet ta’ taħriġ mill-ġdid; billi jridu jiġu stabbiliti miżuri mmirati biex jiġu indirizzati l-ħtiġijiet speċifiċi tal-ħaddiema akbar fl-età, inklużi formati ta’ taħriġ adattati għall-età, mentoraġġ u kooperazzjoni mal-impjegaturi impenjati għal reklutaġġ varjat skont l-età;</w:t>
      </w:r>
    </w:p>
    <w:p w:rsidR="00A31771" w:rsidRPr="00BA3B42" w:rsidP="00A31771" w14:paraId="207242C9" w14:textId="77777777">
      <w:pPr>
        <w:pStyle w:val="NormalHanging12a"/>
      </w:pPr>
      <w:r w:rsidRPr="00BA3B42">
        <w:t>F.</w:t>
      </w:r>
      <w:r w:rsidRPr="00BA3B42">
        <w:tab/>
        <w:t>billi l-VDAB qed jipprovdu l-prefinanzjament u l-kofinanzjament nazzjonali tal-miżuri;</w:t>
      </w:r>
    </w:p>
    <w:p w:rsidR="00A31771" w:rsidRPr="00BA3B42" w:rsidP="00A31771" w14:paraId="5A78DF73" w14:textId="77777777">
      <w:pPr>
        <w:pStyle w:val="NormalHanging12a"/>
      </w:pPr>
      <w:r w:rsidRPr="00BA3B42">
        <w:t>G.</w:t>
      </w:r>
      <w:r w:rsidRPr="00BA3B42">
        <w:tab/>
        <w:t>billi r-rekwiżiti stabbiliti fil-leġiżlazzjoni tal-Unjoni u f’dik nazzjonali rigward is-sensji kollettivi ġew issodisfati;</w:t>
      </w:r>
    </w:p>
    <w:p w:rsidR="00A31771" w:rsidRPr="00BA3B42" w:rsidP="00A31771" w14:paraId="6A213516" w14:textId="77777777">
      <w:pPr>
        <w:pStyle w:val="NormalHanging12a"/>
      </w:pPr>
      <w:r w:rsidRPr="00BA3B42">
        <w:t>H.</w:t>
      </w:r>
      <w:r w:rsidRPr="00BA3B42">
        <w:tab/>
        <w:t xml:space="preserve">billi l-kontribuzzjonijiet finanzjarji mill-FEG għandhom ikunu primarjament diretti lejn miżuri ta’ politika attivi tas-suq tax-xogħol u servizzi personalizzati li jkollhom l-għan li jintegraw mill-ġdid lill-benefiċjarji b’mod </w:t>
      </w:r>
      <w:r w:rsidRPr="00BA3B42">
        <w:t>durabbli</w:t>
      </w:r>
      <w:r w:rsidRPr="00BA3B42">
        <w:t xml:space="preserve"> u f’kundizzjonijiet tal-impjieg ta’ kwalità fis-suq tax-xogħol filwaqt li </w:t>
      </w:r>
      <w:r w:rsidRPr="00BA3B42">
        <w:t>joffrulhom</w:t>
      </w:r>
      <w:r w:rsidRPr="00BA3B42">
        <w:t xml:space="preserve"> taħriġ fil-ħiliet biex jiffaċilitaw l-integrazzjoni mill-ġdid tagħhom fis-suq tax-xogħol;</w:t>
      </w:r>
    </w:p>
    <w:p w:rsidR="00A31771" w:rsidRPr="00BA3B42" w:rsidP="00A31771" w14:paraId="16FE85EE" w14:textId="77777777">
      <w:pPr>
        <w:pStyle w:val="NormalHanging12a"/>
      </w:pPr>
      <w:r w:rsidRPr="00BA3B42">
        <w:t>I.</w:t>
      </w:r>
      <w:r w:rsidRPr="00BA3B42">
        <w:tab/>
        <w:t>billi l-FEG ma għandux jaqbeż ammont annwali massimu ta’ EUR 30 miljun (fi prezzijiet tal-2018)</w:t>
      </w:r>
      <w:r>
        <w:rPr>
          <w:rStyle w:val="FootnoteReference"/>
        </w:rPr>
        <w:footnoteReference w:id="8"/>
      </w:r>
      <w:r w:rsidRPr="00BA3B42">
        <w:t>;</w:t>
      </w:r>
    </w:p>
    <w:p w:rsidR="00A31771" w:rsidRPr="00BA3B42" w:rsidP="00A31771" w14:paraId="3D64B562" w14:textId="77777777">
      <w:pPr>
        <w:pStyle w:val="NormalHanging12a"/>
      </w:pPr>
      <w:r w:rsidRPr="00BA3B42">
        <w:t>1.</w:t>
      </w:r>
      <w:r w:rsidRPr="00BA3B42">
        <w:tab/>
        <w:t xml:space="preserve">Jaqbel mal-Kummissjoni li l-kundizzjonijiet stabbiliti fir-Regolament dwar il-FEG u </w:t>
      </w:r>
      <w:r w:rsidRPr="00BA3B42">
        <w:t>b’mod partikolari fl-Artikolu 4(2), il-punt (a), tiegħu huma ssodisfati u li l-Belġju huwa intitolat għal kontribuzzjoni finanzjarja ta’ EUR 2 132 535 skont dak ir-Regolament, li tirrappreżenta 85 % tal-kost totali ta’ EUR 2 508 865, liema kost jinkludi n-nefqa ta’ EUR 2 412 465 għal servizzi personalizzati u n-nefqa ta’ EUR 96 400 għall-attivitajiet ta’ tħejjija, ġestjoni, informazzjoni u pubbliċità, kontroll u rapportar;</w:t>
      </w:r>
    </w:p>
    <w:p w:rsidR="00A31771" w:rsidRPr="00BA3B42" w:rsidP="00A31771" w14:paraId="5B8F33BC" w14:textId="77777777">
      <w:pPr>
        <w:pStyle w:val="NormalHanging12a"/>
      </w:pPr>
      <w:r w:rsidRPr="00BA3B42">
        <w:t>2.</w:t>
      </w:r>
      <w:r w:rsidRPr="00BA3B42">
        <w:tab/>
        <w:t xml:space="preserve">Jinnota li l-awtoritajiet Belġjani ressqu l-applikazzjoni fit-22 ta’ Diċembru 2025, u li, wara li rċeviet informazzjoni addizzjonali mill-Belġju, il-Kummissjoni </w:t>
      </w:r>
      <w:r w:rsidRPr="00BA3B42">
        <w:t>ffinalizzat</w:t>
      </w:r>
      <w:r w:rsidRPr="00BA3B42">
        <w:t xml:space="preserve"> il-valutazzjoni tagħha fit-30 ta’ April 2026, kważi xahar qabel l-iskadenza, u </w:t>
      </w:r>
      <w:r w:rsidRPr="00BA3B42">
        <w:t>nnotifikat</w:t>
      </w:r>
      <w:r w:rsidRPr="00BA3B42">
        <w:t xml:space="preserve"> lill-Parlament dwar dan fl-istess jum; jisħaq fuq l-importanza li jitqassar iż-żmien bejn </w:t>
      </w:r>
      <w:r w:rsidRPr="00BA3B42">
        <w:t>it-tressiq</w:t>
      </w:r>
      <w:r w:rsidRPr="00BA3B42">
        <w:t xml:space="preserve"> ta’ applikazzjoni għal assistenza mill-FEG u d-deċiżjoni ta’ finanzjament, filwaqt li jiġu ssalvagwardjati bis-sħiħ id-drittijiet tal-Parlament Ewropew bħala waħda mill-fergħat tal-awtorità baġitarja;</w:t>
      </w:r>
    </w:p>
    <w:p w:rsidR="00A31771" w:rsidRPr="00BA3B42" w:rsidP="00A31771" w14:paraId="1FC0A9E9" w14:textId="77777777">
      <w:pPr>
        <w:pStyle w:val="NormalHanging12a"/>
        <w:rPr>
          <w:noProof/>
        </w:rPr>
      </w:pPr>
      <w:r w:rsidRPr="00BA3B42">
        <w:t>3.</w:t>
      </w:r>
      <w:r w:rsidRPr="00BA3B42">
        <w:tab/>
        <w:t xml:space="preserve">Jinnota li l-applikazzjoni hija relatata ma’ 803 benefiċjarji fil-mira, li ngħataw is-sensja fil-kumpanija </w:t>
      </w:r>
      <w:r w:rsidRPr="00BA3B42">
        <w:t>Soliver</w:t>
      </w:r>
      <w:r w:rsidRPr="00BA3B42">
        <w:t>;</w:t>
      </w:r>
    </w:p>
    <w:p w:rsidR="00A31771" w:rsidRPr="00BA3B42" w:rsidP="00A31771" w14:paraId="3D4317BA" w14:textId="77777777">
      <w:pPr>
        <w:pStyle w:val="NormalHanging12a"/>
      </w:pPr>
      <w:r w:rsidRPr="00BA3B42">
        <w:t>4.</w:t>
      </w:r>
      <w:r w:rsidRPr="00BA3B42">
        <w:tab/>
        <w:t xml:space="preserve">Jieħu nota li </w:t>
      </w:r>
      <w:r w:rsidRPr="00BA3B42">
        <w:t>Soliver</w:t>
      </w:r>
      <w:r w:rsidRPr="00BA3B42">
        <w:t xml:space="preserve">, kumpanija li tipproduċi prodotti tal-ħġieġ għall-kostruzzjoni u s-settur </w:t>
      </w:r>
      <w:r w:rsidRPr="00BA3B42">
        <w:t>awtomobilistiku</w:t>
      </w:r>
      <w:r w:rsidRPr="00BA3B42">
        <w:t xml:space="preserve">, bdiet tiffoka fuq ħġieġ tal-karozzi esklussivament ta’ teknoloġija avvanzata wara li ġiet akkwistata minn </w:t>
      </w:r>
      <w:r w:rsidRPr="00BA3B42">
        <w:t>American</w:t>
      </w:r>
      <w:r w:rsidRPr="00BA3B42">
        <w:t xml:space="preserve"> </w:t>
      </w:r>
      <w:r w:rsidRPr="00BA3B42">
        <w:t>Glass</w:t>
      </w:r>
      <w:r w:rsidRPr="00BA3B42">
        <w:t xml:space="preserve"> </w:t>
      </w:r>
      <w:r w:rsidRPr="00BA3B42">
        <w:t>Products</w:t>
      </w:r>
      <w:r w:rsidRPr="00BA3B42">
        <w:t xml:space="preserve"> </w:t>
      </w:r>
      <w:r w:rsidRPr="00BA3B42">
        <w:t>Holding</w:t>
      </w:r>
      <w:r w:rsidRPr="00BA3B42">
        <w:t xml:space="preserve"> (AGP) fl-2018; jinnota li l-kumpanija bdiet </w:t>
      </w:r>
      <w:r w:rsidRPr="00BA3B42">
        <w:t>tesperjenza</w:t>
      </w:r>
      <w:r w:rsidRPr="00BA3B42">
        <w:t xml:space="preserve"> diffikultajiet prinċipalment marbuta ma’ tnaqqis fir-ritmu ekonomiku fis-settur </w:t>
      </w:r>
      <w:r w:rsidRPr="00BA3B42">
        <w:t>awtomobilistiku</w:t>
      </w:r>
      <w:r w:rsidRPr="00BA3B42">
        <w:t xml:space="preserve">, li </w:t>
      </w:r>
      <w:r w:rsidRPr="00BA3B42">
        <w:t>rriżulta</w:t>
      </w:r>
      <w:r w:rsidRPr="00BA3B42">
        <w:t xml:space="preserve"> minn dewmien fil-produzzjoni tal-mudelli tal-karozzi li l-prodotti tagħha kienu maħsuba għalihom, u li fl-aħħar mill-aħħar irriżulta fi tnaqqis serju fil-profittabbiltà u liema tnaqqis wassal għall-falliment;</w:t>
      </w:r>
    </w:p>
    <w:p w:rsidR="00A31771" w:rsidRPr="00BA3B42" w:rsidP="00A31771" w14:paraId="51F20A5E" w14:textId="77777777">
      <w:pPr>
        <w:pStyle w:val="NormalHanging12a"/>
        <w:rPr>
          <w:bCs/>
          <w:iCs/>
        </w:rPr>
      </w:pPr>
      <w:r w:rsidRPr="00BA3B42">
        <w:t>5.</w:t>
      </w:r>
      <w:r w:rsidRPr="00BA3B42">
        <w:tab/>
        <w:t xml:space="preserve">Jinnota li l-industrija tal-ħġieġ hija settur </w:t>
      </w:r>
      <w:r w:rsidRPr="00BA3B42">
        <w:t>intensiv</w:t>
      </w:r>
      <w:r w:rsidRPr="00BA3B42">
        <w:t xml:space="preserve"> fl-enerġija u ġiet affettwata b’mod sever minn prezzijiet tal-enerġija persistentement għoljin, li </w:t>
      </w:r>
      <w:r w:rsidRPr="00BA3B42">
        <w:t>dgħajfu</w:t>
      </w:r>
      <w:r w:rsidRPr="00BA3B42">
        <w:t xml:space="preserve"> b’mod sinifikanti l-kompetittività tagħha; jisħaq li l-kisba ta’ prezzijiet tal-enerġija kompetittivi fit-tul teħtieġ żieda sostanzjali fil-provvista tal-enerġija affidabbli u affordabbli, inkluż permezz tad-diversifikazzjoni tas-sorsi tal-enerġija u r-rotot tal-provvista, l-iżvilupp tal-produzzjoni tal-enerġija domestika, u t-tlestija sħiħa tal-Unjoni tal-Enerġija;</w:t>
      </w:r>
    </w:p>
    <w:p w:rsidR="00A31771" w:rsidRPr="00BA3B42" w:rsidP="00A31771" w14:paraId="4D84A325" w14:textId="77777777">
      <w:pPr>
        <w:pStyle w:val="NormalHanging12a"/>
        <w:rPr>
          <w:bCs/>
          <w:iCs/>
        </w:rPr>
      </w:pPr>
      <w:r w:rsidRPr="00BA3B42">
        <w:t>6.</w:t>
      </w:r>
      <w:r w:rsidRPr="00BA3B42">
        <w:tab/>
        <w:t>Jinnota li, filwaqt li l-ħaddiema b’ħiliet tekniċi, jew dawk li lesti li jitħarrġu mill-ġdid, għandhom l-aktar opportunitajiet ta’ impjieg favorevoli, minħabba n-nuqqas ta’ professjonisti tekniċi, li jirriżulta mill-fatt li hemm anqas żgħażagħ li qegħdin jidħlu għat-taħriġ vokazzjonali u li l-forza tax-xogħol qed tixjieħ. jenfasizza li r-</w:t>
      </w:r>
      <w:r w:rsidRPr="00BA3B42">
        <w:t>riintegrazzjoni</w:t>
      </w:r>
      <w:r w:rsidRPr="00BA3B42">
        <w:t xml:space="preserve"> tal-ħaddiema </w:t>
      </w:r>
      <w:r w:rsidRPr="00BA3B42">
        <w:t>ssensjati</w:t>
      </w:r>
      <w:r w:rsidRPr="00BA3B42">
        <w:t xml:space="preserve"> u l-iżgurar tal-aċċess ugwali għal opportunitajiet ta’ taħriġ ta’ kwalità għolja huma kruċjali għal ekonomija Ewropea valida għall-futur b’bażi industrijali b’saħħitha; jissottolinja l-importanza li tissaħħaħ il-kompetittività industrijali tal-Unjoni f’dan il-kuntest;</w:t>
      </w:r>
    </w:p>
    <w:p w:rsidR="00A31771" w:rsidRPr="00BA3B42" w:rsidP="00A31771" w14:paraId="7473AAF7" w14:textId="77777777">
      <w:pPr>
        <w:pStyle w:val="NormalHanging12a"/>
        <w:rPr>
          <w:noProof/>
        </w:rPr>
      </w:pPr>
      <w:r w:rsidRPr="00BA3B42">
        <w:t>7.</w:t>
      </w:r>
      <w:r w:rsidRPr="00BA3B42">
        <w:tab/>
        <w:t>Jiddispjaċih li ż-żieda fil-fallimenti matul dawn l-aħħar ftit snin kellha impatt negattiv fuq ir-rata ta’ impjieg f’xi reġjuni fil-Belġju, b’mod partikolari fir-reġjun ta’ Flanders; jenfasizza li, fi Flanders, il-ħaddiema akbar fl-età li jingħataw is-sensja jiffaċċjaw ostakli akbar biex jerġgħu jidħlu fis-suq tax-xogħol; jistieden lill-awtoritajiet Belġjani jipprovdu appoġġ speċifiku mfassal apposta biex jgħin lill-ħaddiema jkomplu jiżviluppaw il-ħiliet meħtieġa biex isibu impjiegi ta’ kwalità ġodda, filwaqt li jieħdu miżuri biex inaqqsu l-fallimenti u jindirizzaw id-disparitajiet soċjali li jwasslu għall-esklużjoni tal-forza tax-xogħol;</w:t>
      </w:r>
    </w:p>
    <w:p w:rsidR="00A31771" w:rsidRPr="00BA3B42" w:rsidP="00A31771" w14:paraId="1472AE7C" w14:textId="77777777">
      <w:pPr>
        <w:pStyle w:val="NormalHanging12a"/>
      </w:pPr>
      <w:r w:rsidRPr="00BA3B42">
        <w:t>8.</w:t>
      </w:r>
      <w:r w:rsidRPr="00BA3B42">
        <w:tab/>
        <w:t xml:space="preserve">Ifakkar li, bi qbil mal-esperti u mas-sħab soċjali, is-servizzi personalizzati li se jiġu </w:t>
      </w:r>
      <w:r w:rsidRPr="00BA3B42">
        <w:t xml:space="preserve">pprovduti lill-ħaddiema jikkonsistu fil-miżuri li ġejjin: task force ta’ konsulenti b’esperjenza u maniġers tal-kontijiet, li tipprovdi servizzi ta’ konsulenza personalizzati; servizzi ta’ </w:t>
      </w:r>
      <w:r w:rsidRPr="00BA3B42">
        <w:t>rikollokament</w:t>
      </w:r>
      <w:r w:rsidRPr="00BA3B42">
        <w:t xml:space="preserve"> li jipprovdu gwida individwali; għajnuna biex jinstab impjieg: assistenza </w:t>
      </w:r>
      <w:r w:rsidRPr="00BA3B42">
        <w:t>rinforzata</w:t>
      </w:r>
      <w:r w:rsidRPr="00BA3B42">
        <w:t xml:space="preserve"> għat-tiftix ta’ impjieg: taħriġ u taħriġ mill-ġdid, inkluż taħriġ fuq il-post tax-xogħol; parteċipazzjoni f’fieri tal-impjiegi; jenfasizza l-importanza li jitrawmu impjiegi ta’ kwalità għolja u orjentati lejn il-futur biex tissaħħaħ il-kompetittività u tiġi appoġġjata t-trasformazzjoni diġitali;</w:t>
      </w:r>
    </w:p>
    <w:p w:rsidR="00A31771" w:rsidRPr="00BA3B42" w:rsidP="00A31771" w14:paraId="0E9C7C21" w14:textId="77777777">
      <w:pPr>
        <w:pStyle w:val="NormalHanging12a"/>
      </w:pPr>
      <w:r w:rsidRPr="00BA3B42">
        <w:t>9.</w:t>
      </w:r>
      <w:r w:rsidRPr="00BA3B42">
        <w:tab/>
        <w:t xml:space="preserve">Ifakkar li l-FEG huwa strument ta’ solidarjetà u tranżizzjoni ġusta u, filwaqt li jipprovdi appoġġ wara t-telf ta’ impjiegi, ma jistax jissostitwixxi politika industrijali </w:t>
      </w:r>
      <w:r w:rsidRPr="00BA3B42">
        <w:t>proattiva</w:t>
      </w:r>
      <w:r w:rsidRPr="00BA3B42">
        <w:t>; iqis li l-</w:t>
      </w:r>
      <w:r w:rsidRPr="00BA3B42">
        <w:t>mobilizzazzjoni</w:t>
      </w:r>
      <w:r w:rsidRPr="00BA3B42">
        <w:t xml:space="preserve"> tal-FEG jeħtieġ li tiġi inkorporata f’rispons ta’ politika akbar fil-livelli politiċi kollha biex jiġi żgurat li l-ħaddiema affettwati jsibu opportunitajiet adegwati f’konformità mal-kwalifiki u l-ħiliet tagħhom; jisħaq li l-kompitu primarju tal-Unjoni jrid ikun li l-ewwel nett tipprevjeni tali għeluq, billi toħloq il-kundizzjonijiet biex il-produzzjoni industrijali tinżamm kompetittiva u s-sistemi tas-sigurtà soċjali jkunu finanzjarjament sostenibbli, waqt li fl-istess ħin tinvesti fil-ħiliet kemm għall-ħaddiema bi kwalifiki għoljin kif ukoll għall-ħaddiema industrijali; jissottolinja l-ħtieġa li jingħata appoġġ speċifiku mfassal apposta </w:t>
      </w:r>
      <w:r w:rsidRPr="00BA3B42">
        <w:t>għall-profili</w:t>
      </w:r>
      <w:r w:rsidRPr="00BA3B42">
        <w:t xml:space="preserve"> tal-ħaddiema, filwaqt li jittieħdu miżuri biex jitnaqqsu l-fallimenti u jiġu indirizzati d-disparitajiet soċjali li jwasslu għall-esklużjoni mill-forza tax-xogħol; jissottolinja li t-tnaqqis ta’ piżijiet regolatorji u amministrattivi mhux meħtieġa huwa essenzjali biex tiġi appoġġjata l-kompetittività industrijali, jiġi attirat l-investiment u jiġu ppreservati impjiegi ta’ kwalità fl-Unjoni;</w:t>
      </w:r>
    </w:p>
    <w:p w:rsidR="00A31771" w:rsidRPr="00BA3B42" w:rsidP="00A31771" w14:paraId="13499596" w14:textId="77777777">
      <w:pPr>
        <w:pStyle w:val="NormalHanging12a"/>
        <w:rPr>
          <w:bCs/>
          <w:iCs/>
        </w:rPr>
      </w:pPr>
      <w:r w:rsidRPr="00BA3B42">
        <w:t>10.</w:t>
      </w:r>
      <w:r w:rsidRPr="00BA3B42">
        <w:tab/>
        <w:t>Jisħaq li l-awtoritajiet Belġjani għandhom jiżguraw il-viżibbiltà tal-finanzjament tal-Unjoni u jenfasizzaw il-valur miżjud tiegħu billi jipprovdu informazzjoni effettiva u mmirata lill-benefiċjarji, lill-awtoritajiet reġjonali u lokali, lis-sħab soċjali, u lill-pubbliku ġenerali;</w:t>
      </w:r>
    </w:p>
    <w:p w:rsidR="00A31771" w:rsidRPr="00BA3B42" w:rsidP="00A31771" w14:paraId="08FC5DBC" w14:textId="77777777">
      <w:pPr>
        <w:pStyle w:val="NormalHanging12a"/>
      </w:pPr>
      <w:r w:rsidRPr="00BA3B42">
        <w:t>11.</w:t>
      </w:r>
      <w:r w:rsidRPr="00BA3B42">
        <w:tab/>
        <w:t>Jistieden lill-Kummissjoni tiżgura viżibbiltà ugwali tal-istrument madwar l-Istati Membri u tippromwovi l-valur miżjud tiegħu billi xxerred informazzjoni mmirata lill-awtoritajiet nazzjonali, li għandhom ikomplu jgħaddu tali informazzjoni lill-kumpaniji affettwati mis-sensji, lill-awtoritajiet reġjonali u lokali, lis-sħab soċjali, u lill-pubbliku ġenerali;</w:t>
      </w:r>
    </w:p>
    <w:p w:rsidR="00A31771" w:rsidRPr="00BA3B42" w:rsidP="00A31771" w14:paraId="54A4984A" w14:textId="77777777">
      <w:pPr>
        <w:pStyle w:val="NormalHanging12a"/>
        <w:rPr>
          <w:bCs/>
          <w:iCs/>
        </w:rPr>
      </w:pPr>
      <w:r w:rsidRPr="00BA3B42">
        <w:t>12.</w:t>
      </w:r>
      <w:r w:rsidRPr="00BA3B42">
        <w:tab/>
        <w:t xml:space="preserve">Jitlob li jsiru evalwazzjonijiet finali bir-reqqa, flimkien mas-sħab soċjali, tal-miżuri implimentati, inkluża informazzjoni ċara u trasparenti dwar il-mod kif intużaw il-fondi, </w:t>
      </w:r>
      <w:r w:rsidRPr="00BA3B42">
        <w:t>ir-riintegrazzjoni</w:t>
      </w:r>
      <w:r w:rsidRPr="00BA3B42">
        <w:t xml:space="preserve"> tal-ħaddiema fis-suq tax-xogħol u jekk intlaħqux l-objettivi tal-FEG; jenfasizza, f’dan il-kuntest, l-importanza ta’ monitoraġġ regolari tal-miżuri ffinanzjati mill-FEG sabiex tiġi vvalutata l-effettività tagħhom;</w:t>
      </w:r>
    </w:p>
    <w:p w:rsidR="00A31771" w:rsidRPr="00BA3B42" w:rsidP="00A31771" w14:paraId="4973220E" w14:textId="77777777">
      <w:pPr>
        <w:pStyle w:val="NormalHanging12a"/>
      </w:pPr>
      <w:r w:rsidRPr="00BA3B42">
        <w:t>13.</w:t>
      </w:r>
      <w:r w:rsidRPr="00BA3B42">
        <w:tab/>
        <w:t>Jinnota li l-Belġju beda jipprovdi servizzi personalizzati lill-benefiċjarji fil-mira kif ukoll beda jġarrab nefqa amministrattiva biex jimplimenta l-FEG fil-11 ta’ Ġunju 2025, u li l-perjodu ta’ eliġibbiltà għal kontribuzzjoni finanzjarja mill-FEG se jkun għalhekk minn dik id-data sa, rispettivament, 24 xahar u 31 xahar wara d-data tad-dħul fis-seħħ tad-deċiżjoni ta’ finanzjament;</w:t>
      </w:r>
    </w:p>
    <w:p w:rsidR="00A31771" w:rsidRPr="00BA3B42" w:rsidP="00A31771" w14:paraId="60EE3E63" w14:textId="77777777">
      <w:pPr>
        <w:pStyle w:val="NormalHanging12a"/>
      </w:pPr>
      <w:r w:rsidRPr="00BA3B42">
        <w:t>14.</w:t>
      </w:r>
      <w:r w:rsidRPr="00BA3B42">
        <w:tab/>
        <w:t>Jinnota li l-awtoritajiet Belġjani pprovdew aċċertament li l-prinċipji ta’ trattament ugwali u ta’ nondiskriminazzjoni se jiġu rispettati fl-aċċess għall-azzjonijiet proposti u fl-implimentazzjoni tagħhom, u li kwalunkwe finanzjament doppju se jiġi evitat;</w:t>
      </w:r>
    </w:p>
    <w:p w:rsidR="00A31771" w:rsidRPr="00BA3B42" w:rsidP="00A31771" w14:paraId="2EDC4ADC" w14:textId="77777777">
      <w:pPr>
        <w:pStyle w:val="NormalHanging12a"/>
      </w:pPr>
      <w:r w:rsidRPr="00BA3B42">
        <w:t>15.</w:t>
      </w:r>
      <w:r w:rsidRPr="00BA3B42">
        <w:tab/>
        <w:t xml:space="preserve">Itenni li l-għajnuna mill-FEG ma tridx tissostitwixxi azzjonijiet li huma r-responsabbiltà </w:t>
      </w:r>
      <w:r w:rsidRPr="00BA3B42">
        <w:t>tal-awtoritajiet pubbliċi jew tal-kumpaniji fl-ambitu tal-liġi nazzjonali jew ta’ ftehimiet kollettivi; ifakkar li l-FEG huwa mekkaniżmu limitat, immirat u komplementari;</w:t>
      </w:r>
    </w:p>
    <w:p w:rsidR="00A31771" w:rsidRPr="00BA3B42" w:rsidP="00A31771" w14:paraId="5430AD2B" w14:textId="77777777">
      <w:pPr>
        <w:pStyle w:val="NormalHanging12a"/>
      </w:pPr>
      <w:r w:rsidRPr="00BA3B42">
        <w:t>16.</w:t>
      </w:r>
      <w:r w:rsidRPr="00BA3B42">
        <w:tab/>
        <w:t>Japprova d-deċiżjoni annessa ma’ din ir-riżoluzzjoni;</w:t>
      </w:r>
    </w:p>
    <w:p w:rsidR="00A31771" w:rsidRPr="00BA3B42" w:rsidP="00A31771" w14:paraId="6A701CE4" w14:textId="77777777">
      <w:pPr>
        <w:pStyle w:val="NormalHanging12a"/>
      </w:pPr>
      <w:r w:rsidRPr="00BA3B42">
        <w:t>17.</w:t>
      </w:r>
      <w:r w:rsidRPr="00BA3B42">
        <w:tab/>
        <w:t>Jagħti istruzzjonijiet lill-President tiegħu biex tiffirma din id-deċiżjoni flimkien mal-President tal-Kunsill u biex tiżgura li tiġi ppubblikata f’</w:t>
      </w:r>
      <w:r w:rsidRPr="00BA3B42">
        <w:rPr>
          <w:i/>
        </w:rPr>
        <w:t>Il-Ġurnal Uffiċjali tal-Unjoni Ewropea</w:t>
      </w:r>
      <w:r w:rsidRPr="00BA3B42">
        <w:t>;</w:t>
      </w:r>
    </w:p>
    <w:p w:rsidR="00A31771" w:rsidRPr="00BA3B42" w:rsidP="00A31771" w14:paraId="6A114199" w14:textId="77777777">
      <w:pPr>
        <w:pStyle w:val="NormalHanging12a"/>
      </w:pPr>
      <w:r w:rsidRPr="00BA3B42">
        <w:t>18.</w:t>
      </w:r>
      <w:r w:rsidRPr="00BA3B42">
        <w:tab/>
        <w:t>Jagħti istruzzjonijiet lill-President tiegħu biex tgħaddi din ir-riżoluzzjoni, flimkien mal-anness tagħha, lill-Kunsill u lill-Kummissjoni.</w:t>
      </w:r>
    </w:p>
    <w:p w:rsidR="00A31771" w:rsidRPr="00BA3B42" w:rsidP="00A31771" w14:paraId="330E8491" w14:textId="77777777">
      <w:pPr>
        <w:pStyle w:val="NormalHanging12a"/>
      </w:pPr>
    </w:p>
    <w:p w:rsidR="00A31771" w:rsidRPr="00BA3B42" w:rsidP="00A31771" w14:paraId="4F007D6D" w14:textId="77777777">
      <w:pPr>
        <w:rPr>
          <w:noProof/>
        </w:rPr>
      </w:pPr>
    </w:p>
    <w:p w:rsidR="00A31771" w:rsidRPr="00BA3B42" w:rsidP="00A31771" w14:paraId="60D894C3" w14:textId="77777777">
      <w:pPr>
        <w:pStyle w:val="PageHeading"/>
        <w:rPr>
          <w:noProof/>
        </w:rPr>
        <w:sectPr w:rsidSect="00BA3B42">
          <w:footerReference w:type="even" r:id="rId7"/>
          <w:footerReference w:type="default" r:id="rId8"/>
          <w:footerReference w:type="first" r:id="rId9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80E7F" w:rsidRPr="00680E7F" w:rsidP="00680E7F" w14:paraId="55821D30" w14:textId="77777777">
      <w:pPr>
        <w:pStyle w:val="PageHeading"/>
        <w:rPr>
          <w:rFonts w:ascii="Times New Roman" w:hAnsi="Times New Roman" w:cs="Times New Roman"/>
        </w:rPr>
      </w:pPr>
      <w:bookmarkStart w:id="7" w:name="_Hlk228802707"/>
      <w:bookmarkStart w:id="8" w:name="_Toc232085057"/>
      <w:bookmarkEnd w:id="7"/>
      <w:r w:rsidRPr="00680E7F">
        <w:rPr>
          <w:rFonts w:ascii="Times New Roman" w:hAnsi="Times New Roman" w:cs="Times New Roman"/>
        </w:rPr>
        <w:t>ANNES</w:t>
      </w:r>
      <w:r w:rsidRPr="00680E7F">
        <w:rPr>
          <w:rFonts w:ascii="Times New Roman" w:hAnsi="Times New Roman" w:cs="Times New Roman"/>
        </w:rPr>
        <w:t>S</w:t>
      </w:r>
    </w:p>
    <w:p w:rsidR="00A31771" w:rsidRPr="00680E7F" w:rsidP="00680E7F" w14:paraId="6FCFF8B2" w14:textId="3B9EC897">
      <w:pPr>
        <w:pStyle w:val="PageHeading"/>
        <w:rPr>
          <w:rFonts w:ascii="Times New Roman" w:hAnsi="Times New Roman" w:cs="Times New Roman"/>
          <w:noProof/>
        </w:rPr>
      </w:pPr>
      <w:r w:rsidRPr="00680E7F">
        <w:rPr>
          <w:rFonts w:ascii="Times New Roman" w:hAnsi="Times New Roman" w:cs="Times New Roman"/>
        </w:rPr>
        <w:t>DEĊIŻJONI TAL-PARLAMENT EWROPEW U TAL-KUNSILL</w:t>
      </w:r>
      <w:bookmarkEnd w:id="8"/>
    </w:p>
    <w:p w:rsidR="00A31771" w:rsidRPr="00680E7F" w:rsidP="00680E7F" w14:paraId="1884A82C" w14:textId="77777777">
      <w:pPr>
        <w:pStyle w:val="Institutionquisigne"/>
        <w:spacing w:before="100" w:beforeAutospacing="1" w:after="100" w:afterAutospacing="1"/>
        <w:jc w:val="center"/>
        <w:rPr>
          <w:b/>
          <w:i w:val="0"/>
        </w:rPr>
      </w:pPr>
      <w:r w:rsidRPr="00680E7F">
        <w:rPr>
          <w:b/>
          <w:i w:val="0"/>
        </w:rPr>
        <w:t>dwar il-mobilizzazzjoni tal-Fond Ewropew ta' Aġġustament għall-Globalizzazzjoni għall-Ħaddiema Ssensjati wara applikazzjoni mill-Belġju - EGF/2025/009 BE/</w:t>
      </w:r>
      <w:r w:rsidRPr="00680E7F">
        <w:rPr>
          <w:b/>
          <w:i w:val="0"/>
        </w:rPr>
        <w:t>Soliver</w:t>
      </w:r>
    </w:p>
    <w:p w:rsidR="00E365E1" w:rsidRPr="00BA3B42" w:rsidP="00680E7F" w14:paraId="3595A1CE" w14:textId="6E96ECC6">
      <w:r w:rsidRPr="00680E7F">
        <w:rPr>
          <w:i/>
          <w:lang w:val="sv-SE" w:eastAsia="de-DE"/>
        </w:rPr>
        <w:t xml:space="preserve">(It-test ta' </w:t>
      </w:r>
      <w:r w:rsidRPr="00680E7F">
        <w:rPr>
          <w:i/>
          <w:lang w:val="sv-SE" w:eastAsia="de-DE"/>
        </w:rPr>
        <w:t>dan</w:t>
      </w:r>
      <w:r w:rsidRPr="00680E7F">
        <w:rPr>
          <w:i/>
          <w:lang w:val="sv-SE" w:eastAsia="de-DE"/>
        </w:rPr>
        <w:t xml:space="preserve"> l-</w:t>
      </w:r>
      <w:r w:rsidRPr="00680E7F">
        <w:rPr>
          <w:i/>
          <w:lang w:val="sv-SE" w:eastAsia="de-DE"/>
        </w:rPr>
        <w:t>anness</w:t>
      </w:r>
      <w:r w:rsidRPr="00680E7F">
        <w:rPr>
          <w:i/>
          <w:lang w:val="sv-SE" w:eastAsia="de-DE"/>
        </w:rPr>
        <w:t xml:space="preserve"> </w:t>
      </w:r>
      <w:r w:rsidRPr="00680E7F">
        <w:rPr>
          <w:i/>
          <w:lang w:val="sv-SE" w:eastAsia="de-DE"/>
        </w:rPr>
        <w:t>mhux</w:t>
      </w:r>
      <w:r w:rsidRPr="00680E7F">
        <w:rPr>
          <w:i/>
          <w:lang w:val="sv-SE" w:eastAsia="de-DE"/>
        </w:rPr>
        <w:t xml:space="preserve"> </w:t>
      </w:r>
      <w:r w:rsidRPr="00680E7F">
        <w:rPr>
          <w:i/>
          <w:lang w:val="sv-SE" w:eastAsia="de-DE"/>
        </w:rPr>
        <w:t>riprodott</w:t>
      </w:r>
      <w:r w:rsidRPr="00680E7F">
        <w:rPr>
          <w:i/>
          <w:lang w:val="sv-SE" w:eastAsia="de-DE"/>
        </w:rPr>
        <w:t xml:space="preserve"> </w:t>
      </w:r>
      <w:r w:rsidRPr="00680E7F">
        <w:rPr>
          <w:i/>
          <w:lang w:val="sv-SE" w:eastAsia="de-DE"/>
        </w:rPr>
        <w:t>hawnhekk</w:t>
      </w:r>
      <w:r w:rsidRPr="00680E7F">
        <w:rPr>
          <w:i/>
          <w:lang w:val="sv-SE" w:eastAsia="de-DE"/>
        </w:rPr>
        <w:t xml:space="preserve"> </w:t>
      </w:r>
      <w:r w:rsidRPr="00680E7F">
        <w:rPr>
          <w:i/>
          <w:lang w:val="sv-SE" w:eastAsia="de-DE"/>
        </w:rPr>
        <w:t>billi</w:t>
      </w:r>
      <w:r w:rsidRPr="00680E7F">
        <w:rPr>
          <w:i/>
          <w:lang w:val="sv-SE" w:eastAsia="de-DE"/>
        </w:rPr>
        <w:t xml:space="preserve"> </w:t>
      </w:r>
      <w:r w:rsidRPr="00680E7F">
        <w:rPr>
          <w:i/>
          <w:lang w:val="sv-SE" w:eastAsia="de-DE"/>
        </w:rPr>
        <w:t>jikkorrispondi</w:t>
      </w:r>
      <w:r w:rsidRPr="00680E7F">
        <w:rPr>
          <w:i/>
          <w:lang w:val="sv-SE" w:eastAsia="de-DE"/>
        </w:rPr>
        <w:t xml:space="preserve"> mal-att </w:t>
      </w:r>
      <w:r w:rsidRPr="00680E7F">
        <w:rPr>
          <w:i/>
          <w:lang w:val="sv-SE" w:eastAsia="de-DE"/>
        </w:rPr>
        <w:t>finali</w:t>
      </w:r>
      <w:r w:rsidRPr="00680E7F">
        <w:rPr>
          <w:i/>
          <w:lang w:val="sv-SE" w:eastAsia="de-DE"/>
        </w:rPr>
        <w:t xml:space="preserve">, </w:t>
      </w:r>
      <w:r w:rsidRPr="00680E7F">
        <w:rPr>
          <w:i/>
          <w:lang w:val="sv-SE" w:eastAsia="de-DE"/>
        </w:rPr>
        <w:t>Deċiżjoni</w:t>
      </w:r>
      <w:r w:rsidRPr="00680E7F">
        <w:rPr>
          <w:i/>
          <w:lang w:val="sv-SE" w:eastAsia="de-DE"/>
        </w:rPr>
        <w:t xml:space="preserve"> </w:t>
      </w:r>
      <w:r w:rsidRPr="00680E7F">
        <w:rPr>
          <w:i/>
          <w:lang w:val="sv-SE" w:eastAsia="de-DE"/>
        </w:rPr>
        <w:t xml:space="preserve">(UE) </w:t>
      </w:r>
      <w:r w:rsidRPr="00680E7F">
        <w:rPr>
          <w:i/>
          <w:lang w:val="sv-SE" w:eastAsia="de-DE"/>
        </w:rPr>
        <w:t>20</w:t>
      </w:r>
      <w:r w:rsidRPr="00680E7F">
        <w:rPr>
          <w:i/>
          <w:lang w:val="sv-SE" w:eastAsia="de-DE"/>
        </w:rPr>
        <w:t>26</w:t>
      </w:r>
      <w:r w:rsidRPr="00680E7F">
        <w:rPr>
          <w:i/>
          <w:lang w:val="sv-SE" w:eastAsia="de-DE"/>
        </w:rPr>
        <w:t>/</w:t>
      </w:r>
      <w:r w:rsidRPr="00680E7F">
        <w:rPr>
          <w:i/>
          <w:lang w:val="sv-SE" w:eastAsia="de-DE"/>
        </w:rPr>
        <w:t>1543</w:t>
      </w:r>
      <w:r w:rsidRPr="00680E7F">
        <w:rPr>
          <w:i/>
          <w:lang w:val="sv-SE" w:eastAsia="de-DE"/>
        </w:rPr>
        <w:t>.)</w:t>
      </w:r>
    </w:p>
    <w:sectPr w:rsidSect="00BA3B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1771" w:rsidRPr="00BA3B42" w:rsidP="00DD4682" w14:paraId="520C6F40" w14:textId="77777777">
    <w:pPr>
      <w:pStyle w:val="EPFooter"/>
    </w:pPr>
    <w:r w:rsidRPr="00BA3B42">
      <w:t>PE</w:t>
    </w:r>
    <w:r w:rsidRPr="00BA3B42">
      <w:rPr>
        <w:rStyle w:val="HideTWBExt"/>
      </w:rPr>
      <w:t>&lt;NoPE&gt;</w:t>
    </w:r>
    <w:r w:rsidRPr="00BA3B42">
      <w:t>787.923</w:t>
    </w:r>
    <w:r w:rsidRPr="00BA3B42">
      <w:rPr>
        <w:rStyle w:val="HideTWBExt"/>
      </w:rPr>
      <w:t>&lt;/NoPE&gt;&lt;Version&gt;</w:t>
    </w:r>
    <w:r w:rsidRPr="00BA3B42">
      <w:t>v01-00</w:t>
    </w:r>
    <w:r w:rsidRPr="00BA3B42">
      <w:rPr>
        <w:rStyle w:val="HideTWBExt"/>
      </w:rPr>
      <w:t>&lt;/Version&gt;</w:t>
    </w:r>
    <w:r w:rsidRPr="00BA3B42">
      <w:tab/>
    </w:r>
    <w:r w:rsidRPr="00BA3B42">
      <w:fldChar w:fldCharType="begin"/>
    </w:r>
    <w:r w:rsidRPr="00BA3B42">
      <w:instrText xml:space="preserve"> PAGE  \* MERGEFORMAT </w:instrText>
    </w:r>
    <w:r w:rsidRPr="00BA3B42">
      <w:fldChar w:fldCharType="separate"/>
    </w:r>
    <w:r w:rsidRPr="00BA3B42">
      <w:rPr>
        <w:noProof/>
      </w:rPr>
      <w:t>20</w:t>
    </w:r>
    <w:r w:rsidRPr="00BA3B42">
      <w:fldChar w:fldCharType="end"/>
    </w:r>
    <w:r w:rsidRPr="00BA3B42"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BA3B42">
      <w:rPr>
        <w:noProof/>
      </w:rPr>
      <w:t>22</w:t>
    </w:r>
    <w:r w:rsidRPr="00BA3B42">
      <w:rPr>
        <w:noProof/>
      </w:rPr>
      <w:fldChar w:fldCharType="end"/>
    </w:r>
    <w:r w:rsidRPr="00BA3B42">
      <w:tab/>
    </w:r>
    <w:r w:rsidRPr="00BA3B42">
      <w:rPr>
        <w:rStyle w:val="HideTWBExt"/>
      </w:rPr>
      <w:t>&lt;PathFdR&gt;</w:t>
    </w:r>
    <w:r w:rsidRPr="00BA3B42">
      <w:t>RR\1345097MT.docx</w:t>
    </w:r>
    <w:r w:rsidRPr="00BA3B42">
      <w:rPr>
        <w:rStyle w:val="HideTWBExt"/>
      </w:rPr>
      <w:t>&lt;/PathFdR&gt;</w:t>
    </w:r>
  </w:p>
  <w:p w:rsidR="00A31771" w:rsidRPr="00BA3B42" w:rsidP="00DD4682" w14:paraId="4214C091" w14:textId="77777777">
    <w:pPr>
      <w:pStyle w:val="EPFooter2"/>
    </w:pPr>
    <w:r w:rsidRPr="00BA3B42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1771" w:rsidRPr="00652480" w:rsidP="002500F9" w14:paraId="71B94E84" w14:textId="073483E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31771" w:rsidRPr="00BA3B42" w:rsidP="00DD4682" w14:paraId="20C97CC8" w14:textId="77777777">
    <w:pPr>
      <w:pStyle w:val="EPFooter"/>
    </w:pPr>
    <w:r w:rsidRPr="00BA3B42">
      <w:rPr>
        <w:rStyle w:val="HideTWBExt"/>
      </w:rPr>
      <w:t>&lt;PathFdR&gt;</w:t>
    </w:r>
    <w:r w:rsidRPr="00BA3B42">
      <w:t>RR\1345097MT.docx</w:t>
    </w:r>
    <w:r w:rsidRPr="00BA3B42">
      <w:rPr>
        <w:rStyle w:val="HideTWBExt"/>
      </w:rPr>
      <w:t>&lt;/PathFdR&gt;</w:t>
    </w:r>
    <w:r w:rsidRPr="00BA3B42">
      <w:tab/>
    </w:r>
    <w:r w:rsidRPr="00BA3B42">
      <w:tab/>
      <w:t>PE</w:t>
    </w:r>
    <w:r w:rsidRPr="00BA3B42">
      <w:rPr>
        <w:rStyle w:val="HideTWBExt"/>
      </w:rPr>
      <w:t>&lt;NoPE&gt;</w:t>
    </w:r>
    <w:r w:rsidRPr="00BA3B42">
      <w:t>787.923</w:t>
    </w:r>
    <w:r w:rsidRPr="00BA3B42">
      <w:rPr>
        <w:rStyle w:val="HideTWBExt"/>
      </w:rPr>
      <w:t>&lt;/NoPE&gt;&lt;Version&gt;</w:t>
    </w:r>
    <w:r w:rsidRPr="00BA3B42">
      <w:t>v01-00</w:t>
    </w:r>
    <w:r w:rsidRPr="00BA3B42">
      <w:rPr>
        <w:rStyle w:val="HideTWBExt"/>
      </w:rPr>
      <w:t>&lt;/Version&gt;</w:t>
    </w:r>
  </w:p>
  <w:p w:rsidR="00A31771" w:rsidRPr="00BA3B42" w:rsidP="00DD4682" w14:paraId="6CC4B848" w14:textId="77777777">
    <w:pPr>
      <w:pStyle w:val="EPFooter2"/>
    </w:pPr>
    <w:r w:rsidRPr="00BA3B42">
      <w:t>MT</w:t>
    </w:r>
    <w:r w:rsidRPr="00BA3B42">
      <w:tab/>
    </w:r>
    <w:r w:rsidRPr="00BA3B42">
      <w:rPr>
        <w:b w:val="0"/>
        <w:i/>
        <w:color w:val="C0C0C0"/>
        <w:sz w:val="22"/>
      </w:rPr>
      <w:t xml:space="preserve">Magħquda </w:t>
    </w:r>
    <w:r w:rsidRPr="00BA3B42">
      <w:rPr>
        <w:b w:val="0"/>
        <w:i/>
        <w:color w:val="C0C0C0"/>
        <w:sz w:val="22"/>
      </w:rPr>
      <w:t>fid-diversità</w:t>
    </w:r>
    <w:r w:rsidRPr="00BA3B42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3B42" w14:paraId="20FE061F" w14:textId="7777777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3B42" w14:paraId="6FFF2B7A" w14:textId="77777777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3B42" w14:paraId="0C732BF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E55A7" w:rsidRPr="00BA3B42" w14:paraId="3568394A" w14:textId="77777777">
      <w:r w:rsidRPr="00BA3B42">
        <w:separator/>
      </w:r>
    </w:p>
  </w:footnote>
  <w:footnote w:type="continuationSeparator" w:id="1">
    <w:p w:rsidR="00AE55A7" w:rsidRPr="00BA3B42" w14:paraId="67958530" w14:textId="77777777">
      <w:r w:rsidRPr="00BA3B42">
        <w:continuationSeparator/>
      </w:r>
    </w:p>
  </w:footnote>
  <w:footnote w:id="2">
    <w:p w:rsidR="00A31771" w:rsidRPr="00BA3B42" w:rsidP="00BA3B42" w14:paraId="32B4E8A2" w14:textId="3AA64B30">
      <w:pPr>
        <w:pStyle w:val="FootnoteText"/>
        <w:ind w:left="567" w:hanging="567"/>
        <w:rPr>
          <w:sz w:val="24"/>
          <w:lang w:val="mt-MT"/>
        </w:rPr>
      </w:pPr>
      <w:r w:rsidRPr="00BA3B42">
        <w:rPr>
          <w:rStyle w:val="FootnoteReference"/>
          <w:sz w:val="24"/>
          <w:lang w:val="mt-MT"/>
        </w:rPr>
        <w:footnoteRef/>
      </w:r>
      <w:r w:rsidRPr="00BA3B42" w:rsidR="00BA3B42">
        <w:rPr>
          <w:sz w:val="24"/>
          <w:lang w:val="mt-MT"/>
        </w:rPr>
        <w:t xml:space="preserve"> </w:t>
      </w:r>
      <w:r w:rsidRPr="00BA3B42" w:rsidR="00BA3B42">
        <w:rPr>
          <w:sz w:val="24"/>
          <w:lang w:val="mt-MT"/>
        </w:rPr>
        <w:tab/>
      </w:r>
      <w:r w:rsidRPr="00BA3B42">
        <w:rPr>
          <w:sz w:val="24"/>
          <w:lang w:val="mt-MT"/>
        </w:rPr>
        <w:t xml:space="preserve">ĠU L 153, 3.5.2021, p. 48, ELI: </w:t>
      </w:r>
      <w:hyperlink r:id="rId1" w:history="1">
        <w:r w:rsidRPr="00BA3B42">
          <w:rPr>
            <w:rStyle w:val="Hyperlink"/>
            <w:sz w:val="24"/>
            <w:lang w:val="mt-MT"/>
          </w:rPr>
          <w:t>http://data.europa.eu/eli/reg/2021/691/oj</w:t>
        </w:r>
      </w:hyperlink>
      <w:r w:rsidRPr="00BA3B42">
        <w:rPr>
          <w:sz w:val="24"/>
          <w:lang w:val="mt-MT"/>
        </w:rPr>
        <w:t>.</w:t>
      </w:r>
    </w:p>
  </w:footnote>
  <w:footnote w:id="3">
    <w:p w:rsidR="00A31771" w:rsidRPr="00BA3B42" w:rsidP="00BA3B42" w14:paraId="614D6A30" w14:textId="30E8E35D">
      <w:pPr>
        <w:pStyle w:val="FootnoteText"/>
        <w:ind w:left="567" w:hanging="567"/>
        <w:rPr>
          <w:sz w:val="24"/>
          <w:lang w:val="mt-MT"/>
        </w:rPr>
      </w:pPr>
      <w:r w:rsidRPr="00BA3B42">
        <w:rPr>
          <w:rStyle w:val="FootnoteReference"/>
          <w:sz w:val="24"/>
          <w:lang w:val="mt-MT"/>
        </w:rPr>
        <w:footnoteRef/>
      </w:r>
      <w:r w:rsidRPr="00BA3B42" w:rsidR="00BA3B42">
        <w:rPr>
          <w:sz w:val="24"/>
          <w:lang w:val="mt-MT"/>
        </w:rPr>
        <w:t xml:space="preserve"> </w:t>
      </w:r>
      <w:r w:rsidRPr="00BA3B42" w:rsidR="00BA3B42">
        <w:rPr>
          <w:sz w:val="24"/>
          <w:lang w:val="mt-MT"/>
        </w:rPr>
        <w:tab/>
      </w:r>
      <w:r w:rsidRPr="00BA3B42">
        <w:rPr>
          <w:sz w:val="24"/>
          <w:lang w:val="mt-MT"/>
        </w:rPr>
        <w:t>ĠU L, 2026/1139, 20.5.2026, ELI: </w:t>
      </w:r>
      <w:hyperlink r:id="rId2" w:tgtFrame="_blank" w:tooltip="Aċċess għad-dokument permezz tal-URI tal-ELI." w:history="1">
        <w:r w:rsidRPr="00BA3B42">
          <w:rPr>
            <w:rStyle w:val="Hyperlink"/>
            <w:color w:val="0070C0"/>
            <w:sz w:val="24"/>
            <w:lang w:val="mt-MT"/>
          </w:rPr>
          <w:t>http://data.europa.eu/eli/reg/2026/1139/oj</w:t>
        </w:r>
      </w:hyperlink>
      <w:r w:rsidRPr="00BA3B42">
        <w:rPr>
          <w:color w:val="0070C0"/>
          <w:sz w:val="24"/>
          <w:lang w:val="mt-MT"/>
        </w:rPr>
        <w:t>.</w:t>
      </w:r>
    </w:p>
  </w:footnote>
  <w:footnote w:id="4">
    <w:p w:rsidR="00A31771" w:rsidRPr="00BA3B42" w:rsidP="00BA3B42" w14:paraId="71EF9D62" w14:textId="20695456">
      <w:pPr>
        <w:pStyle w:val="FootnoteText"/>
        <w:ind w:left="567" w:hanging="567"/>
        <w:rPr>
          <w:sz w:val="24"/>
          <w:lang w:val="mt-MT"/>
        </w:rPr>
      </w:pPr>
      <w:r w:rsidRPr="00BA3B42">
        <w:rPr>
          <w:rStyle w:val="FootnoteReference"/>
          <w:sz w:val="24"/>
          <w:lang w:val="mt-MT"/>
        </w:rPr>
        <w:footnoteRef/>
      </w:r>
      <w:r w:rsidRPr="00BA3B42" w:rsidR="00BA3B42">
        <w:rPr>
          <w:sz w:val="24"/>
          <w:lang w:val="mt-MT"/>
        </w:rPr>
        <w:t xml:space="preserve"> </w:t>
      </w:r>
      <w:r w:rsidRPr="00BA3B42" w:rsidR="00BA3B42">
        <w:rPr>
          <w:sz w:val="24"/>
          <w:lang w:val="mt-MT"/>
        </w:rPr>
        <w:tab/>
      </w:r>
      <w:r w:rsidRPr="00BA3B42">
        <w:rPr>
          <w:sz w:val="24"/>
          <w:lang w:val="mt-MT"/>
        </w:rPr>
        <w:t xml:space="preserve">ĠU L 433 I, 22.12.2020, p. 11, ELI: </w:t>
      </w:r>
      <w:hyperlink r:id="rId3" w:history="1">
        <w:r w:rsidRPr="00BA3B42">
          <w:rPr>
            <w:rStyle w:val="Hyperlink"/>
            <w:sz w:val="24"/>
            <w:lang w:val="mt-MT"/>
          </w:rPr>
          <w:t>http://data.europa.eu/eli/reg/2020/2093/oj</w:t>
        </w:r>
      </w:hyperlink>
      <w:r w:rsidRPr="00BA3B42">
        <w:rPr>
          <w:sz w:val="24"/>
          <w:lang w:val="mt-MT"/>
        </w:rPr>
        <w:t>.</w:t>
      </w:r>
    </w:p>
  </w:footnote>
  <w:footnote w:id="5">
    <w:p w:rsidR="00A31771" w:rsidRPr="00BA3B42" w:rsidP="00BA3B42" w14:paraId="1075B2AA" w14:textId="21E1D158">
      <w:pPr>
        <w:pStyle w:val="FootnoteText"/>
        <w:ind w:left="567" w:hanging="567"/>
        <w:rPr>
          <w:sz w:val="24"/>
          <w:lang w:val="mt-MT"/>
        </w:rPr>
      </w:pPr>
      <w:r w:rsidRPr="00BA3B42">
        <w:rPr>
          <w:rStyle w:val="FootnoteReference"/>
          <w:sz w:val="24"/>
          <w:lang w:val="mt-MT"/>
        </w:rPr>
        <w:footnoteRef/>
      </w:r>
      <w:r w:rsidRPr="00BA3B42" w:rsidR="00BA3B42">
        <w:rPr>
          <w:sz w:val="24"/>
          <w:shd w:val="clear" w:color="auto" w:fill="FFFFFF"/>
          <w:lang w:val="mt-MT"/>
        </w:rPr>
        <w:t xml:space="preserve"> </w:t>
      </w:r>
      <w:r w:rsidRPr="00BA3B42" w:rsidR="00BA3B42">
        <w:rPr>
          <w:sz w:val="24"/>
          <w:shd w:val="clear" w:color="auto" w:fill="FFFFFF"/>
          <w:lang w:val="mt-MT"/>
        </w:rPr>
        <w:tab/>
      </w:r>
      <w:r w:rsidRPr="00BA3B42">
        <w:rPr>
          <w:sz w:val="24"/>
          <w:shd w:val="clear" w:color="auto" w:fill="FFFFFF"/>
          <w:lang w:val="mt-MT"/>
        </w:rPr>
        <w:t>Ir-Regolament tal-Kunsill (UE, Euratom) 2024/765 tad-29 ta’ Frar 2024 li jemenda r-Regolament (UE, Euratom) 2020/2093 li jistabbilixxi l-qafas finanzjarju pluriennali għas-snin mill-2021 sal-2027 (ĠU L, 2024/765, 29.2.2024, ELI:</w:t>
      </w:r>
      <w:r w:rsidRPr="00BA3B42">
        <w:rPr>
          <w:color w:val="333333"/>
          <w:sz w:val="24"/>
          <w:shd w:val="clear" w:color="auto" w:fill="FFFFFF"/>
          <w:lang w:val="mt-MT"/>
        </w:rPr>
        <w:t xml:space="preserve"> </w:t>
      </w:r>
      <w:hyperlink r:id="rId4" w:history="1">
        <w:r w:rsidRPr="00BA3B42">
          <w:rPr>
            <w:rStyle w:val="Hyperlink"/>
            <w:sz w:val="24"/>
            <w:shd w:val="clear" w:color="auto" w:fill="FFFFFF"/>
            <w:lang w:val="mt-MT"/>
          </w:rPr>
          <w:t>http://data.europa.eu/eli/reg/2024/765/oj</w:t>
        </w:r>
      </w:hyperlink>
      <w:r w:rsidRPr="00BA3B42">
        <w:rPr>
          <w:i/>
          <w:color w:val="333333"/>
          <w:sz w:val="24"/>
          <w:shd w:val="clear" w:color="auto" w:fill="FFFFFF"/>
          <w:lang w:val="mt-MT"/>
        </w:rPr>
        <w:t>).</w:t>
      </w:r>
    </w:p>
  </w:footnote>
  <w:footnote w:id="6">
    <w:p w:rsidR="00A31771" w:rsidRPr="00BA3B42" w:rsidP="00BA3B42" w14:paraId="0E53D331" w14:textId="0FCB094F">
      <w:pPr>
        <w:pStyle w:val="FootnoteText"/>
        <w:ind w:left="567" w:hanging="567"/>
        <w:rPr>
          <w:sz w:val="24"/>
          <w:lang w:val="mt-MT"/>
        </w:rPr>
      </w:pPr>
      <w:r w:rsidRPr="00BA3B42">
        <w:rPr>
          <w:rStyle w:val="FootnoteReference"/>
          <w:sz w:val="24"/>
          <w:lang w:val="mt-MT"/>
        </w:rPr>
        <w:footnoteRef/>
      </w:r>
      <w:r w:rsidRPr="00BA3B42" w:rsidR="00BA3B42">
        <w:rPr>
          <w:sz w:val="24"/>
          <w:lang w:val="mt-MT"/>
        </w:rPr>
        <w:t xml:space="preserve"> </w:t>
      </w:r>
      <w:r w:rsidRPr="00BA3B42" w:rsidR="00BA3B42">
        <w:rPr>
          <w:sz w:val="24"/>
          <w:lang w:val="mt-MT"/>
        </w:rPr>
        <w:tab/>
      </w:r>
      <w:r w:rsidRPr="00BA3B42">
        <w:rPr>
          <w:sz w:val="24"/>
          <w:lang w:val="mt-MT"/>
        </w:rPr>
        <w:t xml:space="preserve">ĠU L 433 I, 22.12.2020, p. 28, ELI: </w:t>
      </w:r>
      <w:hyperlink r:id="rId5" w:history="1">
        <w:r w:rsidRPr="00BA3B42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BA3B42">
        <w:rPr>
          <w:sz w:val="24"/>
          <w:lang w:val="mt-MT"/>
        </w:rPr>
        <w:t>.</w:t>
      </w:r>
    </w:p>
  </w:footnote>
  <w:footnote w:id="7">
    <w:p w:rsidR="00A31771" w:rsidRPr="00BA3B42" w:rsidP="00BA3B42" w14:paraId="40D9B174" w14:textId="1A4F459C">
      <w:pPr>
        <w:pStyle w:val="FootnoteText"/>
        <w:ind w:left="567" w:hanging="567"/>
        <w:rPr>
          <w:sz w:val="24"/>
          <w:lang w:val="mt-MT"/>
        </w:rPr>
      </w:pPr>
      <w:r w:rsidRPr="00BA3B42">
        <w:rPr>
          <w:rStyle w:val="FootnoteReference"/>
          <w:sz w:val="24"/>
          <w:lang w:val="mt-MT"/>
        </w:rPr>
        <w:footnoteRef/>
      </w:r>
      <w:r w:rsidRPr="00BA3B42" w:rsidR="00BA3B42">
        <w:rPr>
          <w:sz w:val="24"/>
          <w:lang w:val="mt-MT"/>
        </w:rPr>
        <w:t xml:space="preserve"> </w:t>
      </w:r>
      <w:r w:rsidRPr="00BA3B42" w:rsidR="00BA3B42">
        <w:rPr>
          <w:sz w:val="24"/>
          <w:lang w:val="mt-MT"/>
        </w:rPr>
        <w:tab/>
      </w:r>
      <w:r w:rsidRPr="00BA3B42">
        <w:rPr>
          <w:sz w:val="24"/>
          <w:lang w:val="mt-MT"/>
        </w:rPr>
        <w:t>Fis-sens tal-Artikolu 3 tar-Regolament dwar il-FEG.</w:t>
      </w:r>
    </w:p>
  </w:footnote>
  <w:footnote w:id="8">
    <w:p w:rsidR="00A31771" w:rsidRPr="00BA3B42" w:rsidP="00BA3B42" w14:paraId="7A7980E2" w14:textId="7C22EB29">
      <w:pPr>
        <w:pStyle w:val="FootnoteText"/>
        <w:ind w:left="567" w:hanging="567"/>
        <w:rPr>
          <w:sz w:val="24"/>
          <w:lang w:val="mt-MT"/>
        </w:rPr>
      </w:pPr>
      <w:r w:rsidRPr="00BA3B42">
        <w:rPr>
          <w:rStyle w:val="FootnoteReference"/>
          <w:sz w:val="24"/>
          <w:lang w:val="mt-MT"/>
        </w:rPr>
        <w:footnoteRef/>
      </w:r>
      <w:r w:rsidRPr="00BA3B42" w:rsidR="00BA3B42">
        <w:rPr>
          <w:sz w:val="24"/>
          <w:lang w:val="mt-MT"/>
        </w:rPr>
        <w:t xml:space="preserve"> </w:t>
      </w:r>
      <w:r w:rsidRPr="00BA3B42" w:rsidR="00BA3B42">
        <w:rPr>
          <w:sz w:val="24"/>
          <w:lang w:val="mt-MT"/>
        </w:rPr>
        <w:tab/>
      </w:r>
      <w:r w:rsidRPr="00BA3B42">
        <w:rPr>
          <w:sz w:val="24"/>
          <w:lang w:val="mt-MT"/>
        </w:rPr>
        <w:t>L-Artikolu 8 tar-Regolament dwar il-QFP.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3B42" w14:paraId="46506056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3B42" w14:paraId="7264756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3B42" w14:paraId="7D38202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44088602">
    <w:abstractNumId w:val="9"/>
  </w:num>
  <w:num w:numId="2" w16cid:durableId="1505434624">
    <w:abstractNumId w:val="9"/>
  </w:num>
  <w:num w:numId="3" w16cid:durableId="1074085828">
    <w:abstractNumId w:val="7"/>
  </w:num>
  <w:num w:numId="4" w16cid:durableId="787044855">
    <w:abstractNumId w:val="7"/>
  </w:num>
  <w:num w:numId="5" w16cid:durableId="216939972">
    <w:abstractNumId w:val="6"/>
  </w:num>
  <w:num w:numId="6" w16cid:durableId="720713910">
    <w:abstractNumId w:val="6"/>
  </w:num>
  <w:num w:numId="7" w16cid:durableId="1324357311">
    <w:abstractNumId w:val="5"/>
  </w:num>
  <w:num w:numId="8" w16cid:durableId="329019682">
    <w:abstractNumId w:val="5"/>
  </w:num>
  <w:num w:numId="9" w16cid:durableId="921571344">
    <w:abstractNumId w:val="4"/>
  </w:num>
  <w:num w:numId="10" w16cid:durableId="1485581746">
    <w:abstractNumId w:val="4"/>
  </w:num>
  <w:num w:numId="11" w16cid:durableId="1180243248">
    <w:abstractNumId w:val="8"/>
  </w:num>
  <w:num w:numId="12" w16cid:durableId="979728625">
    <w:abstractNumId w:val="8"/>
  </w:num>
  <w:num w:numId="13" w16cid:durableId="97331715">
    <w:abstractNumId w:val="3"/>
  </w:num>
  <w:num w:numId="14" w16cid:durableId="1970622117">
    <w:abstractNumId w:val="3"/>
  </w:num>
  <w:num w:numId="15" w16cid:durableId="2134473039">
    <w:abstractNumId w:val="2"/>
  </w:num>
  <w:num w:numId="16" w16cid:durableId="709377259">
    <w:abstractNumId w:val="2"/>
  </w:num>
  <w:num w:numId="17" w16cid:durableId="1570191039">
    <w:abstractNumId w:val="1"/>
  </w:num>
  <w:num w:numId="18" w16cid:durableId="1618677535">
    <w:abstractNumId w:val="1"/>
  </w:num>
  <w:num w:numId="19" w16cid:durableId="1819300116">
    <w:abstractNumId w:val="0"/>
  </w:num>
  <w:num w:numId="20" w16cid:durableId="100145970">
    <w:abstractNumId w:val="0"/>
  </w:num>
  <w:num w:numId="21" w16cid:durableId="48499726">
    <w:abstractNumId w:val="9"/>
  </w:num>
  <w:num w:numId="22" w16cid:durableId="2130051261">
    <w:abstractNumId w:val="7"/>
  </w:num>
  <w:num w:numId="23" w16cid:durableId="1363018917">
    <w:abstractNumId w:val="6"/>
  </w:num>
  <w:num w:numId="24" w16cid:durableId="1042098121">
    <w:abstractNumId w:val="5"/>
  </w:num>
  <w:num w:numId="25" w16cid:durableId="680670216">
    <w:abstractNumId w:val="4"/>
  </w:num>
  <w:num w:numId="26" w16cid:durableId="839740463">
    <w:abstractNumId w:val="8"/>
  </w:num>
  <w:num w:numId="27" w16cid:durableId="1057630721">
    <w:abstractNumId w:val="3"/>
  </w:num>
  <w:num w:numId="28" w16cid:durableId="1190409216">
    <w:abstractNumId w:val="2"/>
  </w:num>
  <w:num w:numId="29" w16cid:durableId="1310282396">
    <w:abstractNumId w:val="1"/>
  </w:num>
  <w:num w:numId="30" w16cid:durableId="1910651478">
    <w:abstractNumId w:val="0"/>
  </w:num>
  <w:num w:numId="31" w16cid:durableId="109904932">
    <w:abstractNumId w:val="9"/>
  </w:num>
  <w:num w:numId="32" w16cid:durableId="489247211">
    <w:abstractNumId w:val="7"/>
  </w:num>
  <w:num w:numId="33" w16cid:durableId="363676111">
    <w:abstractNumId w:val="6"/>
  </w:num>
  <w:num w:numId="34" w16cid:durableId="1042360436">
    <w:abstractNumId w:val="5"/>
  </w:num>
  <w:num w:numId="35" w16cid:durableId="1999531734">
    <w:abstractNumId w:val="4"/>
  </w:num>
  <w:num w:numId="36" w16cid:durableId="1459030755">
    <w:abstractNumId w:val="8"/>
  </w:num>
  <w:num w:numId="37" w16cid:durableId="1036345751">
    <w:abstractNumId w:val="3"/>
  </w:num>
  <w:num w:numId="38" w16cid:durableId="439226203">
    <w:abstractNumId w:val="2"/>
  </w:num>
  <w:num w:numId="39" w16cid:durableId="1314868887">
    <w:abstractNumId w:val="1"/>
  </w:num>
  <w:num w:numId="40" w16cid:durableId="609581674">
    <w:abstractNumId w:val="0"/>
  </w:num>
  <w:num w:numId="41" w16cid:durableId="910627368">
    <w:abstractNumId w:val="10"/>
  </w:num>
  <w:num w:numId="42" w16cid:durableId="1815029369">
    <w:abstractNumId w:val="10"/>
  </w:num>
  <w:num w:numId="43" w16cid:durableId="1922905305">
    <w:abstractNumId w:val="10"/>
  </w:num>
  <w:num w:numId="44" w16cid:durableId="2166689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A7"/>
    <w:rsid w:val="00002272"/>
    <w:rsid w:val="00064002"/>
    <w:rsid w:val="000677B9"/>
    <w:rsid w:val="000831BA"/>
    <w:rsid w:val="000A42CC"/>
    <w:rsid w:val="000E7DD9"/>
    <w:rsid w:val="0010095E"/>
    <w:rsid w:val="00125B37"/>
    <w:rsid w:val="00131825"/>
    <w:rsid w:val="00187494"/>
    <w:rsid w:val="001F32AE"/>
    <w:rsid w:val="002500F9"/>
    <w:rsid w:val="002722B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4843"/>
    <w:rsid w:val="00471C19"/>
    <w:rsid w:val="00473AD0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2480"/>
    <w:rsid w:val="006631B6"/>
    <w:rsid w:val="00680577"/>
    <w:rsid w:val="00680E7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442D"/>
    <w:rsid w:val="008C2AC6"/>
    <w:rsid w:val="00930C23"/>
    <w:rsid w:val="0093193B"/>
    <w:rsid w:val="009509D8"/>
    <w:rsid w:val="00950B64"/>
    <w:rsid w:val="00981893"/>
    <w:rsid w:val="00A1687D"/>
    <w:rsid w:val="00A31771"/>
    <w:rsid w:val="00A43E52"/>
    <w:rsid w:val="00A4678D"/>
    <w:rsid w:val="00A778C7"/>
    <w:rsid w:val="00AB441E"/>
    <w:rsid w:val="00AB6293"/>
    <w:rsid w:val="00AE0928"/>
    <w:rsid w:val="00AE55A7"/>
    <w:rsid w:val="00AF3B82"/>
    <w:rsid w:val="00B057C8"/>
    <w:rsid w:val="00B12E95"/>
    <w:rsid w:val="00B22876"/>
    <w:rsid w:val="00B558F0"/>
    <w:rsid w:val="00BA3B42"/>
    <w:rsid w:val="00BD48FE"/>
    <w:rsid w:val="00BD7BD8"/>
    <w:rsid w:val="00BE6ADC"/>
    <w:rsid w:val="00C025FA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4682"/>
    <w:rsid w:val="00DE701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49/2026"/>
    <w:docVar w:name="dvlangue" w:val="MT"/>
    <w:docVar w:name="dvnumam" w:val="0"/>
    <w:docVar w:name="dvpe" w:val="787.923"/>
    <w:docVar w:name="dvrapporteur" w:val="Rapporteur: "/>
    <w:docVar w:name="dvtitre" w:val="Riżoluzzjoni leġiżlattiva tal-Parlament Ewropew xx xx xxxx 2026 dwar il-proposta għal deċiżjoni tal-Parlament Ewropew u tal-Kunsill dwar il-mobilizzazzjoni tal-Fond Ewropew ta’ Aġġustament għall-Globalizzazzjoni għall-Ħaddiema Ssensjati wara applikazzjoni mill-Belġju – EGF/2025/009 BE/Soliver(COM(2026)0050 – C10-0111/2026 – 2026/0097(BU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F2B19B5"/>
  <w15:chartTrackingRefBased/>
  <w15:docId w15:val="{8E1104BE-71B4-47CA-A34F-946A90249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3177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A3177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A31771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317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31771"/>
    <w:rPr>
      <w:sz w:val="24"/>
      <w:lang w:val="mt-MT"/>
    </w:rPr>
  </w:style>
  <w:style w:type="paragraph" w:customStyle="1" w:styleId="EPFooter">
    <w:name w:val="EPFooter"/>
    <w:basedOn w:val="Normal"/>
    <w:rsid w:val="00A3177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31771"/>
    <w:pPr>
      <w:spacing w:before="480" w:after="240"/>
    </w:pPr>
  </w:style>
  <w:style w:type="character" w:styleId="Hyperlink">
    <w:name w:val="Hyperlink"/>
    <w:basedOn w:val="DefaultParagraphFont"/>
    <w:uiPriority w:val="99"/>
    <w:rsid w:val="00A31771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31771"/>
    <w:rPr>
      <w:sz w:val="24"/>
      <w:lang w:val="mt-MT"/>
    </w:rPr>
  </w:style>
  <w:style w:type="paragraph" w:customStyle="1" w:styleId="Institutionquisigne">
    <w:name w:val="Institution qui signe"/>
    <w:basedOn w:val="Normal"/>
    <w:next w:val="Normal"/>
    <w:rsid w:val="00A31771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A31771"/>
    <w:rPr>
      <w:rFonts w:ascii="Arial" w:hAnsi="Arial" w:cs="Arial"/>
      <w:b/>
      <w:sz w:val="24"/>
      <w:lang w:val="mt-MT"/>
    </w:rPr>
  </w:style>
  <w:style w:type="paragraph" w:styleId="Revision">
    <w:name w:val="Revision"/>
    <w:hidden/>
    <w:uiPriority w:val="99"/>
    <w:semiHidden/>
    <w:rsid w:val="00652480"/>
    <w:rPr>
      <w:sz w:val="24"/>
      <w:lang w:val="mt-MT"/>
    </w:rPr>
  </w:style>
  <w:style w:type="paragraph" w:styleId="Footer">
    <w:name w:val="footer"/>
    <w:basedOn w:val="Normal"/>
    <w:link w:val="FooterChar"/>
    <w:rsid w:val="006524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52480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3.xml" /><Relationship Id="rId15" Type="http://schemas.openxmlformats.org/officeDocument/2006/relationships/footer" Target="footer6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1/691/oj" TargetMode="External" /><Relationship Id="rId2" Type="http://schemas.openxmlformats.org/officeDocument/2006/relationships/hyperlink" Target="http://data.europa.eu/eli/reg/2026/1139/oj" TargetMode="External" /><Relationship Id="rId3" Type="http://schemas.openxmlformats.org/officeDocument/2006/relationships/hyperlink" Target="http://data.europa.eu/eli/reg/2020/2093/oj" TargetMode="External" /><Relationship Id="rId4" Type="http://schemas.openxmlformats.org/officeDocument/2006/relationships/hyperlink" Target="http://data.europa.eu/eli/reg/2024/765/oj" TargetMode="External" /><Relationship Id="rId5" Type="http://schemas.openxmlformats.org/officeDocument/2006/relationships/hyperlink" Target="http://data.europa.eu/eli/agree_interinstit/2020/1222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1523</Words>
  <Characters>11417</Characters>
  <Application>Microsoft Office Word</Application>
  <DocSecurity>0</DocSecurity>
  <Lines>95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2026-09-01T09:45:00Z</dcterms:created>
  <dcterms:modified xsi:type="dcterms:W3CDTF">2026-09-01T09:45:00Z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P10_TA(2026)0201_</vt:lpwstr>
  </property>
  <property fmtid="{D5CDD505-2E9C-101B-9397-08002B2CF9AE}" pid="4" name="&lt;Type&gt;">
    <vt:lpwstr>RR</vt:lpwstr>
  </property>
</Properties>
</file>