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F7D7BC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3DBD" w:rsidP="0010095E" w14:paraId="62BED2DF" w14:textId="0272A392">
            <w:pPr>
              <w:pStyle w:val="EPName"/>
            </w:pPr>
            <w:r w:rsidRPr="00F83DBD">
              <w:t>Parlament Europejski</w:t>
            </w:r>
          </w:p>
          <w:p w:rsidR="00751A4A" w:rsidRPr="00F83DBD" w:rsidP="005F1B17" w14:paraId="4DAC9F7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DBD">
              <w:t>2024</w:t>
            </w:r>
            <w:r w:rsidRPr="00F83DBD" w:rsidR="00817416">
              <w:t>-202</w:t>
            </w:r>
            <w:r w:rsidRPr="00F83D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3DBD" w:rsidP="0010095E" w14:paraId="726F3627" w14:textId="77777777">
            <w:pPr>
              <w:pStyle w:val="EPLogo"/>
            </w:pPr>
            <w:r w:rsidRPr="00F83DB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3DBD" w:rsidP="004C5D52" w14:paraId="7C01E2F2" w14:textId="77777777">
      <w:pPr>
        <w:pStyle w:val="LineTop"/>
      </w:pPr>
    </w:p>
    <w:p w:rsidR="00680577" w:rsidRPr="00F83DBD" w:rsidP="00680577" w14:paraId="6F6C4876" w14:textId="429728EC">
      <w:pPr>
        <w:pStyle w:val="EPBodyTA1"/>
      </w:pPr>
      <w:r w:rsidRPr="00F83DBD">
        <w:t>TEKSTY PRZYJĘTE</w:t>
      </w:r>
    </w:p>
    <w:p w:rsidR="00D058B8" w:rsidRPr="00F83DBD" w:rsidP="00D058B8" w14:paraId="2824BC19" w14:textId="77777777">
      <w:pPr>
        <w:pStyle w:val="LineBottom"/>
      </w:pPr>
    </w:p>
    <w:p w:rsidR="00076C4B" w:rsidRPr="00F83DBD" w:rsidP="00076C4B" w14:paraId="16079CD0" w14:textId="3CCAD077">
      <w:pPr>
        <w:pStyle w:val="ATHeading1"/>
      </w:pPr>
      <w:bookmarkStart w:id="0" w:name="TANumber"/>
      <w:r w:rsidRPr="00F83DBD">
        <w:t>P10_TA(2026)</w:t>
      </w:r>
      <w:bookmarkEnd w:id="0"/>
      <w:r w:rsidRPr="00F83DBD" w:rsidR="00F45185">
        <w:t>0</w:t>
      </w:r>
      <w:r w:rsidR="00F45185">
        <w:t>201</w:t>
      </w:r>
    </w:p>
    <w:p w:rsidR="00076C4B" w:rsidRPr="00F83DBD" w:rsidP="00076C4B" w14:paraId="6271F0C8" w14:textId="127A414C">
      <w:pPr>
        <w:pStyle w:val="ATHeading2"/>
      </w:pPr>
      <w:bookmarkStart w:id="1" w:name="title"/>
      <w:r w:rsidRPr="00F83DBD">
        <w:t>Uruchomienie Europejskiego Funduszu Dostosowania do Globalizacji dla Zwalnianych Pracowników</w:t>
      </w:r>
      <w:r w:rsidR="00F45185">
        <w:t xml:space="preserve"> </w:t>
      </w:r>
      <w:r w:rsidRPr="00F83DBD">
        <w:t>w następstwie wniosku złożonego przez Belgię – EGF/2025/009 BE/</w:t>
      </w:r>
      <w:r w:rsidRPr="00F83DBD">
        <w:t>Soliver</w:t>
      </w:r>
      <w:bookmarkEnd w:id="1"/>
    </w:p>
    <w:p w:rsidR="00076C4B" w:rsidRPr="00F83DBD" w:rsidP="00076C4B" w14:paraId="19E3CACA" w14:textId="77777777">
      <w:pPr>
        <w:rPr>
          <w:i/>
          <w:vanish/>
        </w:rPr>
      </w:pPr>
      <w:r>
        <w:rPr>
          <w:i/>
        </w:rPr>
        <w:fldChar w:fldCharType="begin"/>
      </w:r>
      <w:r w:rsidRPr="00F83DBD">
        <w:rPr>
          <w:i/>
        </w:rPr>
        <w:instrText xml:space="preserve"> TC"(</w:instrText>
      </w:r>
      <w:bookmarkStart w:id="2" w:name="DocNumber"/>
      <w:r w:rsidRPr="00F83DBD">
        <w:rPr>
          <w:i/>
        </w:rPr>
        <w:instrText>A10-0149/2026</w:instrText>
      </w:r>
      <w:bookmarkEnd w:id="2"/>
      <w:r w:rsidRPr="00F83DBD">
        <w:rPr>
          <w:i/>
        </w:rPr>
        <w:instrText xml:space="preserve"> - Sprawozdawca: Bogdan Rzońca)"\l3 \n&gt; \* MERGEFORMAT </w:instrText>
      </w:r>
      <w:r>
        <w:rPr>
          <w:i/>
        </w:rPr>
        <w:fldChar w:fldCharType="end"/>
      </w:r>
    </w:p>
    <w:p w:rsidR="00076C4B" w:rsidRPr="00F83DBD" w:rsidP="00076C4B" w14:paraId="75075EB8" w14:textId="77777777">
      <w:pPr>
        <w:rPr>
          <w:vanish/>
        </w:rPr>
      </w:pPr>
      <w:bookmarkStart w:id="3" w:name="Commission"/>
      <w:r w:rsidRPr="00F83DBD">
        <w:rPr>
          <w:vanish/>
        </w:rPr>
        <w:t>Komisja Budżetowa</w:t>
      </w:r>
      <w:bookmarkEnd w:id="3"/>
    </w:p>
    <w:p w:rsidR="00076C4B" w:rsidRPr="00F83DBD" w:rsidP="00076C4B" w14:paraId="72F9F9A6" w14:textId="77777777">
      <w:pPr>
        <w:rPr>
          <w:vanish/>
        </w:rPr>
      </w:pPr>
      <w:bookmarkStart w:id="4" w:name="PE"/>
      <w:r w:rsidRPr="00F83DBD">
        <w:rPr>
          <w:vanish/>
        </w:rPr>
        <w:t>PE787.923</w:t>
      </w:r>
      <w:bookmarkEnd w:id="4"/>
    </w:p>
    <w:p w:rsidR="00076C4B" w:rsidRPr="00F83DBD" w:rsidP="00076C4B" w14:paraId="4643A671" w14:textId="5D39665E">
      <w:pPr>
        <w:pStyle w:val="ATHeading3"/>
      </w:pPr>
      <w:bookmarkStart w:id="5" w:name="Sujet"/>
      <w:r w:rsidRPr="00F83DBD">
        <w:t xml:space="preserve">Rezolucja Parlamentu Europejskiego z dnia </w:t>
      </w:r>
      <w:r w:rsidR="00F45185">
        <w:t>16 czerwca</w:t>
      </w:r>
      <w:r w:rsidRPr="00F83DBD">
        <w:t xml:space="preserve"> 2026 r. w sprawie wniosku dotyczącego decyzji Parlamentu Europejskiego i Rady w sprawie uruchomienia Europejskiego Funduszu Dostosowania do Globalizacji dla Zwalnianych Pracowników w następstwie wniosku złożonego przez Belgię – EGF/2025/009 BE/</w:t>
      </w:r>
      <w:r w:rsidRPr="00F83DBD">
        <w:t>Soliver</w:t>
      </w:r>
      <w:bookmarkEnd w:id="5"/>
      <w:r w:rsidRPr="00F83DBD">
        <w:t xml:space="preserve"> </w:t>
      </w:r>
      <w:bookmarkStart w:id="6" w:name="References"/>
      <w:r w:rsidRPr="00F83DBD">
        <w:t>(COM(2026)0050 – C10-0111/2026 – 2026/0097(BUD))</w:t>
      </w:r>
      <w:bookmarkEnd w:id="6"/>
    </w:p>
    <w:p w:rsidR="00AD06FA" w:rsidRPr="00F83DBD" w:rsidP="00AD06FA" w14:paraId="7F7D0C6F" w14:textId="77777777">
      <w:pPr>
        <w:pStyle w:val="EPComma"/>
        <w:rPr>
          <w:noProof/>
        </w:rPr>
      </w:pPr>
      <w:r w:rsidRPr="00F83DBD">
        <w:rPr>
          <w:i/>
          <w:iCs/>
        </w:rPr>
        <w:t>Parlament Europejski,</w:t>
      </w:r>
    </w:p>
    <w:p w:rsidR="00AD06FA" w:rsidRPr="00F83DBD" w:rsidP="00AD06FA" w14:paraId="7B52FD53" w14:textId="77777777">
      <w:pPr>
        <w:pStyle w:val="NormalHanging12a"/>
        <w:rPr>
          <w:noProof/>
        </w:rPr>
      </w:pPr>
      <w:r w:rsidRPr="00F83DBD">
        <w:t>–</w:t>
      </w:r>
      <w:r w:rsidRPr="00F83DBD">
        <w:tab/>
        <w:t>uwzględniając wniosek Komisji przedłożony Parlamentowi Europejskiemu i Radzie (COM(2026)0050 – C10</w:t>
      </w:r>
      <w:r w:rsidRPr="00F83DBD">
        <w:noBreakHyphen/>
        <w:t>0111/2026),</w:t>
      </w:r>
    </w:p>
    <w:p w:rsidR="00AD06FA" w:rsidRPr="00F83DBD" w:rsidP="00AD06FA" w14:paraId="39CD54DC" w14:textId="77777777">
      <w:pPr>
        <w:pStyle w:val="NormalHanging12a"/>
      </w:pPr>
      <w:r w:rsidRPr="00F83DBD">
        <w:t>–</w:t>
      </w:r>
      <w:r w:rsidRPr="00F83DBD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>
        <w:rPr>
          <w:vertAlign w:val="superscript"/>
        </w:rPr>
        <w:footnoteReference w:id="2"/>
      </w:r>
      <w:r w:rsidRPr="00F83DBD">
        <w:t xml:space="preserve"> („rozporządzenie w sprawie EFG”), zmienione rozporządzeniem (UE) 2026/1139</w:t>
      </w:r>
      <w:r>
        <w:rPr>
          <w:vertAlign w:val="superscript"/>
        </w:rPr>
        <w:footnoteReference w:id="3"/>
      </w:r>
      <w:r w:rsidRPr="00F83DBD">
        <w:t xml:space="preserve">, </w:t>
      </w:r>
    </w:p>
    <w:p w:rsidR="00AD06FA" w:rsidRPr="00F83DBD" w:rsidP="00AD06FA" w14:paraId="153D5191" w14:textId="77777777">
      <w:pPr>
        <w:pStyle w:val="NormalHanging12a"/>
        <w:rPr>
          <w:noProof/>
        </w:rPr>
      </w:pPr>
      <w:r w:rsidRPr="00F83DBD">
        <w:t>–</w:t>
      </w:r>
      <w:r w:rsidRPr="00F83DBD">
        <w:tab/>
        <w:t xml:space="preserve">uwzględniając rozporządzenie Rady (UE, </w:t>
      </w:r>
      <w:r w:rsidRPr="00F83DBD">
        <w:t>Euratom</w:t>
      </w:r>
      <w:r w:rsidRPr="00F83DBD">
        <w:t>) 2020/2093 z dnia 17 grudnia 2020 r. określające wieloletnie ramy finansowe na lata 2021–2027 („rozporządzenie w sprawie WRF”)</w:t>
      </w:r>
      <w:r>
        <w:rPr>
          <w:noProof/>
          <w:vertAlign w:val="superscript"/>
        </w:rPr>
        <w:footnoteReference w:id="4"/>
      </w:r>
      <w:r w:rsidRPr="00F83DBD">
        <w:t xml:space="preserve">, zmienione rozporządzeniem (UE, </w:t>
      </w:r>
      <w:r w:rsidRPr="00F83DBD">
        <w:t>Euratom</w:t>
      </w:r>
      <w:r w:rsidRPr="00F83DBD">
        <w:t>) 2024/765</w:t>
      </w:r>
      <w:r>
        <w:rPr>
          <w:noProof/>
          <w:vertAlign w:val="superscript"/>
        </w:rPr>
        <w:footnoteReference w:id="5"/>
      </w:r>
      <w:r w:rsidRPr="00F83DBD">
        <w:t>, w szczególności jego art. 8,</w:t>
      </w:r>
    </w:p>
    <w:p w:rsidR="00AD06FA" w:rsidRPr="00F83DBD" w:rsidP="00AD06FA" w14:paraId="6C6EF2C0" w14:textId="77777777">
      <w:pPr>
        <w:pStyle w:val="NormalHanging12a"/>
        <w:rPr>
          <w:noProof/>
        </w:rPr>
      </w:pPr>
      <w:r w:rsidRPr="00F83DBD">
        <w:t>–</w:t>
      </w:r>
      <w:r w:rsidRPr="00F83DBD">
        <w:tab/>
        <w:t xml:space="preserve">uwzględniając Porozumienie międzyinstytucjonalne z dnia 16 grudnia 2020 r. między Parlamentem Europejskim, Radą Unii Europejskiej i Komisją Europejską w sprawie </w:t>
      </w:r>
      <w:r w:rsidRPr="00F83DBD">
        <w:t>dyscypliny budżetowej, współpracy w kwestiach budżetowych i należytego zarządzania finansami oraz w sprawie nowych zasobów własnych, w tym również harmonogramu wprowadzania nowych zasobów własnych</w:t>
      </w:r>
      <w:r>
        <w:rPr>
          <w:rStyle w:val="FootnoteReference"/>
          <w:noProof/>
        </w:rPr>
        <w:footnoteReference w:id="6"/>
      </w:r>
      <w:r w:rsidRPr="00F83DBD">
        <w:t>, w szczególności jego pkt 9,</w:t>
      </w:r>
    </w:p>
    <w:p w:rsidR="00AD06FA" w:rsidRPr="00F83DBD" w:rsidP="00AD06FA" w14:paraId="7763B019" w14:textId="77777777">
      <w:pPr>
        <w:pStyle w:val="NormalHanging12a"/>
      </w:pPr>
      <w:r w:rsidRPr="00F83DBD">
        <w:t>–</w:t>
      </w:r>
      <w:r w:rsidRPr="00F83DBD">
        <w:tab/>
        <w:t>uwzględniając Europejski filar praw socjalnych,</w:t>
      </w:r>
    </w:p>
    <w:p w:rsidR="00AD06FA" w:rsidRPr="00F83DBD" w:rsidP="00AD06FA" w14:paraId="4667B521" w14:textId="77777777">
      <w:pPr>
        <w:pStyle w:val="NormalHanging12a"/>
      </w:pPr>
      <w:r w:rsidRPr="00F83DBD">
        <w:t>–</w:t>
      </w:r>
      <w:r w:rsidRPr="00F83DBD">
        <w:tab/>
        <w:t>uwzględniając pismo przesłane przez Komisję Zatrudnienia i Spraw Socjalnych,</w:t>
      </w:r>
    </w:p>
    <w:p w:rsidR="00AD06FA" w:rsidRPr="00F83DBD" w:rsidP="00AD06FA" w14:paraId="139C8B2F" w14:textId="77777777">
      <w:pPr>
        <w:pStyle w:val="NormalHanging12a"/>
      </w:pPr>
      <w:r w:rsidRPr="00F83DBD">
        <w:t>–</w:t>
      </w:r>
      <w:r w:rsidRPr="00F83DBD">
        <w:tab/>
        <w:t>uwzględniając sprawozdanie Komisji Budżetowej (A10-0149/2026),</w:t>
      </w:r>
    </w:p>
    <w:p w:rsidR="00AD06FA" w:rsidRPr="00F83DBD" w:rsidP="00AD06FA" w14:paraId="77943588" w14:textId="77777777">
      <w:pPr>
        <w:pStyle w:val="NormalHanging12a"/>
      </w:pPr>
      <w:r w:rsidRPr="00F83DBD">
        <w:t>A.</w:t>
      </w:r>
      <w:r w:rsidRPr="00F83DBD">
        <w:tab/>
        <w:t>mając na uwadze, że Unia opracowała instrumenty ustawodawcze i budżetowe, za pomocą których udziela dodatkowego wsparcia pracownikom dotkniętym skutkami istotnych działań restrukturyzacyjnych i zmian w strukturze światowego handlu oraz ułatwia im powrót na rynek pracy; mając na uwadze, że pomoc ta ma formę wsparcia finansowego dla pracowników; mając na uwadze, że utrzymanie konkurencyjności przemysłu europejskiego oraz zwiększenie inwestycji w innowacje i umiejętności mają zasadnicze znaczenie dla zapobiegania dalszemu upadkowi przemysłu i utracie miejsc pracy w całej Unii;</w:t>
      </w:r>
    </w:p>
    <w:p w:rsidR="00AD06FA" w:rsidRPr="00F83DBD" w:rsidP="00AD06FA" w14:paraId="0BD689BC" w14:textId="77777777">
      <w:pPr>
        <w:pStyle w:val="NormalHanging12a"/>
      </w:pPr>
      <w:r w:rsidRPr="00F83DBD">
        <w:t>B.</w:t>
      </w:r>
      <w:r w:rsidRPr="00F83DBD">
        <w:tab/>
        <w:t>mając na uwadze, że Belgia złożyła wniosek EGF/2025/009 BE/</w:t>
      </w:r>
      <w:r w:rsidRPr="00F83DBD">
        <w:t>Soliver</w:t>
      </w:r>
      <w:r w:rsidRPr="00F83DBD">
        <w:t xml:space="preserve"> o przyznanie wkładu finansowego z EFG w związku ze zwolnieniem 803 pracowników</w:t>
      </w:r>
      <w:r>
        <w:rPr>
          <w:vertAlign w:val="superscript"/>
        </w:rPr>
        <w:footnoteReference w:id="7"/>
      </w:r>
      <w:r w:rsidRPr="00F83DBD">
        <w:t xml:space="preserve"> w przedsiębiorstwie </w:t>
      </w:r>
      <w:r w:rsidRPr="00F83DBD">
        <w:t>Soliver</w:t>
      </w:r>
      <w:r w:rsidRPr="00F83DBD">
        <w:t xml:space="preserve"> NV (</w:t>
      </w:r>
      <w:r w:rsidRPr="00F83DBD">
        <w:t>Soliver</w:t>
      </w:r>
      <w:r w:rsidRPr="00F83DBD">
        <w:t xml:space="preserve">) w Belgii w sektorze gospodarki zaklasyfikowanym do działu 46 według NACE </w:t>
      </w:r>
      <w:r w:rsidRPr="00F83DBD">
        <w:t>Revision</w:t>
      </w:r>
      <w:r w:rsidRPr="00F83DBD">
        <w:t xml:space="preserve"> 2 (Handel hurtowy) w regionach </w:t>
      </w:r>
      <w:r w:rsidRPr="00F83DBD">
        <w:t>Provincie</w:t>
      </w:r>
      <w:r w:rsidRPr="00F83DBD">
        <w:t xml:space="preserve"> </w:t>
      </w:r>
      <w:r w:rsidRPr="00F83DBD">
        <w:t>Oost-Vlaanderen</w:t>
      </w:r>
      <w:r w:rsidRPr="00F83DBD">
        <w:t xml:space="preserve"> (BE23) i </w:t>
      </w:r>
      <w:r w:rsidRPr="00F83DBD">
        <w:t>Provincie</w:t>
      </w:r>
      <w:r w:rsidRPr="00F83DBD">
        <w:t xml:space="preserve"> West-</w:t>
      </w:r>
      <w:r w:rsidRPr="00F83DBD">
        <w:t>Vlaanderen</w:t>
      </w:r>
      <w:r w:rsidRPr="00F83DBD">
        <w:t xml:space="preserve"> (BE25) w okresie odniesienia od 1 lipca 2025 r. do 1 listopada 2025 r.;</w:t>
      </w:r>
    </w:p>
    <w:p w:rsidR="00AD06FA" w:rsidRPr="00F83DBD" w:rsidP="00AD06FA" w14:paraId="406EB75B" w14:textId="77777777">
      <w:pPr>
        <w:pStyle w:val="NormalHanging12a"/>
      </w:pPr>
      <w:r w:rsidRPr="00F83DBD">
        <w:t>C.</w:t>
      </w:r>
      <w:r w:rsidRPr="00F83DBD">
        <w:tab/>
        <w:t>mając na uwadze, że wniosek opiera się na kryteriach interwencji określonych w art. 4 ust. 2 lit. a) rozporządzenia w sprawie EFG;</w:t>
      </w:r>
    </w:p>
    <w:p w:rsidR="00AD06FA" w:rsidRPr="00F83DBD" w:rsidP="00AD06FA" w14:paraId="727CF187" w14:textId="77777777">
      <w:pPr>
        <w:pStyle w:val="NormalHanging12a"/>
        <w:rPr>
          <w:noProof/>
        </w:rPr>
      </w:pPr>
      <w:r w:rsidRPr="00F83DBD">
        <w:t>D.</w:t>
      </w:r>
      <w:r w:rsidRPr="00F83DBD">
        <w:tab/>
        <w:t xml:space="preserve">mając na uwadze, że w grudniu 2024 r. przedsiębiorstwo </w:t>
      </w:r>
      <w:r w:rsidRPr="00F83DBD">
        <w:t>Soliver</w:t>
      </w:r>
      <w:r w:rsidRPr="00F83DBD">
        <w:t xml:space="preserve"> ogłosiło upadłość; mając na uwadze, że w Belgii liczba upadłości rośnie od 2022 r., a bezrobocie poważnie dotyka kilka regionów we Flandrii;</w:t>
      </w:r>
    </w:p>
    <w:p w:rsidR="00AD06FA" w:rsidRPr="00F83DBD" w:rsidP="00AD06FA" w14:paraId="3E4AAF38" w14:textId="77777777">
      <w:pPr>
        <w:pStyle w:val="NormalHanging12a"/>
        <w:rPr>
          <w:bCs/>
          <w:iCs/>
          <w:noProof/>
        </w:rPr>
      </w:pPr>
      <w:r w:rsidRPr="00F83DBD">
        <w:t>E.</w:t>
      </w:r>
      <w:r w:rsidRPr="00F83DBD">
        <w:tab/>
        <w:t xml:space="preserve">mając na uwadze, że wśród pracowników dotkniętych zamknięciem </w:t>
      </w:r>
      <w:r w:rsidRPr="00F83DBD">
        <w:t>Soliver</w:t>
      </w:r>
      <w:r w:rsidRPr="00F83DBD">
        <w:t xml:space="preserve"> znajduje się znaczny odsetek starszych pracowników, którzy napotykają szczególne i złożone przeszkody w powrocie na rynek pracy, w tym dyskryminację ze względu na wiek, niedopasowanie umiejętności i ograniczony dostęp do możliwości przekwalifikowania; mając na uwadze, że należy wprowadzić ukierunkowane środki w celu zaspokojenia szczególnych potrzeb starszych pracowników, w tym dostosowane do wieku formy szkolenia, mentoring i współpracę z pracodawcami zaangażowanymi w rekrutację uwzględniającą różne grupy wiekowe;</w:t>
      </w:r>
    </w:p>
    <w:p w:rsidR="00AD06FA" w:rsidRPr="00F83DBD" w:rsidP="00AD06FA" w14:paraId="5230D5D4" w14:textId="77777777">
      <w:pPr>
        <w:pStyle w:val="NormalHanging12a"/>
      </w:pPr>
      <w:r w:rsidRPr="00F83DBD">
        <w:t>F.</w:t>
      </w:r>
      <w:r w:rsidRPr="00F83DBD">
        <w:tab/>
        <w:t>mając na uwadze, że flamandzkie publiczne służby zatrudnienia (VDAB) zapewniają krajowe prefinansowanie i współfinansowanie środków;</w:t>
      </w:r>
    </w:p>
    <w:p w:rsidR="00AD06FA" w:rsidRPr="00F83DBD" w:rsidP="00AD06FA" w14:paraId="368801BB" w14:textId="77777777">
      <w:pPr>
        <w:pStyle w:val="NormalHanging12a"/>
      </w:pPr>
      <w:r w:rsidRPr="00F83DBD">
        <w:t>G.</w:t>
      </w:r>
      <w:r w:rsidRPr="00F83DBD">
        <w:tab/>
        <w:t>mając na uwadze, że spełniono wymogi przepisów unijnych i krajowych dotyczących zwolnień grupowych;</w:t>
      </w:r>
    </w:p>
    <w:p w:rsidR="00AD06FA" w:rsidRPr="00F83DBD" w:rsidP="00AD06FA" w14:paraId="1AB72300" w14:textId="77777777">
      <w:pPr>
        <w:pStyle w:val="NormalHanging12a"/>
      </w:pPr>
      <w:r w:rsidRPr="00F83DBD">
        <w:t>H.</w:t>
      </w:r>
      <w:r w:rsidRPr="00F83DBD">
        <w:tab/>
        <w:t>mając na uwadze, że wkłady finansowe z EFG powinny być ukierunkowane przede wszystkim na środki aktywnej polityki rynku pracy i zindywidualizowane usługi mające na celu trwałą reintegrację beneficjentów na rynku pracy zapewniającą dobrej jakości warunki zatrudnienia, jednocześnie oferując szkolenia rozwijające umiejętności, które ułatwią ich powrót na rynek pracy;</w:t>
      </w:r>
    </w:p>
    <w:p w:rsidR="00AD06FA" w:rsidRPr="00F83DBD" w:rsidP="00AD06FA" w14:paraId="7EC67616" w14:textId="77777777">
      <w:pPr>
        <w:pStyle w:val="NormalHanging12a"/>
      </w:pPr>
      <w:r w:rsidRPr="00F83DBD">
        <w:t>I.</w:t>
      </w:r>
      <w:r w:rsidRPr="00F83DBD">
        <w:tab/>
        <w:t>mając na uwadze, że wkłady finansowe z EFG nie mogą przekroczyć maksymalnej rocznej kwoty 30 mln EUR (w cenach z 2018 r.)</w:t>
      </w:r>
      <w:r>
        <w:rPr>
          <w:rStyle w:val="FootnoteReference"/>
        </w:rPr>
        <w:footnoteReference w:id="8"/>
      </w:r>
      <w:r w:rsidRPr="00F83DBD">
        <w:t>;</w:t>
      </w:r>
    </w:p>
    <w:p w:rsidR="00AD06FA" w:rsidRPr="00F83DBD" w:rsidP="00AD06FA" w14:paraId="1EAD27F3" w14:textId="77777777">
      <w:pPr>
        <w:pStyle w:val="NormalHanging12a"/>
      </w:pPr>
      <w:r w:rsidRPr="00F83DBD">
        <w:t>1.</w:t>
      </w:r>
      <w:r w:rsidRPr="00F83DBD">
        <w:tab/>
        <w:t>zgadza się z Komisją, że spełniono warunki wymienione w rozporządzeniu w sprawie EFG, a w szczególności w jego art. 4 ust. 2 lit. a), i że Belgia ma prawo do wkładu finansowego w wysokości 2 132 535 EUR na mocy tego rozporządzenia, co stanowi 85 % łącznych kosztów wynoszących 2 508 865 EUR (wliczając wydatki na zindywidualizowane usługi w wysokości 2 412 465 EUR oraz wydatki na działania przygotowawcze, zarządzanie, informacje, reklamy, kontrolę i sprawozdawczość w wysokości 96 400 EUR);</w:t>
      </w:r>
    </w:p>
    <w:p w:rsidR="00AD06FA" w:rsidRPr="00F83DBD" w:rsidP="00AD06FA" w14:paraId="73E255CA" w14:textId="77777777">
      <w:pPr>
        <w:pStyle w:val="NormalHanging12a"/>
      </w:pPr>
      <w:r w:rsidRPr="00F83DBD">
        <w:t>2.</w:t>
      </w:r>
      <w:r w:rsidRPr="00F83DBD">
        <w:tab/>
        <w:t>zauważa, że władze belgijskie złożyły wniosek 22 grudnia 2025 r. oraz że Komisja – po otrzymaniu od Belgii dodatkowych informacji – zakończyła ocenę wniosku prawie miesiąc przed upływem terminu, tj. 30 kwietnia 2026 r., i przekazała ją Parlamentowi tego samego dnia; podkreśla, jak ważne jest skrócenie czasu między złożeniem wniosku o pomoc z EFG a decyzją w sprawie finansowania, przy jednoczesnym pełnym zabezpieczeniu praw Parlamentu Europejskiego jako jednego z organów władzy budżetowej;</w:t>
      </w:r>
    </w:p>
    <w:p w:rsidR="00AD06FA" w:rsidRPr="00F83DBD" w:rsidP="00AD06FA" w14:paraId="4D020F48" w14:textId="77777777">
      <w:pPr>
        <w:pStyle w:val="NormalHanging12a"/>
        <w:rPr>
          <w:noProof/>
        </w:rPr>
      </w:pPr>
      <w:r w:rsidRPr="00F83DBD">
        <w:t>3.</w:t>
      </w:r>
      <w:r w:rsidRPr="00F83DBD">
        <w:tab/>
        <w:t xml:space="preserve">odnotowuje, że wniosek dotyczy 803 beneficjentów objętych pomocą, których zwolniono z przedsiębiorstwa </w:t>
      </w:r>
      <w:r w:rsidRPr="00F83DBD">
        <w:t>Soliver</w:t>
      </w:r>
      <w:r w:rsidRPr="00F83DBD">
        <w:t>;</w:t>
      </w:r>
    </w:p>
    <w:p w:rsidR="00AD06FA" w:rsidRPr="00F83DBD" w:rsidP="00AD06FA" w14:paraId="63112262" w14:textId="77777777">
      <w:pPr>
        <w:pStyle w:val="NormalHanging12a"/>
      </w:pPr>
      <w:r w:rsidRPr="00F83DBD">
        <w:t>4.</w:t>
      </w:r>
      <w:r w:rsidRPr="00F83DBD">
        <w:tab/>
        <w:t xml:space="preserve">zauważa, że przedsiębiorstwo </w:t>
      </w:r>
      <w:r w:rsidRPr="00F83DBD">
        <w:t>Soliver</w:t>
      </w:r>
      <w:r w:rsidRPr="00F83DBD">
        <w:t>, producent wyrobów szklanych dla budownictwa i sektora motoryzacyjnego, po przejęciu przez American Glass Products Holding (AGP) w 2018 r. skoncentrowało swoją działalność wyłącznie na zaawansowanych technologicznie szybach samochodowych; zauważa, że przedsiębiorstwo zaczęło borykać się z trudnościami związanymi głównie ze spowolnieniem w sektorze motoryzacyjnym, wynikającym z opóźnień w produkcji modeli samochodów, do których przeznaczone były jego produkty, co ostatecznie doprowadziło do znacznego spadku rentowności i zakończyło się upadłością;</w:t>
      </w:r>
    </w:p>
    <w:p w:rsidR="00AD06FA" w:rsidRPr="00F83DBD" w:rsidP="00AD06FA" w14:paraId="2360F2A7" w14:textId="77777777">
      <w:pPr>
        <w:pStyle w:val="NormalHanging12a"/>
        <w:rPr>
          <w:bCs/>
          <w:iCs/>
        </w:rPr>
      </w:pPr>
      <w:r w:rsidRPr="00F83DBD">
        <w:t>5.</w:t>
      </w:r>
      <w:r w:rsidRPr="00F83DBD">
        <w:tab/>
        <w:t>zwraca uwagę, że przemysł szklarski jest sektorem energochłonnym, poważnie dotkniętym utrzymującymi się wysokimi cenami energii, co znacznie osłabiło jego konkurencyjność; podkreśla, że osiągnięcie konkurencyjnych cen energii w perspektywie długoterminowej wymaga znacznego zwiększenia niezawodnych i przystępnych cenowo dostaw energii, w tym poprzez dywersyfikację źródeł energii i dróg dostaw, rozwój wewnętrznej produkcji energii oraz pełne urzeczywistnienie unii energetycznej;</w:t>
      </w:r>
    </w:p>
    <w:p w:rsidR="00AD06FA" w:rsidRPr="00F83DBD" w:rsidP="00AD06FA" w14:paraId="5949BD78" w14:textId="77777777">
      <w:pPr>
        <w:pStyle w:val="NormalHanging12a"/>
        <w:rPr>
          <w:bCs/>
          <w:iCs/>
        </w:rPr>
      </w:pPr>
      <w:r w:rsidRPr="00F83DBD">
        <w:t>6.</w:t>
      </w:r>
      <w:r w:rsidRPr="00F83DBD">
        <w:tab/>
        <w:t xml:space="preserve">zauważa, że choć pracownicy posiadający kwalifikacje techniczne lub gotowi do przekwalifikowania się mają najkorzystniejsze perspektywy zatrudnienia, wynika to z niedoboru specjalistów technicznych, spowodowanego niskim udziałem młodzieży w szkoleniach zawodowych oraz starzeniem się siły roboczej; podkreśla, że reintegracja </w:t>
      </w:r>
      <w:r w:rsidRPr="00F83DBD">
        <w:t>zwolnionych pracowników oraz zapewnienie równego dostępu do wysokiej jakości możliwości szkolenia mają kluczowe znaczenie dla gotowej na przyszłe wyzwania gospodarki europejskiej o silnej bazie przemysłowej; podkreśla w tym kontekście znaczenie wzmocnienia konkurencyjności przemysłowej Unii;</w:t>
      </w:r>
    </w:p>
    <w:p w:rsidR="00AD06FA" w:rsidRPr="00F83DBD" w:rsidP="00AD06FA" w14:paraId="7CF68566" w14:textId="77777777">
      <w:pPr>
        <w:pStyle w:val="NormalHanging12a"/>
        <w:rPr>
          <w:noProof/>
        </w:rPr>
      </w:pPr>
      <w:r w:rsidRPr="00F83DBD">
        <w:t>7.</w:t>
      </w:r>
      <w:r w:rsidRPr="00F83DBD">
        <w:tab/>
        <w:t>ubolewa nad tym, że wzrost liczby upadłości w ciągu ostatnich kilku lat miał negatywny wpływ na stopę bezrobocia w niektórych regionach Belgii, zwłaszcza w regionie Flandrii; podkreśla, że we Flandrii zwolnieni starsi pracownicy napotykają większe przeszkody w powrocie na rynek pracy; wzywa władze belgijskie do zapewnienia specjalnego i dostosowanego do potrzeb wsparcia, aby pomóc pracownikom dalej rozwijać niezbędne umiejętności pozwalające na znalezienie nowej pracy wysokiej jakości, a jednocześnie do podjęcia środków mających na celu zmniejszenie liczby przypadków upadłości i rozwiązanie problemu dysproporcji społecznych prowadzących do wykluczenia siły roboczej;</w:t>
      </w:r>
    </w:p>
    <w:p w:rsidR="00AD06FA" w:rsidRPr="00F83DBD" w:rsidP="00AD06FA" w14:paraId="18688DF9" w14:textId="77777777">
      <w:pPr>
        <w:pStyle w:val="NormalHanging12a"/>
      </w:pPr>
      <w:r w:rsidRPr="00F83DBD">
        <w:t>8.</w:t>
      </w:r>
      <w:r w:rsidRPr="00F83DBD">
        <w:tab/>
        <w:t>przypomina, że w porozumieniu z ekspertami i partnerami społecznymi na rzecz pracowników mają być świadczone zindywidualizowane usługi obejmujące następujące środki: grupę zadaniową złożoną z doświadczonych konsultantów i opiekunów klientów, świadczącą zindywidualizowane usługi doradcze; usługi w zakresie zwolnień monitorowanych zapewniające indywidualne doradztwo; pomoc w poszukiwaniu pracy; intensywną pomoc w poszukiwaniu pracy; szkolenie i przekwalifikowanie, w tym szkolenie w miejscu pracy; uczestnictwo w targach pracy; podkreśla, jak ważne jest wspieranie wysokiej jakości, zorientowanych na przyszłość miejsc pracy, które wzmacniają konkurencyjność i wspierają transformację cyfrową;</w:t>
      </w:r>
    </w:p>
    <w:p w:rsidR="00AD06FA" w:rsidRPr="00F83DBD" w:rsidP="00AD06FA" w14:paraId="7E1B3CEE" w14:textId="77777777">
      <w:pPr>
        <w:pStyle w:val="NormalHanging12a"/>
      </w:pPr>
      <w:r w:rsidRPr="00F83DBD">
        <w:t>9.</w:t>
      </w:r>
      <w:r w:rsidRPr="00F83DBD">
        <w:tab/>
        <w:t>przypomina, że EFG jest instrumentem solidarności i sprawiedliwej transformacji i chociaż zapewnia wsparcie w przypadku utraty miejsc pracy, nie może zastąpić proaktywnej polityki przemysłowej; uważa, że uruchomienie EFG musi być częścią szerszej reakcji politycznej na wszystkich szczeblach politycznych, aby zapewnić zwolnionym pracownikom odpowiednie możliwości zatrudnienia zgodne z ich kwalifikacjami i umiejętnościami; podkreśla, że Unia musi koncentrować się przede wszystkim na zapobieganiu takim zamknięciom zakładów, tworząc warunki dla utrzymania konkurencyjności produkcji przemysłowej i stabilności finansowej systemów zabezpieczenia społecznego oraz inwestując w rozwój umiejętności zarówno wysoko wykwalifikowanych pracowników, jak i pracowników przemysłowych; podkreśla potrzebę zapewnienia specjalnego wsparcia dostosowanego do profilu pracowników, przy jednoczesnym podjęciu działań mających na celu zmniejszenie liczby przypadków upadłości i rozwiązanie problemu dysproporcji społecznych prowadzących do wykluczenia siły roboczej; podkreśla, że zmniejszenie zbędnych obciążeń regulacyjnych i administracyjnych ma zasadnicze znaczenie dla wspierania konkurencyjności przemysłu, przyciągania inwestycji i utrzymania wysokiej jakości miejsc pracy w Unii;</w:t>
      </w:r>
    </w:p>
    <w:p w:rsidR="00AD06FA" w:rsidRPr="00F83DBD" w:rsidP="00AD06FA" w14:paraId="75FD6E7E" w14:textId="77777777">
      <w:pPr>
        <w:pStyle w:val="NormalHanging12a"/>
        <w:rPr>
          <w:bCs/>
          <w:iCs/>
        </w:rPr>
      </w:pPr>
      <w:r w:rsidRPr="00F83DBD">
        <w:t>10.</w:t>
      </w:r>
      <w:r w:rsidRPr="00F83DBD">
        <w:tab/>
        <w:t xml:space="preserve">podkreśla, że władze belgijskie powinny zapewnić widoczność finansowania unijnego i zwracać uwagę na jego wartość dodaną za pomocą skutecznych i ukierunkowanych informacji dla beneficjentów, władz regionalnych i lokalnych, partnerów społecznych i ogółu społeczeństwa; </w:t>
      </w:r>
    </w:p>
    <w:p w:rsidR="00AD06FA" w:rsidRPr="00F83DBD" w:rsidP="00AD06FA" w14:paraId="1684D7AE" w14:textId="77777777">
      <w:pPr>
        <w:pStyle w:val="NormalHanging12a"/>
      </w:pPr>
      <w:r w:rsidRPr="00F83DBD">
        <w:t>11.</w:t>
      </w:r>
      <w:r w:rsidRPr="00F83DBD">
        <w:tab/>
        <w:t xml:space="preserve">wzywa Komisję do zapewnienia równej widoczności tego instrumentu we wszystkich państwach członkowskich oraz do promowania jego wartości dodanej poprzez rozpowszechnianie ukierunkowanych informacji wśród organów krajowych, które </w:t>
      </w:r>
      <w:r w:rsidRPr="00F83DBD">
        <w:t>powinny dalej przekazywać takie informacje przedsiębiorstwom dotkniętym zwolnieniami, władzom regionalnym i lokalnym, partnerom społecznym i ogółowi społeczeństwa;</w:t>
      </w:r>
    </w:p>
    <w:p w:rsidR="00AD06FA" w:rsidRPr="00F83DBD" w:rsidP="00AD06FA" w14:paraId="0152E417" w14:textId="77777777">
      <w:pPr>
        <w:pStyle w:val="NormalHanging12a"/>
        <w:rPr>
          <w:bCs/>
          <w:iCs/>
        </w:rPr>
      </w:pPr>
      <w:r w:rsidRPr="00F83DBD">
        <w:t>12.</w:t>
      </w:r>
      <w:r w:rsidRPr="00F83DBD">
        <w:tab/>
        <w:t>apeluje o przeprowadzenie, wraz z partnerami społecznymi, dokładnych ocen końcowych wdrożonych środków, w tym o przedstawienie jasnych i przejrzystych informacji na temat sposobu wykorzystania funduszy, reintegracji pracowników na rynku pracy oraz tego, czy osiągnięto cele EFG; podkreśla w tym kontekście znaczenie regularnego monitorowania środków finansowanych z EFG w celu oceny ich skuteczności;</w:t>
      </w:r>
    </w:p>
    <w:p w:rsidR="00AD06FA" w:rsidRPr="00F83DBD" w:rsidP="00AD06FA" w14:paraId="6404EA78" w14:textId="77777777">
      <w:pPr>
        <w:pStyle w:val="NormalHanging12a"/>
      </w:pPr>
      <w:r w:rsidRPr="00F83DBD">
        <w:t>13.</w:t>
      </w:r>
      <w:r w:rsidRPr="00F83DBD">
        <w:tab/>
        <w:t>stwierdza, że 11 czerwca 2025 r. Belgia rozpoczęła świadczenie zindywidualizowanych usług na rzecz beneficjentów objętych pomocą i zaczęła ponosić wydatki administracyjne związane z wdrażaniem EFG, i że okres kwalifikowalności do otrzymania wkładu finansowego z EFG będzie trwał od tego dnia do upłynięcia odpowiednio 24 i 31 miesięcy od daty wejścia w życie decyzji w sprawie finansowania;</w:t>
      </w:r>
    </w:p>
    <w:p w:rsidR="00AD06FA" w:rsidRPr="00F83DBD" w:rsidP="00AD06FA" w14:paraId="2BA3EC91" w14:textId="77777777">
      <w:pPr>
        <w:pStyle w:val="NormalHanging12a"/>
      </w:pPr>
      <w:r w:rsidRPr="00F83DBD">
        <w:t>14.</w:t>
      </w:r>
      <w:r w:rsidRPr="00F83DBD">
        <w:tab/>
        <w:t xml:space="preserve">zauważa, że władze belgijskie potwierdziły, iż przy dostępie do proponowanych działań i ich wdrażaniu przestrzegane będą zasady równego traktowania i niedyskryminacji oraz że będzie się zapobiegać ewentualnym przypadkom podwójnego finansowania; </w:t>
      </w:r>
    </w:p>
    <w:p w:rsidR="00AD06FA" w:rsidRPr="00F83DBD" w:rsidP="00AD06FA" w14:paraId="4AB735FD" w14:textId="77777777">
      <w:pPr>
        <w:pStyle w:val="NormalHanging12a"/>
      </w:pPr>
      <w:r w:rsidRPr="00F83DBD">
        <w:t>15.</w:t>
      </w:r>
      <w:r w:rsidRPr="00F83DBD">
        <w:tab/>
        <w:t>przypomina, że pomoc z EFG nie może zastępować działań, za które na mocy prawa krajowego lub układów zbiorowych odpowiedzialne są władze publiczne lub przedsiębiorstwa; przypomina, że EFG jest mechanizmem ograniczonym, ukierunkowanym i uzupełniającym;</w:t>
      </w:r>
    </w:p>
    <w:p w:rsidR="00AD06FA" w:rsidRPr="00F83DBD" w:rsidP="00AD06FA" w14:paraId="719F1767" w14:textId="77777777">
      <w:pPr>
        <w:pStyle w:val="NormalHanging12a"/>
      </w:pPr>
      <w:r w:rsidRPr="00F83DBD">
        <w:t>16.</w:t>
      </w:r>
      <w:r w:rsidRPr="00F83DBD">
        <w:tab/>
        <w:t>zatwierdza decyzję załączoną do rezolucji;</w:t>
      </w:r>
    </w:p>
    <w:p w:rsidR="00AD06FA" w:rsidRPr="00F83DBD" w:rsidP="00AD06FA" w14:paraId="7F51CB37" w14:textId="77777777">
      <w:pPr>
        <w:pStyle w:val="NormalHanging12a"/>
      </w:pPr>
      <w:r w:rsidRPr="00F83DBD">
        <w:t>17.</w:t>
      </w:r>
      <w:r w:rsidRPr="00F83DBD">
        <w:tab/>
        <w:t xml:space="preserve">zobowiązuje swoją przewodniczącą do podpisania wraz z przewodniczącym Rady niniejszej decyzji i dopilnowania, by opublikowano ją w </w:t>
      </w:r>
      <w:r w:rsidRPr="00F83DBD">
        <w:rPr>
          <w:i/>
          <w:iCs/>
        </w:rPr>
        <w:t>Dzienniku Urzędowym Unii Europejskiej</w:t>
      </w:r>
      <w:r w:rsidRPr="00F83DBD">
        <w:t>;</w:t>
      </w:r>
    </w:p>
    <w:p w:rsidR="00AD06FA" w:rsidRPr="00F83DBD" w:rsidP="00AD06FA" w14:paraId="7FEE0678" w14:textId="77777777">
      <w:pPr>
        <w:pStyle w:val="NormalHanging12a"/>
      </w:pPr>
      <w:r w:rsidRPr="00F83DBD">
        <w:t>18.</w:t>
      </w:r>
      <w:r w:rsidRPr="00F83DBD">
        <w:tab/>
        <w:t>zobowiązuje swoją przewodniczącą do przekazania niniejszej rezolucji wraz z załącznikiem Radzie i Komisji.</w:t>
      </w:r>
    </w:p>
    <w:p w:rsidR="00AD06FA" w:rsidRPr="00F83DBD" w:rsidP="00AD06FA" w14:paraId="697B35C8" w14:textId="77777777">
      <w:pPr>
        <w:pStyle w:val="NormalHanging12a"/>
      </w:pPr>
    </w:p>
    <w:p w:rsidR="00AD06FA" w:rsidRPr="00F83DBD" w:rsidP="00AD06FA" w14:paraId="36CB342A" w14:textId="77777777">
      <w:pPr>
        <w:rPr>
          <w:noProof/>
        </w:rPr>
      </w:pPr>
    </w:p>
    <w:p w:rsidR="00AD06FA" w:rsidRPr="00F83DBD" w:rsidP="00AD06FA" w14:paraId="2C9D086D" w14:textId="77777777">
      <w:pPr>
        <w:pStyle w:val="PageHeading"/>
        <w:rPr>
          <w:noProof/>
        </w:rPr>
        <w:sectPr w:rsidSect="00F83DB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62FE6" w:rsidP="00AD06FA" w14:paraId="40107F76" w14:textId="77777777">
      <w:pPr>
        <w:pStyle w:val="PageHeading"/>
      </w:pPr>
      <w:bookmarkStart w:id="7" w:name="_Toc232407771"/>
      <w:r w:rsidRPr="00F83DBD">
        <w:t>ZAŁĄCZNIK</w:t>
      </w:r>
    </w:p>
    <w:p w:rsidR="00AD06FA" w:rsidRPr="00F83DBD" w:rsidP="00AD06FA" w14:paraId="1F58F6EC" w14:textId="38B62E06">
      <w:pPr>
        <w:pStyle w:val="PageHeading"/>
        <w:rPr>
          <w:noProof/>
        </w:rPr>
      </w:pPr>
      <w:r w:rsidRPr="00F83DBD">
        <w:t>DECYZJA PARLAMENTU EUROPEJSKIEGO I RADY</w:t>
      </w:r>
      <w:bookmarkEnd w:id="7"/>
    </w:p>
    <w:p w:rsidR="00AD06FA" w:rsidRPr="00F83DBD" w:rsidP="00E62FE6" w14:paraId="33056D7D" w14:textId="77777777">
      <w:pPr>
        <w:pStyle w:val="Titreobjet"/>
        <w:rPr>
          <w:noProof/>
        </w:rPr>
      </w:pPr>
      <w:r w:rsidRPr="00F83DBD">
        <w:t>w sprawie uruchomienia Europejskiego Funduszu Dostosowania do Globalizacji dla Zwalnianych Pracowników w następstwie wniosku złożonego przez Belgię – EGF/2025/009 BE/</w:t>
      </w:r>
      <w:r w:rsidRPr="00F83DBD">
        <w:t>Soliver</w:t>
      </w:r>
    </w:p>
    <w:p w:rsidR="00E62FE6" w:rsidRPr="009B0F34" w:rsidP="00E62FE6" w14:paraId="496A7565" w14:textId="26C6577C">
      <w:pPr>
        <w:rPr>
          <w:i/>
        </w:rPr>
      </w:pPr>
      <w:bookmarkStart w:id="8" w:name="_Hlk228802707"/>
      <w:bookmarkEnd w:id="8"/>
      <w:r w:rsidRPr="009B0F34">
        <w:rPr>
          <w:i/>
        </w:rPr>
        <w:t>(Tekst tego załącznika nie został powtórzony w tym miejscu, ponieważ odpowiada on końcowej wersji decyzji (UE) 20</w:t>
      </w:r>
      <w:r>
        <w:rPr>
          <w:i/>
        </w:rPr>
        <w:t>26</w:t>
      </w:r>
      <w:r w:rsidRPr="009B0F34">
        <w:rPr>
          <w:i/>
        </w:rPr>
        <w:t>/</w:t>
      </w:r>
      <w:r>
        <w:rPr>
          <w:i/>
        </w:rPr>
        <w:t>1543</w:t>
      </w:r>
      <w:r w:rsidRPr="009B0F34">
        <w:rPr>
          <w:i/>
        </w:rPr>
        <w:t>.)</w:t>
      </w:r>
    </w:p>
    <w:p w:rsidR="00E365E1" w:rsidRPr="00F83DBD" w:rsidP="00E62FE6" w14:paraId="45FEBDE8" w14:textId="60CEC704">
      <w:pPr>
        <w:pStyle w:val="Institutionquisigne"/>
        <w:spacing w:before="100" w:beforeAutospacing="1" w:after="100" w:afterAutospacing="1"/>
      </w:pPr>
    </w:p>
    <w:sectPr w:rsidSect="00F83DB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06FA" w:rsidRPr="00F83DBD" w:rsidP="00D115CE" w14:paraId="6A60F86E" w14:textId="77777777">
    <w:pPr>
      <w:pStyle w:val="EPFooter"/>
    </w:pPr>
    <w:r w:rsidRPr="00F83DBD">
      <w:t>PE</w:t>
    </w:r>
    <w:r w:rsidRPr="00F83DBD">
      <w:rPr>
        <w:rStyle w:val="HideTWBExt"/>
      </w:rPr>
      <w:t>&lt;NoPE&gt;</w:t>
    </w:r>
    <w:r w:rsidRPr="00F83DBD">
      <w:t>787.923</w:t>
    </w:r>
    <w:r w:rsidRPr="00F83DBD">
      <w:rPr>
        <w:rStyle w:val="HideTWBExt"/>
      </w:rPr>
      <w:t>&lt;/NoPE&gt;&lt;Version&gt;</w:t>
    </w:r>
    <w:r w:rsidRPr="00F83DBD">
      <w:t>v02-00</w:t>
    </w:r>
    <w:r w:rsidRPr="00F83DBD">
      <w:rPr>
        <w:rStyle w:val="HideTWBExt"/>
      </w:rPr>
      <w:t>&lt;/Version&gt;</w:t>
    </w:r>
    <w:r w:rsidRPr="00F83DBD">
      <w:tab/>
    </w:r>
    <w:r w:rsidRPr="00F83DBD">
      <w:fldChar w:fldCharType="begin"/>
    </w:r>
    <w:r w:rsidRPr="00F83DBD">
      <w:instrText xml:space="preserve"> PAGE  \* MERGEFORMAT </w:instrText>
    </w:r>
    <w:r w:rsidRPr="00F83DBD">
      <w:fldChar w:fldCharType="separate"/>
    </w:r>
    <w:r w:rsidRPr="00F83DBD">
      <w:rPr>
        <w:noProof/>
      </w:rPr>
      <w:t>4</w:t>
    </w:r>
    <w:r w:rsidRPr="00F83DBD">
      <w:fldChar w:fldCharType="end"/>
    </w:r>
    <w:r w:rsidRPr="00F83DBD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F83DBD">
      <w:rPr>
        <w:noProof/>
      </w:rPr>
      <w:t>19</w:t>
    </w:r>
    <w:r w:rsidRPr="00F83DBD">
      <w:rPr>
        <w:noProof/>
      </w:rPr>
      <w:fldChar w:fldCharType="end"/>
    </w:r>
    <w:r w:rsidRPr="00F83DBD">
      <w:tab/>
    </w:r>
    <w:r w:rsidRPr="00F83DBD">
      <w:rPr>
        <w:rStyle w:val="HideTWBExt"/>
      </w:rPr>
      <w:t>&lt;PathFdR&gt;</w:t>
    </w:r>
    <w:r w:rsidRPr="00F83DBD">
      <w:t>RR\1345097PL.docx</w:t>
    </w:r>
    <w:r w:rsidRPr="00F83DBD">
      <w:rPr>
        <w:rStyle w:val="HideTWBExt"/>
      </w:rPr>
      <w:t>&lt;/PathFdR&gt;</w:t>
    </w:r>
  </w:p>
  <w:p w:rsidR="00AD06FA" w:rsidRPr="00F83DBD" w:rsidP="00D115CE" w14:paraId="25278C13" w14:textId="77777777">
    <w:pPr>
      <w:pStyle w:val="EPFooter2"/>
    </w:pPr>
    <w:r w:rsidRPr="00F83DBD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06FA" w:rsidRPr="00F83DBD" w:rsidP="00D115CE" w14:paraId="2E201A99" w14:textId="2DBB2096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06FA" w:rsidRPr="00F83DBD" w:rsidP="00D115CE" w14:paraId="47EC2E86" w14:textId="77777777">
    <w:pPr>
      <w:pStyle w:val="EPFooter"/>
    </w:pPr>
    <w:r w:rsidRPr="00F83DBD">
      <w:rPr>
        <w:rStyle w:val="HideTWBExt"/>
      </w:rPr>
      <w:t>&lt;PathFdR&gt;</w:t>
    </w:r>
    <w:r w:rsidRPr="00F83DBD">
      <w:t>RR\1345097PL.docx</w:t>
    </w:r>
    <w:r w:rsidRPr="00F83DBD">
      <w:rPr>
        <w:rStyle w:val="HideTWBExt"/>
      </w:rPr>
      <w:t>&lt;/PathFdR&gt;</w:t>
    </w:r>
    <w:r w:rsidRPr="00F83DBD">
      <w:tab/>
    </w:r>
    <w:r w:rsidRPr="00F83DBD">
      <w:tab/>
      <w:t>PE</w:t>
    </w:r>
    <w:r w:rsidRPr="00F83DBD">
      <w:rPr>
        <w:rStyle w:val="HideTWBExt"/>
      </w:rPr>
      <w:t>&lt;NoPE&gt;</w:t>
    </w:r>
    <w:r w:rsidRPr="00F83DBD">
      <w:t>787.923</w:t>
    </w:r>
    <w:r w:rsidRPr="00F83DBD">
      <w:rPr>
        <w:rStyle w:val="HideTWBExt"/>
      </w:rPr>
      <w:t>&lt;/NoPE&gt;&lt;Version&gt;</w:t>
    </w:r>
    <w:r w:rsidRPr="00F83DBD">
      <w:t>v02-00</w:t>
    </w:r>
    <w:r w:rsidRPr="00F83DBD">
      <w:rPr>
        <w:rStyle w:val="HideTWBExt"/>
      </w:rPr>
      <w:t>&lt;/Version&gt;</w:t>
    </w:r>
  </w:p>
  <w:p w:rsidR="00AD06FA" w:rsidRPr="00F83DBD" w:rsidP="00D115CE" w14:paraId="4AC1B3A7" w14:textId="77777777">
    <w:pPr>
      <w:pStyle w:val="EPFooter2"/>
    </w:pPr>
    <w:r w:rsidRPr="00F83DBD">
      <w:t>PL</w:t>
    </w:r>
    <w:r w:rsidRPr="00F83DBD">
      <w:tab/>
    </w:r>
    <w:r w:rsidRPr="00F83DBD">
      <w:rPr>
        <w:b w:val="0"/>
        <w:i/>
        <w:color w:val="C0C0C0"/>
        <w:sz w:val="22"/>
      </w:rPr>
      <w:t>Zjednoczona w różnorodności</w:t>
    </w:r>
    <w:r w:rsidRPr="00F83DBD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3DBD" w14:paraId="647E17EF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3DBD" w14:paraId="60E7C46E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3DBD" w14:paraId="1B4235E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76C4B" w:rsidRPr="00F83DBD" w14:paraId="7C354C9F" w14:textId="77777777">
      <w:r w:rsidRPr="00F83DBD">
        <w:separator/>
      </w:r>
    </w:p>
  </w:footnote>
  <w:footnote w:type="continuationSeparator" w:id="1">
    <w:p w:rsidR="00076C4B" w:rsidRPr="00F83DBD" w14:paraId="019CCB46" w14:textId="77777777">
      <w:r w:rsidRPr="00F83DBD">
        <w:continuationSeparator/>
      </w:r>
    </w:p>
  </w:footnote>
  <w:footnote w:id="2">
    <w:p w:rsidR="00AD06FA" w:rsidRPr="00F83DBD" w:rsidP="00F83DBD" w14:paraId="3BA31F0B" w14:textId="200DBF6E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lang w:val="pl-PL"/>
        </w:rPr>
        <w:t xml:space="preserve"> </w:t>
      </w:r>
      <w:r w:rsidRPr="00F83DBD" w:rsidR="00F83DBD">
        <w:rPr>
          <w:sz w:val="24"/>
          <w:lang w:val="pl-PL"/>
        </w:rPr>
        <w:tab/>
      </w:r>
      <w:r w:rsidRPr="00F83DBD">
        <w:rPr>
          <w:sz w:val="24"/>
          <w:lang w:val="pl-PL"/>
        </w:rPr>
        <w:t xml:space="preserve">Dz.U. L 153 z 3.5.2021, s. 48, ELI: </w:t>
      </w:r>
      <w:hyperlink r:id="rId1" w:history="1">
        <w:r w:rsidRPr="00F83DBD">
          <w:rPr>
            <w:rStyle w:val="Hyperlink"/>
            <w:sz w:val="24"/>
            <w:lang w:val="pl-PL"/>
          </w:rPr>
          <w:t>http://data.europa.eu/eli/reg/2021/691/oj</w:t>
        </w:r>
      </w:hyperlink>
      <w:r w:rsidRPr="00F83DBD">
        <w:rPr>
          <w:sz w:val="24"/>
          <w:lang w:val="pl-PL"/>
        </w:rPr>
        <w:t>.</w:t>
      </w:r>
    </w:p>
  </w:footnote>
  <w:footnote w:id="3">
    <w:p w:rsidR="00AD06FA" w:rsidRPr="00F83DBD" w:rsidP="00F83DBD" w14:paraId="7BEABC50" w14:textId="1D0692C6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lang w:val="pl-PL"/>
        </w:rPr>
        <w:t xml:space="preserve"> </w:t>
      </w:r>
      <w:r w:rsidRPr="00F83DBD" w:rsidR="00F83DBD">
        <w:rPr>
          <w:sz w:val="24"/>
          <w:lang w:val="pl-PL"/>
        </w:rPr>
        <w:tab/>
      </w:r>
      <w:r w:rsidRPr="00F83DBD">
        <w:rPr>
          <w:sz w:val="24"/>
          <w:lang w:val="pl-PL"/>
        </w:rPr>
        <w:t>Dz.U. L, 2026/1139, 20.5.2026, ELI: </w:t>
      </w:r>
      <w:hyperlink r:id="rId2" w:tgtFrame="_blank" w:tooltip="Dostęp do dokumentu poprzez identyfikator URI w systemie ELI." w:history="1">
        <w:r w:rsidRPr="00F83DBD">
          <w:rPr>
            <w:rStyle w:val="Hyperlink"/>
            <w:color w:val="0070C0"/>
            <w:sz w:val="24"/>
            <w:lang w:val="pl-PL"/>
          </w:rPr>
          <w:t>http://data.europa.eu/eli/reg/2026/1139/oj</w:t>
        </w:r>
      </w:hyperlink>
      <w:r w:rsidRPr="00F83DBD">
        <w:rPr>
          <w:color w:val="0070C0"/>
          <w:sz w:val="24"/>
          <w:lang w:val="pl-PL"/>
        </w:rPr>
        <w:t>.</w:t>
      </w:r>
    </w:p>
  </w:footnote>
  <w:footnote w:id="4">
    <w:p w:rsidR="00AD06FA" w:rsidRPr="00F83DBD" w:rsidP="00F83DBD" w14:paraId="774748AA" w14:textId="57BB335D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lang w:val="pl-PL"/>
        </w:rPr>
        <w:t xml:space="preserve"> </w:t>
      </w:r>
      <w:r w:rsidRPr="00F83DBD" w:rsidR="00F83DBD">
        <w:rPr>
          <w:sz w:val="24"/>
          <w:lang w:val="pl-PL"/>
        </w:rPr>
        <w:tab/>
      </w:r>
      <w:r w:rsidRPr="00F83DBD">
        <w:rPr>
          <w:sz w:val="24"/>
          <w:lang w:val="pl-PL"/>
        </w:rPr>
        <w:t xml:space="preserve">Dz.U. L 433 I z 22.12.2020, s. 11, ELI: </w:t>
      </w:r>
      <w:hyperlink r:id="rId3" w:history="1">
        <w:r w:rsidRPr="00F83DBD">
          <w:rPr>
            <w:rStyle w:val="Hyperlink"/>
            <w:sz w:val="24"/>
            <w:lang w:val="pl-PL"/>
          </w:rPr>
          <w:t>http://data.europa.eu/eli/reg/2020/2093/oj</w:t>
        </w:r>
      </w:hyperlink>
      <w:r w:rsidRPr="00F83DBD">
        <w:rPr>
          <w:sz w:val="24"/>
          <w:lang w:val="pl-PL"/>
        </w:rPr>
        <w:t>.</w:t>
      </w:r>
    </w:p>
  </w:footnote>
  <w:footnote w:id="5">
    <w:p w:rsidR="00AD06FA" w:rsidRPr="00F83DBD" w:rsidP="00F83DBD" w14:paraId="04BB887D" w14:textId="123251F9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shd w:val="clear" w:color="auto" w:fill="FFFFFF"/>
          <w:lang w:val="pl-PL"/>
        </w:rPr>
        <w:t xml:space="preserve"> </w:t>
      </w:r>
      <w:r w:rsidRPr="00F83DBD" w:rsidR="00F83DBD">
        <w:rPr>
          <w:sz w:val="24"/>
          <w:shd w:val="clear" w:color="auto" w:fill="FFFFFF"/>
          <w:lang w:val="pl-PL"/>
        </w:rPr>
        <w:tab/>
      </w:r>
      <w:r w:rsidRPr="00F83DBD">
        <w:rPr>
          <w:sz w:val="24"/>
          <w:shd w:val="clear" w:color="auto" w:fill="FFFFFF"/>
          <w:lang w:val="pl-PL"/>
        </w:rPr>
        <w:t xml:space="preserve">Rozporządzenie Rady (UE, </w:t>
      </w:r>
      <w:r w:rsidRPr="00F83DBD">
        <w:rPr>
          <w:sz w:val="24"/>
          <w:shd w:val="clear" w:color="auto" w:fill="FFFFFF"/>
          <w:lang w:val="pl-PL"/>
        </w:rPr>
        <w:t>Euratom</w:t>
      </w:r>
      <w:r w:rsidRPr="00F83DBD">
        <w:rPr>
          <w:sz w:val="24"/>
          <w:shd w:val="clear" w:color="auto" w:fill="FFFFFF"/>
          <w:lang w:val="pl-PL"/>
        </w:rPr>
        <w:t xml:space="preserve">) 2024/765 z dnia 29 lutego 2024 r. w sprawie zmiany rozporządzenia (UE, </w:t>
      </w:r>
      <w:r w:rsidRPr="00F83DBD">
        <w:rPr>
          <w:sz w:val="24"/>
          <w:shd w:val="clear" w:color="auto" w:fill="FFFFFF"/>
          <w:lang w:val="pl-PL"/>
        </w:rPr>
        <w:t>Euratom</w:t>
      </w:r>
      <w:r w:rsidRPr="00F83DBD">
        <w:rPr>
          <w:sz w:val="24"/>
          <w:shd w:val="clear" w:color="auto" w:fill="FFFFFF"/>
          <w:lang w:val="pl-PL"/>
        </w:rPr>
        <w:t>) 2020/2093 określającego wieloletnie ramy finansowe na lata 2021–2027 (Dz.U. L, 2024/765, 29.2.2024, ELI:</w:t>
      </w:r>
      <w:r w:rsidRPr="00F83DBD">
        <w:rPr>
          <w:color w:val="333333"/>
          <w:sz w:val="24"/>
          <w:shd w:val="clear" w:color="auto" w:fill="FFFFFF"/>
          <w:lang w:val="pl-PL"/>
        </w:rPr>
        <w:t xml:space="preserve"> </w:t>
      </w:r>
      <w:hyperlink r:id="rId4" w:history="1">
        <w:r w:rsidRPr="00F83DBD">
          <w:rPr>
            <w:rStyle w:val="Hyperlink"/>
            <w:sz w:val="24"/>
            <w:shd w:val="clear" w:color="auto" w:fill="FFFFFF"/>
            <w:lang w:val="pl-PL"/>
          </w:rPr>
          <w:t>http://data.europa.eu/eli/reg/2024/765/oj</w:t>
        </w:r>
      </w:hyperlink>
      <w:r w:rsidRPr="00F83DBD">
        <w:rPr>
          <w:i/>
          <w:color w:val="333333"/>
          <w:sz w:val="24"/>
          <w:shd w:val="clear" w:color="auto" w:fill="FFFFFF"/>
          <w:lang w:val="pl-PL"/>
        </w:rPr>
        <w:t>).</w:t>
      </w:r>
    </w:p>
  </w:footnote>
  <w:footnote w:id="6">
    <w:p w:rsidR="00AD06FA" w:rsidRPr="00F83DBD" w:rsidP="00F83DBD" w14:paraId="296FD816" w14:textId="46199E23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lang w:val="pl-PL"/>
        </w:rPr>
        <w:t xml:space="preserve"> </w:t>
      </w:r>
      <w:r w:rsidRPr="00F83DBD" w:rsidR="00F83DBD">
        <w:rPr>
          <w:sz w:val="24"/>
          <w:lang w:val="pl-PL"/>
        </w:rPr>
        <w:tab/>
      </w:r>
      <w:r w:rsidRPr="00F83DBD">
        <w:rPr>
          <w:sz w:val="24"/>
          <w:lang w:val="pl-PL"/>
        </w:rPr>
        <w:t xml:space="preserve">Dz.U. L 433 I z 22.12.2020, s. 28, ELI: </w:t>
      </w:r>
      <w:hyperlink r:id="rId5" w:history="1">
        <w:r w:rsidRPr="00F83DBD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F83DBD">
        <w:rPr>
          <w:sz w:val="24"/>
          <w:lang w:val="pl-PL"/>
        </w:rPr>
        <w:t>.</w:t>
      </w:r>
    </w:p>
  </w:footnote>
  <w:footnote w:id="7">
    <w:p w:rsidR="00AD06FA" w:rsidRPr="00F83DBD" w:rsidP="00F83DBD" w14:paraId="42C19211" w14:textId="740DF604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lang w:val="pl-PL"/>
        </w:rPr>
        <w:t xml:space="preserve"> </w:t>
      </w:r>
      <w:r w:rsidRPr="00F83DBD" w:rsidR="00F83DBD">
        <w:rPr>
          <w:sz w:val="24"/>
          <w:lang w:val="pl-PL"/>
        </w:rPr>
        <w:tab/>
      </w:r>
      <w:r w:rsidRPr="00F83DBD">
        <w:rPr>
          <w:sz w:val="24"/>
          <w:lang w:val="pl-PL"/>
        </w:rPr>
        <w:t>W rozumieniu art. 3 rozporządzenia w sprawie EFG.</w:t>
      </w:r>
    </w:p>
  </w:footnote>
  <w:footnote w:id="8">
    <w:p w:rsidR="00AD06FA" w:rsidRPr="00F83DBD" w:rsidP="00F83DBD" w14:paraId="170D7A5C" w14:textId="6AC580C2">
      <w:pPr>
        <w:pStyle w:val="FootnoteText"/>
        <w:ind w:left="567" w:hanging="567"/>
        <w:rPr>
          <w:sz w:val="24"/>
          <w:lang w:val="pl-PL"/>
        </w:rPr>
      </w:pPr>
      <w:r w:rsidRPr="00F83DBD">
        <w:rPr>
          <w:rStyle w:val="FootnoteReference"/>
          <w:sz w:val="24"/>
          <w:lang w:val="pl-PL"/>
        </w:rPr>
        <w:footnoteRef/>
      </w:r>
      <w:r w:rsidRPr="00F83DBD" w:rsidR="00F83DBD">
        <w:rPr>
          <w:sz w:val="24"/>
          <w:lang w:val="pl-PL"/>
        </w:rPr>
        <w:t xml:space="preserve"> </w:t>
      </w:r>
      <w:r w:rsidRPr="00F83DBD" w:rsidR="00F83DBD">
        <w:rPr>
          <w:sz w:val="24"/>
          <w:lang w:val="pl-PL"/>
        </w:rPr>
        <w:tab/>
      </w:r>
      <w:r w:rsidRPr="00F83DBD">
        <w:rPr>
          <w:sz w:val="24"/>
          <w:lang w:val="pl-PL"/>
        </w:rPr>
        <w:t>Artykuł 8 rozporządzenia w sprawie WRF.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06FA" w:rsidRPr="00F83DBD" w14:paraId="09FBF8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06FA" w:rsidRPr="00F83DBD" w14:paraId="3953A34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06FA" w:rsidRPr="00F83DBD" w14:paraId="157D27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3DBD" w14:paraId="4A98817C" w14:textId="77777777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3DBD" w14:paraId="078379AB" w14:textId="77777777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3DBD" w14:paraId="3FD8CFB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9936043">
    <w:abstractNumId w:val="9"/>
  </w:num>
  <w:num w:numId="2" w16cid:durableId="1493570913">
    <w:abstractNumId w:val="9"/>
  </w:num>
  <w:num w:numId="3" w16cid:durableId="1975405130">
    <w:abstractNumId w:val="7"/>
  </w:num>
  <w:num w:numId="4" w16cid:durableId="640767407">
    <w:abstractNumId w:val="7"/>
  </w:num>
  <w:num w:numId="5" w16cid:durableId="2042587958">
    <w:abstractNumId w:val="6"/>
  </w:num>
  <w:num w:numId="6" w16cid:durableId="312569539">
    <w:abstractNumId w:val="6"/>
  </w:num>
  <w:num w:numId="7" w16cid:durableId="583690894">
    <w:abstractNumId w:val="5"/>
  </w:num>
  <w:num w:numId="8" w16cid:durableId="1735814955">
    <w:abstractNumId w:val="5"/>
  </w:num>
  <w:num w:numId="9" w16cid:durableId="1496191709">
    <w:abstractNumId w:val="4"/>
  </w:num>
  <w:num w:numId="10" w16cid:durableId="849222278">
    <w:abstractNumId w:val="4"/>
  </w:num>
  <w:num w:numId="11" w16cid:durableId="83037205">
    <w:abstractNumId w:val="8"/>
  </w:num>
  <w:num w:numId="12" w16cid:durableId="1760103822">
    <w:abstractNumId w:val="8"/>
  </w:num>
  <w:num w:numId="13" w16cid:durableId="823788004">
    <w:abstractNumId w:val="3"/>
  </w:num>
  <w:num w:numId="14" w16cid:durableId="631401815">
    <w:abstractNumId w:val="3"/>
  </w:num>
  <w:num w:numId="15" w16cid:durableId="403645798">
    <w:abstractNumId w:val="2"/>
  </w:num>
  <w:num w:numId="16" w16cid:durableId="323555361">
    <w:abstractNumId w:val="2"/>
  </w:num>
  <w:num w:numId="17" w16cid:durableId="1642953409">
    <w:abstractNumId w:val="1"/>
  </w:num>
  <w:num w:numId="18" w16cid:durableId="130559314">
    <w:abstractNumId w:val="1"/>
  </w:num>
  <w:num w:numId="19" w16cid:durableId="1457286236">
    <w:abstractNumId w:val="0"/>
  </w:num>
  <w:num w:numId="20" w16cid:durableId="690761475">
    <w:abstractNumId w:val="0"/>
  </w:num>
  <w:num w:numId="21" w16cid:durableId="135538351">
    <w:abstractNumId w:val="9"/>
  </w:num>
  <w:num w:numId="22" w16cid:durableId="266469792">
    <w:abstractNumId w:val="7"/>
  </w:num>
  <w:num w:numId="23" w16cid:durableId="1120951608">
    <w:abstractNumId w:val="6"/>
  </w:num>
  <w:num w:numId="24" w16cid:durableId="340595252">
    <w:abstractNumId w:val="5"/>
  </w:num>
  <w:num w:numId="25" w16cid:durableId="26563030">
    <w:abstractNumId w:val="4"/>
  </w:num>
  <w:num w:numId="26" w16cid:durableId="1652902922">
    <w:abstractNumId w:val="8"/>
  </w:num>
  <w:num w:numId="27" w16cid:durableId="193033223">
    <w:abstractNumId w:val="3"/>
  </w:num>
  <w:num w:numId="28" w16cid:durableId="300379192">
    <w:abstractNumId w:val="2"/>
  </w:num>
  <w:num w:numId="29" w16cid:durableId="853037185">
    <w:abstractNumId w:val="1"/>
  </w:num>
  <w:num w:numId="30" w16cid:durableId="1488743192">
    <w:abstractNumId w:val="0"/>
  </w:num>
  <w:num w:numId="31" w16cid:durableId="408382115">
    <w:abstractNumId w:val="9"/>
  </w:num>
  <w:num w:numId="32" w16cid:durableId="1271736821">
    <w:abstractNumId w:val="7"/>
  </w:num>
  <w:num w:numId="33" w16cid:durableId="900017021">
    <w:abstractNumId w:val="6"/>
  </w:num>
  <w:num w:numId="34" w16cid:durableId="707797418">
    <w:abstractNumId w:val="5"/>
  </w:num>
  <w:num w:numId="35" w16cid:durableId="1268198184">
    <w:abstractNumId w:val="4"/>
  </w:num>
  <w:num w:numId="36" w16cid:durableId="227956393">
    <w:abstractNumId w:val="8"/>
  </w:num>
  <w:num w:numId="37" w16cid:durableId="531190988">
    <w:abstractNumId w:val="3"/>
  </w:num>
  <w:num w:numId="38" w16cid:durableId="1591740325">
    <w:abstractNumId w:val="2"/>
  </w:num>
  <w:num w:numId="39" w16cid:durableId="1263876637">
    <w:abstractNumId w:val="1"/>
  </w:num>
  <w:num w:numId="40" w16cid:durableId="1652173099">
    <w:abstractNumId w:val="0"/>
  </w:num>
  <w:num w:numId="41" w16cid:durableId="1205403815">
    <w:abstractNumId w:val="10"/>
  </w:num>
  <w:num w:numId="42" w16cid:durableId="1851408124">
    <w:abstractNumId w:val="10"/>
  </w:num>
  <w:num w:numId="43" w16cid:durableId="2089225938">
    <w:abstractNumId w:val="10"/>
  </w:num>
  <w:num w:numId="44" w16cid:durableId="14294226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C4B"/>
    <w:rsid w:val="00002272"/>
    <w:rsid w:val="00064002"/>
    <w:rsid w:val="000677B9"/>
    <w:rsid w:val="00076C4B"/>
    <w:rsid w:val="000831BA"/>
    <w:rsid w:val="000A42CC"/>
    <w:rsid w:val="000E7DD9"/>
    <w:rsid w:val="0010095E"/>
    <w:rsid w:val="001247A9"/>
    <w:rsid w:val="00125B37"/>
    <w:rsid w:val="00187494"/>
    <w:rsid w:val="001F32AE"/>
    <w:rsid w:val="002767FF"/>
    <w:rsid w:val="002B18FE"/>
    <w:rsid w:val="002B5493"/>
    <w:rsid w:val="00302445"/>
    <w:rsid w:val="00343214"/>
    <w:rsid w:val="00361C00"/>
    <w:rsid w:val="00395FA1"/>
    <w:rsid w:val="003E15D4"/>
    <w:rsid w:val="00411CCE"/>
    <w:rsid w:val="0041666E"/>
    <w:rsid w:val="00421060"/>
    <w:rsid w:val="0042430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9D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F34"/>
    <w:rsid w:val="00A1687D"/>
    <w:rsid w:val="00A43E52"/>
    <w:rsid w:val="00A4678D"/>
    <w:rsid w:val="00A778C7"/>
    <w:rsid w:val="00AB441E"/>
    <w:rsid w:val="00AB6293"/>
    <w:rsid w:val="00AD06FA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5CE"/>
    <w:rsid w:val="00D56C11"/>
    <w:rsid w:val="00D834A0"/>
    <w:rsid w:val="00D872DF"/>
    <w:rsid w:val="00D91E21"/>
    <w:rsid w:val="00DA7FCD"/>
    <w:rsid w:val="00E365E1"/>
    <w:rsid w:val="00E62FE6"/>
    <w:rsid w:val="00E820A4"/>
    <w:rsid w:val="00EB006A"/>
    <w:rsid w:val="00EB4772"/>
    <w:rsid w:val="00ED169E"/>
    <w:rsid w:val="00ED4235"/>
    <w:rsid w:val="00F04346"/>
    <w:rsid w:val="00F075DC"/>
    <w:rsid w:val="00F149E9"/>
    <w:rsid w:val="00F45185"/>
    <w:rsid w:val="00F5134D"/>
    <w:rsid w:val="00F74202"/>
    <w:rsid w:val="00F83DBD"/>
    <w:rsid w:val="00F87713"/>
    <w:rsid w:val="00FB4360"/>
    <w:rsid w:val="00FD0C70"/>
  </w:rsids>
  <w:docVars>
    <w:docVar w:name="dvdocse" w:val="A10-0149/2026"/>
    <w:docVar w:name="dvlangue" w:val="PL"/>
    <w:docVar w:name="dvnumam" w:val="0"/>
    <w:docVar w:name="dvpe" w:val="787.923"/>
    <w:docVar w:name="dvrapporteur" w:val="Sprawozdawca: "/>
    <w:docVar w:name="dvtitre" w:val="Rezolucja Parlamentu Europejskiego z dnia  2026 r. w sprawie wniosku dotyczącego decyzji Parlamentu Europejskiego i Rady w sprawie uruchomienia Europejskiego Funduszu Dostosowania do Globalizacji dla Zwalnianych Pracowników w następstwie wniosku złożonego przez Belgię – EGF/2025/009 BE/Soliver(COM(2026)0050 – C10-0111/2026 – 2026/0097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815E97"/>
  <w15:chartTrackingRefBased/>
  <w15:docId w15:val="{9AF78C11-B277-4D78-96E1-DAD5543E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D06F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AD06F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D06FA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D06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06FA"/>
    <w:rPr>
      <w:sz w:val="24"/>
      <w:lang w:val="pl-PL"/>
    </w:rPr>
  </w:style>
  <w:style w:type="paragraph" w:customStyle="1" w:styleId="EPFooter">
    <w:name w:val="EPFooter"/>
    <w:basedOn w:val="Normal"/>
    <w:rsid w:val="00AD06F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D06FA"/>
    <w:pPr>
      <w:spacing w:before="480" w:after="240"/>
    </w:pPr>
  </w:style>
  <w:style w:type="character" w:styleId="Hyperlink">
    <w:name w:val="Hyperlink"/>
    <w:basedOn w:val="DefaultParagraphFont"/>
    <w:uiPriority w:val="99"/>
    <w:rsid w:val="00AD06FA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D06FA"/>
    <w:rPr>
      <w:sz w:val="24"/>
      <w:lang w:val="pl-PL"/>
    </w:rPr>
  </w:style>
  <w:style w:type="paragraph" w:customStyle="1" w:styleId="Titreobjet">
    <w:name w:val="Titre objet"/>
    <w:basedOn w:val="Normal"/>
    <w:next w:val="Normal"/>
    <w:rsid w:val="00AD06F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D06FA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D06F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AD06FA"/>
    <w:rPr>
      <w:rFonts w:ascii="Arial" w:hAnsi="Arial" w:cs="Arial"/>
      <w:b/>
      <w:sz w:val="24"/>
      <w:lang w:val="pl-PL"/>
    </w:rPr>
  </w:style>
  <w:style w:type="paragraph" w:customStyle="1" w:styleId="Fait">
    <w:name w:val="Fait à"/>
    <w:basedOn w:val="Normal"/>
    <w:next w:val="Institutionquisigne"/>
    <w:rsid w:val="00AD06FA"/>
    <w:pPr>
      <w:keepNext/>
      <w:widowControl/>
      <w:spacing w:before="120" w:line="360" w:lineRule="auto"/>
    </w:pPr>
    <w:rPr>
      <w:rFonts w:eastAsiaTheme="minorHAnsi"/>
      <w:szCs w:val="22"/>
      <w:lang w:eastAsia="pl-PL" w:bidi="pl-PL"/>
    </w:rPr>
  </w:style>
  <w:style w:type="paragraph" w:styleId="Revision">
    <w:name w:val="Revision"/>
    <w:hidden/>
    <w:uiPriority w:val="99"/>
    <w:semiHidden/>
    <w:rsid w:val="001247A9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theme" Target="theme/theme1.xml" /><Relationship Id="rId2" Type="http://schemas.openxmlformats.org/officeDocument/2006/relationships/settings" Target="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6/1139/oj" TargetMode="External" /><Relationship Id="rId3" Type="http://schemas.openxmlformats.org/officeDocument/2006/relationships/hyperlink" Target="http://data.europa.eu/eli/reg/2020/2093/oj" TargetMode="External" /><Relationship Id="rId4" Type="http://schemas.openxmlformats.org/officeDocument/2006/relationships/hyperlink" Target="http://data.europa.eu/eli/reg/2024/765/oj" TargetMode="External" /><Relationship Id="rId5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1619</Words>
  <Characters>11185</Characters>
  <Application>Microsoft Office Word</Application>
  <DocSecurity>0</DocSecurity>
  <Lines>93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2026-09-07T13:46:00Z</dcterms:created>
  <dcterms:modified xsi:type="dcterms:W3CDTF">2026-09-07T13:46:00Z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P10_TA(2026)0201_</vt:lpwstr>
  </property>
  <property fmtid="{D5CDD505-2E9C-101B-9397-08002B2CF9AE}" pid="4" name="&lt;Type&gt;">
    <vt:lpwstr>RR</vt:lpwstr>
  </property>
</Properties>
</file>