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E694F0" w14:textId="77777777" w:rsidTr="0010095E">
        <w:tblPrEx>
          <w:tblW w:w="9072" w:type="dxa"/>
          <w:tblLook w:val="01E0"/>
        </w:tblPrEx>
        <w:trPr>
          <w:trHeight w:hRule="exact" w:val="1418"/>
        </w:trPr>
        <w:tc>
          <w:tcPr>
            <w:tcW w:w="6804" w:type="dxa"/>
            <w:shd w:val="clear" w:color="auto" w:fill="auto"/>
            <w:vAlign w:val="center"/>
          </w:tcPr>
          <w:p w:rsidR="00751A4A" w:rsidRPr="000D2675" w:rsidP="0010095E" w14:paraId="77DD043B" w14:textId="1D7A95EA">
            <w:pPr>
              <w:pStyle w:val="EPName"/>
            </w:pPr>
            <w:r w:rsidRPr="000D2675">
              <w:t>Parlamentul European</w:t>
            </w:r>
          </w:p>
          <w:p w:rsidR="00751A4A" w:rsidRPr="000D2675" w:rsidP="005F1B17" w14:paraId="74F83DEC" w14:textId="77777777">
            <w:pPr>
              <w:pStyle w:val="EPTerm"/>
              <w:rPr>
                <w:rStyle w:val="HideTWBExt"/>
                <w:noProof w:val="0"/>
                <w:vanish w:val="0"/>
                <w:color w:val="auto"/>
              </w:rPr>
            </w:pPr>
            <w:r w:rsidRPr="000D2675">
              <w:t>2024</w:t>
            </w:r>
            <w:r w:rsidRPr="000D2675" w:rsidR="00817416">
              <w:t>-202</w:t>
            </w:r>
            <w:r w:rsidRPr="000D2675">
              <w:t>9</w:t>
            </w:r>
          </w:p>
        </w:tc>
        <w:tc>
          <w:tcPr>
            <w:tcW w:w="2268" w:type="dxa"/>
            <w:shd w:val="clear" w:color="auto" w:fill="auto"/>
          </w:tcPr>
          <w:p w:rsidR="00751A4A" w:rsidRPr="000D2675" w:rsidP="0010095E" w14:paraId="726C758D" w14:textId="77777777">
            <w:pPr>
              <w:pStyle w:val="EPLogo"/>
            </w:pPr>
            <w:r w:rsidRPr="000D267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D2675" w:rsidP="004C5D52" w14:paraId="39EC98A0" w14:textId="77777777">
      <w:pPr>
        <w:pStyle w:val="LineTop"/>
      </w:pPr>
    </w:p>
    <w:p w:rsidR="00680577" w:rsidRPr="000D2675" w:rsidP="00680577" w14:paraId="44A7F902" w14:textId="6241DE2F">
      <w:pPr>
        <w:pStyle w:val="EPBodyTA1"/>
      </w:pPr>
      <w:r w:rsidRPr="000D2675">
        <w:t>TEXTE ADOPTATE</w:t>
      </w:r>
    </w:p>
    <w:p w:rsidR="00D058B8" w:rsidRPr="000D2675" w:rsidP="00D058B8" w14:paraId="7B08951E" w14:textId="77777777">
      <w:pPr>
        <w:pStyle w:val="LineBottom"/>
      </w:pPr>
    </w:p>
    <w:p w:rsidR="00486C32" w:rsidRPr="000D2675" w:rsidP="00486C32" w14:paraId="07FDEA76" w14:textId="3274D686">
      <w:pPr>
        <w:pStyle w:val="ATHeading1"/>
      </w:pPr>
      <w:bookmarkStart w:id="0" w:name="TANumber"/>
      <w:r w:rsidRPr="000D2675">
        <w:t>P10_TA(2026)0</w:t>
      </w:r>
      <w:r w:rsidRPr="000D2675" w:rsidR="000D2675">
        <w:t>201</w:t>
      </w:r>
      <w:bookmarkEnd w:id="0"/>
    </w:p>
    <w:p w:rsidR="00486C32" w:rsidRPr="000D2675" w:rsidP="00486C32" w14:paraId="6290758E" w14:textId="2A8F9556">
      <w:pPr>
        <w:pStyle w:val="ATHeading2"/>
      </w:pPr>
      <w:bookmarkStart w:id="1" w:name="title"/>
      <w:r w:rsidRPr="000D2675">
        <w:t>Mobilizarea Fondului european de ajustare la globalizare pentru lucrătorii disponibilizați în urma unei cereri din partea Belgiei – EGF/2025/009 BE/</w:t>
      </w:r>
      <w:r w:rsidRPr="000D2675">
        <w:t>Soliver</w:t>
      </w:r>
      <w:bookmarkEnd w:id="1"/>
    </w:p>
    <w:p w:rsidR="00486C32" w:rsidRPr="000D2675" w:rsidP="00486C32" w14:paraId="192CF933" w14:textId="77777777">
      <w:pPr>
        <w:rPr>
          <w:i/>
          <w:vanish/>
        </w:rPr>
      </w:pPr>
      <w:r>
        <w:rPr>
          <w:i/>
        </w:rPr>
        <w:fldChar w:fldCharType="begin"/>
      </w:r>
      <w:r w:rsidRPr="000D2675">
        <w:rPr>
          <w:i/>
        </w:rPr>
        <w:instrText xml:space="preserve"> TC"(</w:instrText>
      </w:r>
      <w:bookmarkStart w:id="2" w:name="DocNumber"/>
      <w:r w:rsidRPr="000D2675">
        <w:rPr>
          <w:i/>
        </w:rPr>
        <w:instrText>A10-0149/2026</w:instrText>
      </w:r>
      <w:bookmarkEnd w:id="2"/>
      <w:r w:rsidRPr="000D2675">
        <w:rPr>
          <w:i/>
        </w:rPr>
        <w:instrText xml:space="preserve"> - Raportor: Bogdan Rzońca)"\l3 \n&gt; \* MERGEFORMAT </w:instrText>
      </w:r>
      <w:r>
        <w:rPr>
          <w:i/>
        </w:rPr>
        <w:fldChar w:fldCharType="end"/>
      </w:r>
    </w:p>
    <w:p w:rsidR="00486C32" w:rsidRPr="000D2675" w:rsidP="00486C32" w14:paraId="0CA03084" w14:textId="77777777">
      <w:pPr>
        <w:rPr>
          <w:vanish/>
        </w:rPr>
      </w:pPr>
      <w:bookmarkStart w:id="3" w:name="Commission"/>
      <w:r w:rsidRPr="000D2675">
        <w:rPr>
          <w:vanish/>
        </w:rPr>
        <w:t>Comisia pentru bugete</w:t>
      </w:r>
      <w:bookmarkEnd w:id="3"/>
    </w:p>
    <w:p w:rsidR="00486C32" w:rsidRPr="000D2675" w:rsidP="00486C32" w14:paraId="701952EF" w14:textId="77777777">
      <w:pPr>
        <w:rPr>
          <w:vanish/>
        </w:rPr>
      </w:pPr>
      <w:bookmarkStart w:id="4" w:name="PE"/>
      <w:r w:rsidRPr="000D2675">
        <w:rPr>
          <w:vanish/>
        </w:rPr>
        <w:t>PE787.923</w:t>
      </w:r>
      <w:bookmarkEnd w:id="4"/>
    </w:p>
    <w:p w:rsidR="00486C32" w:rsidRPr="000D2675" w:rsidP="00486C32" w14:paraId="42CD04BC" w14:textId="57C107AF">
      <w:pPr>
        <w:pStyle w:val="ATHeading3"/>
      </w:pPr>
      <w:bookmarkStart w:id="5" w:name="Sujet"/>
      <w:r w:rsidRPr="000D2675">
        <w:t xml:space="preserve">Rezoluția Parlamentului European din </w:t>
      </w:r>
      <w:r w:rsidRPr="000D2675" w:rsidR="00D04EF5">
        <w:t>16 iunie</w:t>
      </w:r>
      <w:r w:rsidRPr="000D2675">
        <w:t xml:space="preserve"> 2026 referito</w:t>
      </w:r>
      <w:r w:rsidRPr="000D2675" w:rsidR="00E82DA9">
        <w:t>a</w:t>
      </w:r>
      <w:r w:rsidRPr="000D2675">
        <w:t>r</w:t>
      </w:r>
      <w:r w:rsidRPr="000D2675" w:rsidR="00E82DA9">
        <w:t>e</w:t>
      </w:r>
      <w:r w:rsidRPr="000D2675">
        <w:t xml:space="preserve"> la propunerea de decizie a Parlamentului European și a Consiliului privind mobilizarea Fondului european de ajustare la globalizare pentru lucrătorii disponibilizați în urma unei cereri din partea Belgiei – EGF/2025/009 BE/</w:t>
      </w:r>
      <w:r w:rsidRPr="000D2675">
        <w:t>Soliver</w:t>
      </w:r>
      <w:bookmarkEnd w:id="5"/>
      <w:r w:rsidRPr="000D2675">
        <w:t xml:space="preserve"> </w:t>
      </w:r>
      <w:bookmarkStart w:id="6" w:name="References"/>
      <w:r w:rsidRPr="000D2675">
        <w:t>(COM(2026)0050 – C10-0111/2026 – 2026/0097(BUD))</w:t>
      </w:r>
      <w:bookmarkEnd w:id="6"/>
    </w:p>
    <w:p w:rsidR="002A0DD0" w:rsidRPr="000D2675" w:rsidP="002A0DD0" w14:paraId="7B270D36" w14:textId="77777777">
      <w:pPr>
        <w:pStyle w:val="EPComma"/>
        <w:rPr>
          <w:noProof/>
        </w:rPr>
      </w:pPr>
      <w:r w:rsidRPr="000D2675">
        <w:rPr>
          <w:i/>
        </w:rPr>
        <w:t>Parlamentul European</w:t>
      </w:r>
      <w:r w:rsidRPr="000D2675">
        <w:t>,</w:t>
      </w:r>
    </w:p>
    <w:p w:rsidR="002A0DD0" w:rsidRPr="000D2675" w:rsidP="002A0DD0" w14:paraId="2432CF79" w14:textId="77777777">
      <w:pPr>
        <w:pStyle w:val="NormalHanging12a"/>
        <w:rPr>
          <w:noProof/>
        </w:rPr>
      </w:pPr>
      <w:r w:rsidRPr="000D2675">
        <w:t>–</w:t>
      </w:r>
      <w:r w:rsidRPr="000D2675">
        <w:tab/>
        <w:t>având în vedere propunerea Comisiei prezentată Parlamentului European și Consiliului [COM(2026)0050 – C10</w:t>
      </w:r>
      <w:r w:rsidRPr="000D2675">
        <w:noBreakHyphen/>
        <w:t>0111/2026)],</w:t>
      </w:r>
    </w:p>
    <w:p w:rsidR="002A0DD0" w:rsidRPr="000D2675" w:rsidP="002A0DD0" w14:paraId="4C4E1C5D" w14:textId="77777777">
      <w:pPr>
        <w:pStyle w:val="NormalHanging12a"/>
      </w:pPr>
      <w:r w:rsidRPr="000D2675">
        <w:t>–</w:t>
      </w:r>
      <w:r w:rsidRPr="000D2675">
        <w:tab/>
        <w:t>având în vedere Regulamentul (UE) 2021/691 al Parlamentului European și al Consiliului din 28 aprilie 2021 privind Fondul european de ajustare la globalizare pentru lucrătorii disponibilizați (FEG) și de abrogare a Regulamentului (UE) nr. 1309/2013</w:t>
      </w:r>
      <w:r>
        <w:rPr>
          <w:vertAlign w:val="superscript"/>
        </w:rPr>
        <w:footnoteReference w:id="2"/>
      </w:r>
      <w:r w:rsidRPr="000D2675">
        <w:t xml:space="preserve"> („Regulamentul privind FEG”), astfel cum a fost modificat prin Regulamentul (UE) 2026/1139</w:t>
      </w:r>
      <w:r>
        <w:rPr>
          <w:vertAlign w:val="superscript"/>
        </w:rPr>
        <w:footnoteReference w:id="3"/>
      </w:r>
      <w:r w:rsidRPr="000D2675">
        <w:t xml:space="preserve">, </w:t>
      </w:r>
    </w:p>
    <w:p w:rsidR="002A0DD0" w:rsidRPr="000D2675" w:rsidP="002A0DD0" w14:paraId="6BA2F998" w14:textId="77777777">
      <w:pPr>
        <w:pStyle w:val="NormalHanging12a"/>
        <w:rPr>
          <w:noProof/>
        </w:rPr>
      </w:pPr>
      <w:r w:rsidRPr="000D2675">
        <w:t>–</w:t>
      </w:r>
      <w:r w:rsidRPr="000D2675">
        <w:tab/>
        <w:t>având în vedere Regulamentul (UE, Euratom) 2020/2093 al Consiliului din 17 decembrie 2020 de stabilire a cadrului financiar multianual pentru perioada 2021-2027 („Regulamentul privind CFM”)</w:t>
      </w:r>
      <w:r>
        <w:rPr>
          <w:noProof/>
          <w:vertAlign w:val="superscript"/>
        </w:rPr>
        <w:footnoteReference w:id="4"/>
      </w:r>
      <w:r w:rsidRPr="000D2675">
        <w:t>, astfel cum a fost modificat prin Regulamentul (UE, Euratom) 2024/765</w:t>
      </w:r>
      <w:r>
        <w:rPr>
          <w:noProof/>
          <w:vertAlign w:val="superscript"/>
        </w:rPr>
        <w:footnoteReference w:id="5"/>
      </w:r>
      <w:r w:rsidRPr="000D2675">
        <w:t>, în special articolul 8,</w:t>
      </w:r>
    </w:p>
    <w:p w:rsidR="002A0DD0" w:rsidRPr="000D2675" w:rsidP="002A0DD0" w14:paraId="664E25F1" w14:textId="77777777">
      <w:pPr>
        <w:pStyle w:val="NormalHanging12a"/>
        <w:rPr>
          <w:noProof/>
        </w:rPr>
      </w:pPr>
      <w:r w:rsidRPr="000D2675">
        <w:t>–</w:t>
      </w:r>
      <w:r w:rsidRPr="000D2675">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w:t>
      </w:r>
      <w:r w:rsidRPr="000D2675">
        <w:t>noile resurse proprii, inclusiv o foaie de parcurs în vederea introducerii de noi resurse proprii</w:t>
      </w:r>
      <w:r>
        <w:rPr>
          <w:rStyle w:val="FootnoteReference"/>
          <w:noProof/>
        </w:rPr>
        <w:footnoteReference w:id="6"/>
      </w:r>
      <w:r w:rsidRPr="000D2675">
        <w:t>, în special punctul 9,</w:t>
      </w:r>
    </w:p>
    <w:p w:rsidR="002A0DD0" w:rsidRPr="000D2675" w:rsidP="002A0DD0" w14:paraId="5F1273C7" w14:textId="77777777">
      <w:pPr>
        <w:pStyle w:val="NormalHanging12a"/>
      </w:pPr>
      <w:r w:rsidRPr="000D2675">
        <w:t>–</w:t>
      </w:r>
      <w:r w:rsidRPr="000D2675">
        <w:tab/>
        <w:t>având în vedere Pilonul european al drepturilor sociale,</w:t>
      </w:r>
    </w:p>
    <w:p w:rsidR="002A0DD0" w:rsidRPr="000D2675" w:rsidP="002A0DD0" w14:paraId="61F08257" w14:textId="77777777">
      <w:pPr>
        <w:pStyle w:val="NormalHanging12a"/>
      </w:pPr>
      <w:r w:rsidRPr="000D2675">
        <w:t>–</w:t>
      </w:r>
      <w:r w:rsidRPr="000D2675">
        <w:tab/>
        <w:t>având în vedere scrisoarea Comisiei pentru ocuparea forței de muncă și afaceri sociale,</w:t>
      </w:r>
    </w:p>
    <w:p w:rsidR="002A0DD0" w:rsidRPr="000D2675" w:rsidP="002A0DD0" w14:paraId="62C536C5" w14:textId="77777777">
      <w:pPr>
        <w:pStyle w:val="NormalHanging12a"/>
      </w:pPr>
      <w:r w:rsidRPr="000D2675">
        <w:t>–</w:t>
      </w:r>
      <w:r w:rsidRPr="000D2675">
        <w:tab/>
        <w:t>având în vedere raportul Comisiei pentru bugete (A10-0149/2026),</w:t>
      </w:r>
    </w:p>
    <w:p w:rsidR="002A0DD0" w:rsidRPr="000D2675" w:rsidP="002A0DD0" w14:paraId="42D30460" w14:textId="6FA3D7CD">
      <w:pPr>
        <w:pStyle w:val="NormalHanging12a"/>
      </w:pPr>
      <w:r w:rsidRPr="000D2675">
        <w:t>A.</w:t>
      </w:r>
      <w:r w:rsidRPr="000D2675">
        <w:tab/>
        <w:t>întrucât Uniunea a instituit instrumente legislative și bugetare pentru a oferi un sprijin suplimentar lucrătorilor afectați de consecințele unor evenimente și schimbări majore intervenite în structura comerțului internațional și pentru a le acorda asistență în procesul de reintegrare pe piața muncii; întrucât ace</w:t>
      </w:r>
      <w:r w:rsidRPr="000D2675" w:rsidR="001B00BB">
        <w:t>a</w:t>
      </w:r>
      <w:r w:rsidRPr="000D2675">
        <w:t>st</w:t>
      </w:r>
      <w:r w:rsidRPr="000D2675" w:rsidR="001B00BB">
        <w:t>ă</w:t>
      </w:r>
      <w:r w:rsidRPr="000D2675">
        <w:t xml:space="preserve"> </w:t>
      </w:r>
      <w:r w:rsidRPr="000D2675" w:rsidR="001B00BB">
        <w:t xml:space="preserve">asistență </w:t>
      </w:r>
      <w:r w:rsidRPr="000D2675">
        <w:t>se acordă sub forma unui sprijin financiar pentru lucrători; întrucât menținerea competitivității industriei europene și consolidarea investițiilor în inovare și competențe sunt esențiale pentru a preveni continuarea declinului industrial și a pierderii de locuri de muncă în întreaga Uniune;</w:t>
      </w:r>
    </w:p>
    <w:p w:rsidR="002A0DD0" w:rsidRPr="000D2675" w:rsidP="002A0DD0" w14:paraId="345BA46D" w14:textId="7B9ABFD1">
      <w:pPr>
        <w:pStyle w:val="NormalHanging12a"/>
      </w:pPr>
      <w:r w:rsidRPr="000D2675">
        <w:t>B.</w:t>
      </w:r>
      <w:r w:rsidRPr="000D2675">
        <w:tab/>
        <w:t>întrucât Belgia a depus cererea EGF/2025/009 BE/</w:t>
      </w:r>
      <w:r w:rsidRPr="000D2675">
        <w:t>Soliver</w:t>
      </w:r>
      <w:r w:rsidRPr="000D2675">
        <w:t xml:space="preserve"> </w:t>
      </w:r>
      <w:r w:rsidRPr="000D2675" w:rsidR="001B00BB">
        <w:t xml:space="preserve">solicitând </w:t>
      </w:r>
      <w:r w:rsidRPr="000D2675">
        <w:t>o contribuție financiară din partea FEG ca urmare a disponibilizării a 803 lucrători</w:t>
      </w:r>
      <w:r>
        <w:rPr>
          <w:vertAlign w:val="superscript"/>
        </w:rPr>
        <w:footnoteReference w:id="7"/>
      </w:r>
      <w:r w:rsidRPr="000D2675">
        <w:t xml:space="preserve"> de la </w:t>
      </w:r>
      <w:r w:rsidRPr="000D2675">
        <w:t>Soliver</w:t>
      </w:r>
      <w:r w:rsidRPr="000D2675">
        <w:t xml:space="preserve"> NV (</w:t>
      </w:r>
      <w:r w:rsidRPr="000D2675">
        <w:t>Soliver</w:t>
      </w:r>
      <w:r w:rsidRPr="000D2675">
        <w:t xml:space="preserve">) din Belgia, în sectorul economic încadrat la diviziunea 46 a NACE Rev. 2 (Comerț cu ridicata) în regiunile Provincie </w:t>
      </w:r>
      <w:r w:rsidRPr="000D2675">
        <w:t>Oost-Vlaanderen</w:t>
      </w:r>
      <w:r w:rsidRPr="000D2675">
        <w:t xml:space="preserve"> (BE23) și Provincie West-</w:t>
      </w:r>
      <w:r w:rsidRPr="000D2675">
        <w:t>Vlaanderen</w:t>
      </w:r>
      <w:r w:rsidRPr="000D2675">
        <w:t xml:space="preserve"> (BE25) din </w:t>
      </w:r>
      <w:r w:rsidRPr="000D2675">
        <w:t>Flandra</w:t>
      </w:r>
      <w:r w:rsidRPr="000D2675">
        <w:t>, într-o perioadă de referință cuprinsă între 1 iulie 2025 și 1 noiembrie 2025;</w:t>
      </w:r>
    </w:p>
    <w:p w:rsidR="002A0DD0" w:rsidRPr="000D2675" w:rsidP="002A0DD0" w14:paraId="3ABFC35D" w14:textId="77777777">
      <w:pPr>
        <w:pStyle w:val="NormalHanging12a"/>
      </w:pPr>
      <w:r w:rsidRPr="000D2675">
        <w:t>C.</w:t>
      </w:r>
      <w:r w:rsidRPr="000D2675">
        <w:tab/>
        <w:t>întrucât cererea se întemeiază pe criteriul de intervenție de la articolul 4 alineatul (2) litera (a) din Regulamentul privind FEG;</w:t>
      </w:r>
    </w:p>
    <w:p w:rsidR="002A0DD0" w:rsidRPr="000D2675" w:rsidP="002A0DD0" w14:paraId="69B6917D" w14:textId="77777777">
      <w:pPr>
        <w:pStyle w:val="NormalHanging12a"/>
        <w:rPr>
          <w:noProof/>
        </w:rPr>
      </w:pPr>
      <w:r w:rsidRPr="000D2675">
        <w:t>D.</w:t>
      </w:r>
      <w:r w:rsidRPr="000D2675">
        <w:tab/>
        <w:t xml:space="preserve">întrucât </w:t>
      </w:r>
      <w:r w:rsidRPr="000D2675">
        <w:t>Soliver</w:t>
      </w:r>
      <w:r w:rsidRPr="000D2675">
        <w:t xml:space="preserve"> a declarat falimentul în decembrie 2024; întrucât, în Belgia, falimentele sunt în creștere din 2022, iar șomajul afectează grav mai multe regiuni din </w:t>
      </w:r>
      <w:r w:rsidRPr="000D2675">
        <w:t>Flandra</w:t>
      </w:r>
      <w:r w:rsidRPr="000D2675">
        <w:t>;</w:t>
      </w:r>
    </w:p>
    <w:p w:rsidR="002A0DD0" w:rsidRPr="000D2675" w:rsidP="002A0DD0" w14:paraId="1BF845EC" w14:textId="77777777">
      <w:pPr>
        <w:pStyle w:val="NormalHanging12a"/>
        <w:rPr>
          <w:bCs/>
          <w:iCs/>
          <w:noProof/>
        </w:rPr>
      </w:pPr>
      <w:r w:rsidRPr="000D2675">
        <w:t>E.</w:t>
      </w:r>
      <w:r w:rsidRPr="000D2675">
        <w:tab/>
        <w:t xml:space="preserve">întrucât forța de muncă afectată de închiderea </w:t>
      </w:r>
      <w:r w:rsidRPr="000D2675">
        <w:t>Soliver</w:t>
      </w:r>
      <w:r w:rsidRPr="000D2675">
        <w:t xml:space="preserve"> include o proporție semnificativă de lucrători în vârstă, care se confruntă cu obstacole specifice și multiple în calea reintegrării pe piața muncii, inclusiv discriminarea pe criterii de vârstă, necorelarea competențelor și accesul limitat la oportunități de recalificare; întrucât trebuie puse în aplicare măsuri specifice pentru a răspunde nevoilor caracteristice ale lucrătorilor în vârstă, inclusiv formate de calificare adecvate vârstei, mentorat și cooperare cu angajatorii implicați în recrutarea unei forțe de muncă diverse din perspectiva vârstei;</w:t>
      </w:r>
    </w:p>
    <w:p w:rsidR="002A0DD0" w:rsidRPr="000D2675" w:rsidP="002A0DD0" w14:paraId="1E9F3C96" w14:textId="77777777">
      <w:pPr>
        <w:pStyle w:val="NormalHanging12a"/>
      </w:pPr>
      <w:r w:rsidRPr="000D2675">
        <w:t>F.</w:t>
      </w:r>
      <w:r w:rsidRPr="000D2675">
        <w:tab/>
        <w:t xml:space="preserve">întrucât VDAB asigură </w:t>
      </w:r>
      <w:r w:rsidRPr="000D2675">
        <w:t>prefinanțarea</w:t>
      </w:r>
      <w:r w:rsidRPr="000D2675">
        <w:t xml:space="preserve"> și cofinanțarea națională a măsurilor;</w:t>
      </w:r>
    </w:p>
    <w:p w:rsidR="002A0DD0" w:rsidRPr="000D2675" w:rsidP="002A0DD0" w14:paraId="5DE415C4" w14:textId="77777777">
      <w:pPr>
        <w:pStyle w:val="NormalHanging12a"/>
      </w:pPr>
      <w:r w:rsidRPr="000D2675">
        <w:t>G.</w:t>
      </w:r>
      <w:r w:rsidRPr="000D2675">
        <w:tab/>
        <w:t>întrucât au fost îndeplinite cerințele prevăzute de legislația Uniunii și legislația națională referitoare la concedierile colective;</w:t>
      </w:r>
    </w:p>
    <w:p w:rsidR="002A0DD0" w:rsidRPr="000D2675" w:rsidP="002A0DD0" w14:paraId="1223E0CA" w14:textId="7ABDA7F0">
      <w:pPr>
        <w:pStyle w:val="NormalHanging12a"/>
      </w:pPr>
      <w:r w:rsidRPr="000D2675">
        <w:t>H.</w:t>
      </w:r>
      <w:r w:rsidRPr="000D2675">
        <w:tab/>
        <w:t xml:space="preserve">întrucât contribuțiile financiare din FEG ar trebui să fie direcționate în primul rând spre măsuri de politică active pe piața muncii și spre servicii personalizate menite să-i reintegreze durabil și în condiții de muncă de calitate pe beneficiari pe piața muncii, oferindu-le totodată formare pentru dobândirea de competențe, pentru a le </w:t>
      </w:r>
      <w:r w:rsidRPr="000D2675" w:rsidR="00E3380D">
        <w:t xml:space="preserve">facilita </w:t>
      </w:r>
      <w:r w:rsidRPr="000D2675">
        <w:t>reintegrarea pe piața muncii;</w:t>
      </w:r>
    </w:p>
    <w:p w:rsidR="002A0DD0" w:rsidRPr="000D2675" w:rsidP="002A0DD0" w14:paraId="05735E08" w14:textId="58E09B7F">
      <w:pPr>
        <w:pStyle w:val="NormalHanging12a"/>
      </w:pPr>
      <w:r w:rsidRPr="000D2675">
        <w:t>I.</w:t>
      </w:r>
      <w:r w:rsidRPr="000D2675">
        <w:tab/>
        <w:t>întrucât FEG nu trebuie să depășească un cuantum anual de maximum 30 de milioane EUR (la prețurile din 2018)</w:t>
      </w:r>
      <w:r>
        <w:rPr>
          <w:rStyle w:val="FootnoteReference"/>
        </w:rPr>
        <w:footnoteReference w:id="8"/>
      </w:r>
      <w:r w:rsidRPr="000D2675" w:rsidR="00E3380D">
        <w:t>;</w:t>
      </w:r>
    </w:p>
    <w:p w:rsidR="002A0DD0" w:rsidRPr="000D2675" w:rsidP="002A0DD0" w14:paraId="35EB18AC" w14:textId="77777777">
      <w:pPr>
        <w:pStyle w:val="NormalHanging12a"/>
      </w:pPr>
      <w:r w:rsidRPr="000D2675">
        <w:t>1.</w:t>
      </w:r>
      <w:r w:rsidRPr="000D2675">
        <w:tab/>
        <w:t>este de acord cu Comisia că sunt îndeplinite condițiile prevăzute în Regulamentul privind FEG, în special de la articolul 4 alineatul (2) litera (a), și că Belgia are dreptul la o contribuție financiară de 2 132 535 EUR în temeiul regulamentului respectiv, ceea ce reprezintă 85 % din costul total de 2 508 865 EUR, compus din cheltuieli pentru servicii personalizate în cuantum de 2 412 465 EUR și cheltuieli pentru activități de pregătire, gestionare, informare și publicitate, control și raportare în cuantum de 96 400 EUR;</w:t>
      </w:r>
    </w:p>
    <w:p w:rsidR="002A0DD0" w:rsidRPr="000D2675" w:rsidP="002A0DD0" w14:paraId="171E4811" w14:textId="77777777">
      <w:pPr>
        <w:pStyle w:val="NormalHanging12a"/>
      </w:pPr>
      <w:r w:rsidRPr="000D2675">
        <w:t>2.</w:t>
      </w:r>
      <w:r w:rsidRPr="000D2675">
        <w:tab/>
        <w:t>observă că autoritățile belgiene au depus cererea la 22 decembrie 2025 și că, în urma primirii de informații suplimentare din partea Belgiei, Comisia și-a finalizat evaluarea la 30 aprilie 2026, cu aproape o lună înainte de termen, și a notificat-o Parlamentului în aceeași zi; accentuează că este important să se scurteze intervalul dintre depunerea unei cereri de asistență din partea FEG și decizia de finanțare, garantând totodată pe deplin drepturile Parlamentului European în calitate de componentă a autorității bugetare;</w:t>
      </w:r>
    </w:p>
    <w:p w:rsidR="002A0DD0" w:rsidRPr="000D2675" w:rsidP="002A0DD0" w14:paraId="7FBF75E2" w14:textId="77777777">
      <w:pPr>
        <w:pStyle w:val="NormalHanging12a"/>
        <w:rPr>
          <w:noProof/>
        </w:rPr>
      </w:pPr>
      <w:r w:rsidRPr="000D2675">
        <w:t>3.</w:t>
      </w:r>
      <w:r w:rsidRPr="000D2675">
        <w:tab/>
        <w:t xml:space="preserve">observă că cererea se referă la un număr de 803 beneficiari vizați, concediați de întreprinderea </w:t>
      </w:r>
      <w:r w:rsidRPr="000D2675">
        <w:t>Soliver</w:t>
      </w:r>
      <w:r w:rsidRPr="000D2675">
        <w:t>;</w:t>
      </w:r>
    </w:p>
    <w:p w:rsidR="002A0DD0" w:rsidRPr="000D2675" w:rsidP="002A0DD0" w14:paraId="6F1A6AC4" w14:textId="7168B351">
      <w:pPr>
        <w:pStyle w:val="NormalHanging12a"/>
      </w:pPr>
      <w:r w:rsidRPr="000D2675">
        <w:t>4.</w:t>
      </w:r>
      <w:r w:rsidRPr="000D2675">
        <w:tab/>
        <w:t xml:space="preserve">constată că </w:t>
      </w:r>
      <w:r w:rsidRPr="000D2675">
        <w:t>Soliver</w:t>
      </w:r>
      <w:r w:rsidRPr="000D2675">
        <w:t xml:space="preserve">, un fabricant de produse din sticlă pentru construcții și sectorul autovehiculelor, </w:t>
      </w:r>
      <w:r w:rsidRPr="000D2675" w:rsidR="00554003">
        <w:t>s</w:t>
      </w:r>
      <w:r w:rsidRPr="000D2675">
        <w:t xml:space="preserve">-a </w:t>
      </w:r>
      <w:r w:rsidRPr="000D2675" w:rsidR="00554003">
        <w:t>re</w:t>
      </w:r>
      <w:r w:rsidRPr="000D2675">
        <w:t xml:space="preserve">orientat exclusiv asupra sticlei pentru autovehicule de înaltă tehnologie după achiziționarea sa de către American Glass </w:t>
      </w:r>
      <w:r w:rsidRPr="000D2675">
        <w:t>Products</w:t>
      </w:r>
      <w:r w:rsidRPr="000D2675">
        <w:t xml:space="preserve"> Holding (AGP) în 2018; observă că întreprinderea a început să se confrunte cu dificultăți legate în principal de un declin în sectorul autovehiculelor, din cauza producției întârziate de modele de autoturisme pentru care erau destinate produsele sale, ceea ce, în final, a dus la o reducere drastică a profitabilității și, apoi, la faliment;</w:t>
      </w:r>
    </w:p>
    <w:p w:rsidR="002A0DD0" w:rsidRPr="000D2675" w:rsidP="002A0DD0" w14:paraId="637ED138" w14:textId="58B41ECA">
      <w:pPr>
        <w:pStyle w:val="NormalHanging12a"/>
        <w:rPr>
          <w:bCs/>
          <w:iCs/>
        </w:rPr>
      </w:pPr>
      <w:r w:rsidRPr="000D2675">
        <w:t>5.</w:t>
      </w:r>
      <w:r w:rsidRPr="000D2675">
        <w:tab/>
        <w:t>constată că industria sticlei este un sector mare consumator de energie și a fost grav afectată de prețurile constant ridicate la energie, care i-au subminat semnificativ competitivitatea; evidențiază că obținerea unor prețuri competitive la energie pe termen lung necesită o creștere substanțială a aprovizionării cu energie fiabil</w:t>
      </w:r>
      <w:r w:rsidRPr="000D2675" w:rsidR="00554003">
        <w:t>e</w:t>
      </w:r>
      <w:r w:rsidRPr="000D2675">
        <w:t xml:space="preserve"> și la prețuri accesibile, inclusiv prin diversificarea surselor de energie și a rutelor de aprovizionare, dezvoltarea producției interne de energie și finalizarea deplină a uniunii energetice;</w:t>
      </w:r>
    </w:p>
    <w:p w:rsidR="002A0DD0" w:rsidRPr="000D2675" w:rsidP="002A0DD0" w14:paraId="132D4077" w14:textId="77777777">
      <w:pPr>
        <w:pStyle w:val="NormalHanging12a"/>
        <w:rPr>
          <w:bCs/>
          <w:iCs/>
        </w:rPr>
      </w:pPr>
      <w:r w:rsidRPr="000D2675">
        <w:t>6.</w:t>
      </w:r>
      <w:r w:rsidRPr="000D2675">
        <w:tab/>
        <w:t>constată că, deși lucrătorii calificați din punct de vedere tehnic sau cei care doresc să se recalifice au cele mai favorabile perspective de angajare, acest lucru se datorează deficitului de profesioniști în domeniul tehnic, cauzat de implicarea scăzută a tinerilor în formarea profesională și de îmbătrânirea forței de muncă; subliniază că reintegrarea lucrătorilor concediați și asigurarea accesului egal la oportunități de formare de înaltă calitate sunt esențiale pentru o economie europeană adaptată exigențelor viitorului, cu o bază industrială solidă; accentuează importanța consolidării competitivității industriale a Uniunii în acest context;</w:t>
      </w:r>
    </w:p>
    <w:p w:rsidR="002A0DD0" w:rsidRPr="000D2675" w:rsidP="002A0DD0" w14:paraId="4A0ED704" w14:textId="77777777">
      <w:pPr>
        <w:pStyle w:val="NormalHanging12a"/>
        <w:rPr>
          <w:noProof/>
        </w:rPr>
      </w:pPr>
      <w:r w:rsidRPr="000D2675">
        <w:t>7.</w:t>
      </w:r>
      <w:r w:rsidRPr="000D2675">
        <w:tab/>
        <w:t xml:space="preserve">regretă că creșterea numărului de falimente în ultimii ani a avut un impact negativ asupra ratei de ocupare a forței de muncă în unele regiuni din Belgia, în special în regiunea </w:t>
      </w:r>
      <w:r w:rsidRPr="000D2675">
        <w:t>Flandra</w:t>
      </w:r>
      <w:r w:rsidRPr="000D2675">
        <w:t xml:space="preserve">; subliniază că, în </w:t>
      </w:r>
      <w:r w:rsidRPr="000D2675">
        <w:t>Flandra</w:t>
      </w:r>
      <w:r w:rsidRPr="000D2675">
        <w:t xml:space="preserve">, lucrătorii în vârstă care sunt concediați se confruntă cu obstacole mai mari în calea reintegrării pe piața muncii; invită autoritățile </w:t>
      </w:r>
      <w:r w:rsidRPr="000D2675">
        <w:t>belgiene să ofere sprijin specific adaptat pentru a-i ajuta pe lucrători să-și dezvolte competențele necesare găsirii unor noi locuri de muncă de calitate, luând în același timp măsuri pentru a reduce numărul falimentelor și a aborda inegalitățile sociale care conduc la excluziunea forței de muncă;</w:t>
      </w:r>
    </w:p>
    <w:p w:rsidR="002A0DD0" w:rsidRPr="000D2675" w:rsidP="002A0DD0" w14:paraId="365BA0BA" w14:textId="77777777">
      <w:pPr>
        <w:pStyle w:val="NormalHanging12a"/>
      </w:pPr>
      <w:r w:rsidRPr="000D2675">
        <w:t>8.</w:t>
      </w:r>
      <w:r w:rsidRPr="000D2675">
        <w:tab/>
        <w:t>reamintește că serviciile personalizate care urmează să fie furnizate lucrătorilor, stabilite de comun acord cu experții și partenerii sociali, constau în următoarele măsuri: grup operativ format din consultanți și administratori de conturi cu experiență, care oferă servicii de consiliere personalizate; servicii de plasare pe piața muncii a personalului disponibilizat, care oferă orientări individuale; asistență pentru găsirea unui loc de muncă; asistență consolidată pentru căutarea unui loc de muncă; formarea și recalificarea, inclusiv formarea la locul de muncă; participarea la târguri de locuri de muncă; evidențiază că este important să se promoveze crearea de locuri de muncă de înaltă calitate, orientate spre viitor, care să consolideze competitivitatea și să sprijine transformarea digitală;</w:t>
      </w:r>
    </w:p>
    <w:p w:rsidR="002A0DD0" w:rsidRPr="000D2675" w:rsidP="002A0DD0" w14:paraId="7431C51A" w14:textId="110E08AC">
      <w:pPr>
        <w:pStyle w:val="NormalHanging12a"/>
      </w:pPr>
      <w:r w:rsidRPr="000D2675">
        <w:t>9.</w:t>
      </w:r>
      <w:r w:rsidRPr="000D2675">
        <w:tab/>
        <w:t xml:space="preserve">reamintește că FEG este un instrument pentru solidaritate și tranziție justă și, deși oferă sprijin în urma pierderii locurilor de muncă, nu poate înlocui o politică industrială proactivă; consideră că mobilizarea FEG trebuie </w:t>
      </w:r>
      <w:r w:rsidRPr="000D2675" w:rsidR="00A476D7">
        <w:t xml:space="preserve">să fie </w:t>
      </w:r>
      <w:r w:rsidRPr="000D2675">
        <w:t xml:space="preserve">integrată într-un răspuns mai amplu în materie de politici, la toate nivelurile politice, pentru a </w:t>
      </w:r>
      <w:r w:rsidRPr="000D2675" w:rsidR="00A476D7">
        <w:t xml:space="preserve">asigura </w:t>
      </w:r>
      <w:r w:rsidRPr="000D2675">
        <w:t>că lucrătorii afectați au acces la oportunități adecvate, în conformitate cu calificările și competențele lor; accentuează că principala sarcină a Uniunii trebuie să fie prevenirea unor astfel de închideri de la bun început, prin crearea condițiilor necesare pentru ca producția industrială să rămână competitivă, iar sistemele de securitate socială</w:t>
      </w:r>
      <w:r w:rsidRPr="000D2675" w:rsidR="00A476D7">
        <w:t xml:space="preserve"> să rămână</w:t>
      </w:r>
      <w:r w:rsidRPr="000D2675">
        <w:t xml:space="preserve"> sustenabile financiar, investind totodată în dezvoltarea competențelor, atât ale lucrătorilor înalt calificați, cât și ale celor din sectorul industrial; subliniază că este nevoie să se ofere sprijin specific adaptat profilurilor lucrătorilor, luând, în același timp, măsuri pentru a reduce falimentele și a remedia disparitățile sociale care conduc la excluderea de pe piața muncii; subliniază că reducerea sarcinilor administrative și de reglementare inutile este esențială pentru a sprijini competitivitatea industrială, a atrage investițiile și a menține locurile de muncă de calitate în Uniune;</w:t>
      </w:r>
    </w:p>
    <w:p w:rsidR="002A0DD0" w:rsidRPr="000D2675" w:rsidP="002A0DD0" w14:paraId="346365DD" w14:textId="626F676E">
      <w:pPr>
        <w:pStyle w:val="NormalHanging12a"/>
        <w:rPr>
          <w:bCs/>
          <w:iCs/>
        </w:rPr>
      </w:pPr>
      <w:r w:rsidRPr="000D2675">
        <w:t>10.</w:t>
      </w:r>
      <w:r w:rsidRPr="000D2675">
        <w:tab/>
      </w:r>
      <w:r w:rsidRPr="000D2675" w:rsidR="00A476D7">
        <w:t xml:space="preserve">evidențiază </w:t>
      </w:r>
      <w:r w:rsidRPr="000D2675">
        <w:t>că autoritățile belgiene trebuie să asigure vizibilitatea finanțării din partea Uniunii și să evidențieze valoarea adăugată a acesteia, furnizând informații eficace și personalizate beneficiarilor, autorităților regionale și locale, partenerilor sociali și publicului larg;</w:t>
      </w:r>
    </w:p>
    <w:p w:rsidR="002A0DD0" w:rsidRPr="000D2675" w:rsidP="002A0DD0" w14:paraId="6447AD05" w14:textId="77777777">
      <w:pPr>
        <w:pStyle w:val="NormalHanging12a"/>
      </w:pPr>
      <w:r w:rsidRPr="000D2675">
        <w:t>11.</w:t>
      </w:r>
      <w:r w:rsidRPr="000D2675">
        <w:tab/>
        <w:t>invită Comisia să asigure o vizibilitate egală a instrumentului în toate statele membre și să promoveze valoarea sa adăugată prin diseminarea de informații specifice către autoritățile naționale, care ar trebui să transmită mai departe astfel de informații întreprinderilor afectate de disponibilizări, autorităților regionale și locale, partenerilor sociali și publicului larg;</w:t>
      </w:r>
    </w:p>
    <w:p w:rsidR="002A0DD0" w:rsidRPr="000D2675" w:rsidP="002A0DD0" w14:paraId="2CC57B93" w14:textId="77777777">
      <w:pPr>
        <w:pStyle w:val="NormalHanging12a"/>
        <w:rPr>
          <w:bCs/>
          <w:iCs/>
        </w:rPr>
      </w:pPr>
      <w:r w:rsidRPr="000D2675">
        <w:t>12.</w:t>
      </w:r>
      <w:r w:rsidRPr="000D2675">
        <w:tab/>
        <w:t>solicită evaluări finale aprofundate, împreună cu partenerii sociali, ale măsurilor puse în aplicare, inclusiv informații clare și transparente cu privire la modul în care au fost utilizate fondurile, la reintegrarea lucrătorilor pe piața muncii și la gradul în care au fost atinse obiectivele FEG; evidențiază în acest context că este important să se monitorizeze regulat măsurile finanțate din FEG pentru a le aprecia eficacitatea;</w:t>
      </w:r>
    </w:p>
    <w:p w:rsidR="002A0DD0" w:rsidRPr="000D2675" w:rsidP="002A0DD0" w14:paraId="2F227951" w14:textId="77777777">
      <w:pPr>
        <w:pStyle w:val="NormalHanging12a"/>
      </w:pPr>
      <w:r w:rsidRPr="000D2675">
        <w:t>13.</w:t>
      </w:r>
      <w:r w:rsidRPr="000D2675">
        <w:tab/>
        <w:t xml:space="preserve">constată că Belgia a început atât să ofere servicii personalizate beneficiarilor vizați, cât și să suporte cheltuieli administrative pentru a executa măsurile din FEG la 11 iunie 2025 și că perioada de eligibilitate pentru o contribuție financiară din FEG va începe </w:t>
      </w:r>
      <w:r w:rsidRPr="000D2675">
        <w:t>așadar la această dată și va dura 24 de luni și, respectiv, 31 de luni de la data intrării în vigoare a deciziei de finanțare;</w:t>
      </w:r>
    </w:p>
    <w:p w:rsidR="002A0DD0" w:rsidRPr="000D2675" w:rsidP="002A0DD0" w14:paraId="5894D3C5" w14:textId="77777777">
      <w:pPr>
        <w:pStyle w:val="NormalHanging12a"/>
      </w:pPr>
      <w:r w:rsidRPr="000D2675">
        <w:t>14.</w:t>
      </w:r>
      <w:r w:rsidRPr="000D2675">
        <w:tab/>
        <w:t>observă că autoritățile belgiene au dat asigurări că, în ceea ce privește accesul la acțiunile propuse și punerea lor în aplicare, se vor respecta principiile egalității de tratament și nediscriminării și se va evita orice formă de dublă finanțare;</w:t>
      </w:r>
    </w:p>
    <w:p w:rsidR="002A0DD0" w:rsidRPr="000D2675" w:rsidP="002A0DD0" w14:paraId="608D0102" w14:textId="3139470B">
      <w:pPr>
        <w:pStyle w:val="NormalHanging12a"/>
      </w:pPr>
      <w:r w:rsidRPr="000D2675">
        <w:t>15.</w:t>
      </w:r>
      <w:r w:rsidRPr="000D2675">
        <w:tab/>
        <w:t xml:space="preserve">reiterează că asistența din FEG nu trebuie să înlocuiască acțiunile care țin de responsabilitatea autorităților publice sau a societăților în temeiul </w:t>
      </w:r>
      <w:r w:rsidRPr="000D2675" w:rsidR="00A476D7">
        <w:t xml:space="preserve">dreptului intern </w:t>
      </w:r>
      <w:r w:rsidRPr="000D2675">
        <w:t>sau al acordurilor colective; reamintește că FEG este un mecanism limitat, cu țintă precisă și complementar;</w:t>
      </w:r>
    </w:p>
    <w:p w:rsidR="002A0DD0" w:rsidRPr="000D2675" w:rsidP="002A0DD0" w14:paraId="1C6C9EC4" w14:textId="77777777">
      <w:pPr>
        <w:pStyle w:val="NormalHanging12a"/>
      </w:pPr>
      <w:r w:rsidRPr="000D2675">
        <w:t>16.</w:t>
      </w:r>
      <w:r w:rsidRPr="000D2675">
        <w:tab/>
        <w:t>aprobă decizia anexată la prezenta rezoluție;</w:t>
      </w:r>
    </w:p>
    <w:p w:rsidR="002A0DD0" w:rsidRPr="000D2675" w:rsidP="002A0DD0" w14:paraId="0E139468" w14:textId="77777777">
      <w:pPr>
        <w:pStyle w:val="NormalHanging12a"/>
      </w:pPr>
      <w:r w:rsidRPr="000D2675">
        <w:t>17.</w:t>
      </w:r>
      <w:r w:rsidRPr="000D2675">
        <w:tab/>
        <w:t xml:space="preserve">încredințează Președintei sarcina de a semna această decizie împreună cu Președintele Consiliului și de a asigura publicarea sa în </w:t>
      </w:r>
      <w:r w:rsidRPr="000D2675">
        <w:rPr>
          <w:i/>
        </w:rPr>
        <w:t>Jurnalul Oficial al Uniunii Europene</w:t>
      </w:r>
      <w:r w:rsidRPr="000D2675">
        <w:t>;</w:t>
      </w:r>
    </w:p>
    <w:p w:rsidR="002A0DD0" w:rsidRPr="000D2675" w:rsidP="002A0DD0" w14:paraId="20310D09" w14:textId="77777777">
      <w:pPr>
        <w:pStyle w:val="NormalHanging12a"/>
      </w:pPr>
      <w:r w:rsidRPr="000D2675">
        <w:t>18.</w:t>
      </w:r>
      <w:r w:rsidRPr="000D2675">
        <w:tab/>
        <w:t>încredințează Președintei sarcina de a transmite prezenta rezoluție, împreună cu anexa, Consiliului și Comisiei.</w:t>
      </w:r>
    </w:p>
    <w:p w:rsidR="002A0DD0" w:rsidRPr="000D2675" w:rsidP="002A0DD0" w14:paraId="14CDCF0A" w14:textId="77777777">
      <w:pPr>
        <w:pStyle w:val="NormalHanging12a"/>
      </w:pPr>
    </w:p>
    <w:p w:rsidR="002A0DD0" w:rsidRPr="000D2675" w:rsidP="002A0DD0" w14:paraId="368C7206" w14:textId="77777777">
      <w:pPr>
        <w:rPr>
          <w:noProof/>
        </w:rPr>
      </w:pPr>
    </w:p>
    <w:p w:rsidR="002A0DD0" w:rsidRPr="000D2675" w:rsidP="002A0DD0" w14:paraId="44FF1D48" w14:textId="77777777">
      <w:pPr>
        <w:pStyle w:val="PageHeading"/>
        <w:rPr>
          <w:noProof/>
        </w:rPr>
        <w:sectPr w:rsidSect="00BD3B9E">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132C7" w:rsidP="002A0DD0" w14:paraId="711B41E8" w14:textId="3DBC5B91">
      <w:pPr>
        <w:pStyle w:val="PageHeading"/>
      </w:pPr>
      <w:bookmarkStart w:id="7" w:name="_Toc232170658"/>
      <w:r w:rsidRPr="000D2675">
        <w:t xml:space="preserve">ANEXĂ </w:t>
      </w:r>
    </w:p>
    <w:p w:rsidR="002A0DD0" w:rsidRPr="000D2675" w:rsidP="002A0DD0" w14:paraId="0A13297A" w14:textId="385D5F3C">
      <w:pPr>
        <w:pStyle w:val="PageHeading"/>
        <w:rPr>
          <w:noProof/>
        </w:rPr>
      </w:pPr>
      <w:r w:rsidRPr="000D2675">
        <w:t>DECIZIA PARLAMENTULUI EUROPEAN ȘI A CONSILIULUI</w:t>
      </w:r>
      <w:bookmarkEnd w:id="7"/>
    </w:p>
    <w:p w:rsidR="002A0DD0" w:rsidP="002A0DD0" w14:paraId="1C2AEA64" w14:textId="77777777">
      <w:pPr>
        <w:pStyle w:val="Titreobjet"/>
        <w:jc w:val="left"/>
      </w:pPr>
      <w:r w:rsidRPr="000D2675">
        <w:t>privind mobilizarea Fondului european de ajustare la globalizare pentru lucrătorii disponibilizați în urma unei cereri din partea Belgiei – EGF/2025/009 BE/</w:t>
      </w:r>
      <w:r w:rsidRPr="000D2675">
        <w:t>Soliver</w:t>
      </w:r>
    </w:p>
    <w:p w:rsidR="00DC6D36" w:rsidRPr="00272DA5" w:rsidP="00DC6D36" w14:paraId="594D6BB5" w14:textId="52BCCB7A">
      <w:pPr>
        <w:spacing w:before="120"/>
        <w:rPr>
          <w:i/>
          <w:noProof/>
        </w:rPr>
      </w:pPr>
      <w:r w:rsidRPr="00272DA5">
        <w:rPr>
          <w:i/>
          <w:noProof/>
        </w:rPr>
        <w:t xml:space="preserve">(Textul prezentei anexe nu este reprodus aici, întrucât corespunde cu actul final, Decizia </w:t>
      </w:r>
      <w:r w:rsidRPr="00DC6D36">
        <w:rPr>
          <w:rStyle w:val="ATHeading3Char"/>
          <w:b w:val="0"/>
          <w:bCs/>
          <w:i/>
        </w:rPr>
        <w:t>(UE) 2026/</w:t>
      </w:r>
      <w:r>
        <w:rPr>
          <w:rStyle w:val="ATHeading3Char"/>
          <w:b w:val="0"/>
          <w:bCs/>
          <w:i/>
        </w:rPr>
        <w:t>1543</w:t>
      </w:r>
      <w:r w:rsidRPr="00DC6D36">
        <w:rPr>
          <w:rStyle w:val="ATHeading3Char"/>
          <w:b w:val="0"/>
          <w:bCs/>
          <w:i/>
        </w:rPr>
        <w:t>.</w:t>
      </w:r>
      <w:r w:rsidRPr="00DC6D36">
        <w:rPr>
          <w:b/>
          <w:bCs/>
          <w:i/>
          <w:noProof/>
        </w:rPr>
        <w:t>)</w:t>
      </w:r>
    </w:p>
    <w:p w:rsidR="00DC6D36" w:rsidRPr="00DC6D36" w:rsidP="00DC6D36" w14:paraId="2854D3C8" w14:textId="77777777">
      <w:pPr>
        <w:rPr>
          <w:lang w:eastAsia="en-US"/>
        </w:rPr>
      </w:pPr>
    </w:p>
    <w:sectPr w:rsidSect="00BD3B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0DD0" w:rsidRPr="00BD3B9E" w:rsidP="00600036" w14:paraId="7BD11821" w14:textId="77777777">
    <w:pPr>
      <w:pStyle w:val="EPFooter"/>
    </w:pPr>
    <w:r w:rsidRPr="00BD3B9E">
      <w:t>PE</w:t>
    </w:r>
    <w:r w:rsidRPr="00BD3B9E">
      <w:rPr>
        <w:rStyle w:val="HideTWBExt"/>
      </w:rPr>
      <w:t>&lt;NoPE&gt;</w:t>
    </w:r>
    <w:r w:rsidRPr="00BD3B9E">
      <w:t>787.923</w:t>
    </w:r>
    <w:r w:rsidRPr="00BD3B9E">
      <w:rPr>
        <w:rStyle w:val="HideTWBExt"/>
      </w:rPr>
      <w:t>&lt;/NoPE&gt;&lt;Version&gt;</w:t>
    </w:r>
    <w:r w:rsidRPr="00BD3B9E">
      <w:t>v02-00</w:t>
    </w:r>
    <w:r w:rsidRPr="00BD3B9E">
      <w:rPr>
        <w:rStyle w:val="HideTWBExt"/>
      </w:rPr>
      <w:t>&lt;/Version&gt;</w:t>
    </w:r>
    <w:r w:rsidRPr="00BD3B9E">
      <w:tab/>
    </w:r>
    <w:r w:rsidRPr="00BD3B9E">
      <w:fldChar w:fldCharType="begin"/>
    </w:r>
    <w:r w:rsidRPr="00BD3B9E">
      <w:instrText xml:space="preserve"> PAGE  \* MERGEFORMAT </w:instrText>
    </w:r>
    <w:r w:rsidRPr="00BD3B9E">
      <w:fldChar w:fldCharType="separate"/>
    </w:r>
    <w:r w:rsidRPr="00BD3B9E">
      <w:rPr>
        <w:noProof/>
      </w:rPr>
      <w:t>2</w:t>
    </w:r>
    <w:r w:rsidRPr="00BD3B9E">
      <w:fldChar w:fldCharType="end"/>
    </w:r>
    <w:r w:rsidRPr="00BD3B9E">
      <w:t>/</w:t>
    </w:r>
    <w:r>
      <w:fldChar w:fldCharType="begin"/>
    </w:r>
    <w:r>
      <w:instrText xml:space="preserve"> NUMPAGES  \* MERGEFORMAT </w:instrText>
    </w:r>
    <w:r>
      <w:fldChar w:fldCharType="separate"/>
    </w:r>
    <w:r w:rsidRPr="00BD3B9E">
      <w:rPr>
        <w:noProof/>
      </w:rPr>
      <w:t>19</w:t>
    </w:r>
    <w:r w:rsidRPr="00BD3B9E">
      <w:rPr>
        <w:noProof/>
      </w:rPr>
      <w:fldChar w:fldCharType="end"/>
    </w:r>
    <w:r w:rsidRPr="00BD3B9E">
      <w:tab/>
    </w:r>
    <w:r w:rsidRPr="00BD3B9E">
      <w:rPr>
        <w:rStyle w:val="HideTWBExt"/>
      </w:rPr>
      <w:t>&lt;PathFdR&gt;</w:t>
    </w:r>
    <w:r w:rsidRPr="00BD3B9E">
      <w:t>RR\1345097RO.docx</w:t>
    </w:r>
    <w:r w:rsidRPr="00BD3B9E">
      <w:rPr>
        <w:rStyle w:val="HideTWBExt"/>
      </w:rPr>
      <w:t>&lt;/PathFdR&gt;</w:t>
    </w:r>
  </w:p>
  <w:p w:rsidR="002A0DD0" w:rsidRPr="00BD3B9E" w:rsidP="00600036" w14:paraId="1F97924A" w14:textId="77777777">
    <w:pPr>
      <w:pStyle w:val="EPFooter2"/>
    </w:pPr>
    <w:r w:rsidRPr="00BD3B9E">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0DD0" w:rsidRPr="00BD3B9E" w:rsidP="00600036" w14:paraId="27DDC7F5" w14:textId="77777777">
    <w:pPr>
      <w:pStyle w:val="EPFooter"/>
    </w:pPr>
    <w:r w:rsidRPr="00BD3B9E">
      <w:rPr>
        <w:rStyle w:val="HideTWBExt"/>
      </w:rPr>
      <w:t>&lt;PathFdR&gt;</w:t>
    </w:r>
    <w:r w:rsidRPr="00BD3B9E">
      <w:t>RR\1345097RO.docx</w:t>
    </w:r>
    <w:r w:rsidRPr="00BD3B9E">
      <w:rPr>
        <w:rStyle w:val="HideTWBExt"/>
      </w:rPr>
      <w:t>&lt;/PathFdR&gt;</w:t>
    </w:r>
    <w:r w:rsidRPr="00BD3B9E">
      <w:tab/>
    </w:r>
    <w:r w:rsidRPr="00BD3B9E">
      <w:tab/>
      <w:t>PE</w:t>
    </w:r>
    <w:r w:rsidRPr="00BD3B9E">
      <w:rPr>
        <w:rStyle w:val="HideTWBExt"/>
      </w:rPr>
      <w:t>&lt;NoPE&gt;</w:t>
    </w:r>
    <w:r w:rsidRPr="00BD3B9E">
      <w:t>787.923</w:t>
    </w:r>
    <w:r w:rsidRPr="00BD3B9E">
      <w:rPr>
        <w:rStyle w:val="HideTWBExt"/>
      </w:rPr>
      <w:t>&lt;/NoPE&gt;&lt;Version&gt;</w:t>
    </w:r>
    <w:r w:rsidRPr="00BD3B9E">
      <w:t>v02-00</w:t>
    </w:r>
    <w:r w:rsidRPr="00BD3B9E">
      <w:rPr>
        <w:rStyle w:val="HideTWBExt"/>
      </w:rPr>
      <w:t>&lt;/Version&gt;</w:t>
    </w:r>
  </w:p>
  <w:p w:rsidR="002A0DD0" w:rsidRPr="00BD3B9E" w:rsidP="00600036" w14:paraId="024CCBBD" w14:textId="77777777">
    <w:pPr>
      <w:pStyle w:val="EPFooter2"/>
    </w:pPr>
    <w:r w:rsidRPr="00BD3B9E">
      <w:t>RO</w:t>
    </w:r>
    <w:r w:rsidRPr="00BD3B9E">
      <w:tab/>
    </w:r>
    <w:r w:rsidRPr="00BD3B9E">
      <w:rPr>
        <w:b w:val="0"/>
        <w:i/>
        <w:color w:val="C0C0C0"/>
        <w:sz w:val="22"/>
      </w:rPr>
      <w:t>Unită în diversitate</w:t>
    </w:r>
    <w:r w:rsidRPr="00BD3B9E">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3B9E" w14:paraId="5669B26D"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3B9E" w14:paraId="7CD88429"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3B9E" w14:paraId="42FB365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86C32" w:rsidRPr="00BD3B9E" w14:paraId="043FB2D2" w14:textId="77777777">
      <w:r w:rsidRPr="00BD3B9E">
        <w:separator/>
      </w:r>
    </w:p>
  </w:footnote>
  <w:footnote w:type="continuationSeparator" w:id="1">
    <w:p w:rsidR="00486C32" w:rsidRPr="00BD3B9E" w14:paraId="30AEACC7" w14:textId="77777777">
      <w:r w:rsidRPr="00BD3B9E">
        <w:continuationSeparator/>
      </w:r>
    </w:p>
  </w:footnote>
  <w:footnote w:id="2">
    <w:p w:rsidR="002A0DD0" w:rsidRPr="00BD3B9E" w:rsidP="00BD3B9E" w14:paraId="7FA83621" w14:textId="7DED4990">
      <w:pPr>
        <w:pStyle w:val="FootnoteText"/>
        <w:ind w:left="567" w:hanging="567"/>
        <w:rPr>
          <w:sz w:val="24"/>
          <w:lang w:val="ro-RO"/>
        </w:rPr>
      </w:pPr>
      <w:r w:rsidRPr="00BD3B9E">
        <w:rPr>
          <w:rStyle w:val="FootnoteReference"/>
          <w:sz w:val="24"/>
          <w:lang w:val="ro-RO"/>
        </w:rPr>
        <w:footnoteRef/>
      </w:r>
      <w:r w:rsidRPr="00BD3B9E" w:rsidR="00BD3B9E">
        <w:rPr>
          <w:sz w:val="24"/>
          <w:lang w:val="ro-RO"/>
        </w:rPr>
        <w:t xml:space="preserve"> </w:t>
      </w:r>
      <w:r w:rsidRPr="00BD3B9E" w:rsidR="00BD3B9E">
        <w:rPr>
          <w:sz w:val="24"/>
          <w:lang w:val="ro-RO"/>
        </w:rPr>
        <w:tab/>
      </w:r>
      <w:r w:rsidRPr="00BD3B9E">
        <w:rPr>
          <w:sz w:val="24"/>
          <w:lang w:val="ro-RO"/>
        </w:rPr>
        <w:t xml:space="preserve">JO L 153, 3.5.2021, p. 48, ELI: </w:t>
      </w:r>
      <w:hyperlink r:id="rId1" w:history="1">
        <w:r w:rsidRPr="00BD3B9E">
          <w:rPr>
            <w:rStyle w:val="Hyperlink"/>
            <w:sz w:val="24"/>
            <w:lang w:val="ro-RO"/>
          </w:rPr>
          <w:t>http://data.europa.eu/eli/reg/2021/691/oj</w:t>
        </w:r>
      </w:hyperlink>
      <w:r w:rsidRPr="00BD3B9E">
        <w:rPr>
          <w:sz w:val="24"/>
          <w:lang w:val="ro-RO"/>
        </w:rPr>
        <w:t>.</w:t>
      </w:r>
    </w:p>
  </w:footnote>
  <w:footnote w:id="3">
    <w:p w:rsidR="002A0DD0" w:rsidRPr="00BD3B9E" w:rsidP="00BD3B9E" w14:paraId="73319954" w14:textId="1BAE07CB">
      <w:pPr>
        <w:pStyle w:val="FootnoteText"/>
        <w:ind w:left="567" w:hanging="567"/>
        <w:rPr>
          <w:sz w:val="24"/>
          <w:lang w:val="ro-RO"/>
        </w:rPr>
      </w:pPr>
      <w:r w:rsidRPr="00BD3B9E">
        <w:rPr>
          <w:rStyle w:val="FootnoteReference"/>
          <w:sz w:val="24"/>
          <w:lang w:val="ro-RO"/>
        </w:rPr>
        <w:footnoteRef/>
      </w:r>
      <w:r w:rsidRPr="00BD3B9E" w:rsidR="00BD3B9E">
        <w:rPr>
          <w:sz w:val="24"/>
          <w:lang w:val="ro-RO"/>
        </w:rPr>
        <w:t xml:space="preserve"> </w:t>
      </w:r>
      <w:r w:rsidRPr="00BD3B9E" w:rsidR="00BD3B9E">
        <w:rPr>
          <w:sz w:val="24"/>
          <w:lang w:val="ro-RO"/>
        </w:rPr>
        <w:tab/>
      </w:r>
      <w:r w:rsidRPr="00BD3B9E">
        <w:rPr>
          <w:sz w:val="24"/>
          <w:lang w:val="ro-RO"/>
        </w:rPr>
        <w:t>JO L, 2026/1139, 20.5.2026, ELI: </w:t>
      </w:r>
      <w:hyperlink r:id="rId2" w:tgtFrame="_blank" w:tooltip="Oferă acces la acest document prin identificatorul său uniform de resurse ELI." w:history="1">
        <w:r w:rsidRPr="00BD3B9E">
          <w:rPr>
            <w:rStyle w:val="Hyperlink"/>
            <w:color w:val="0070C0"/>
            <w:sz w:val="24"/>
            <w:lang w:val="ro-RO"/>
          </w:rPr>
          <w:t>http://data.europa.eu/eli/reg/2026/1139/oj</w:t>
        </w:r>
      </w:hyperlink>
      <w:r w:rsidRPr="00BD3B9E">
        <w:rPr>
          <w:color w:val="0070C0"/>
          <w:sz w:val="24"/>
          <w:lang w:val="ro-RO"/>
        </w:rPr>
        <w:t>.</w:t>
      </w:r>
    </w:p>
  </w:footnote>
  <w:footnote w:id="4">
    <w:p w:rsidR="002A0DD0" w:rsidRPr="00BD3B9E" w:rsidP="00BD3B9E" w14:paraId="50D429C5" w14:textId="50367DBB">
      <w:pPr>
        <w:pStyle w:val="FootnoteText"/>
        <w:ind w:left="567" w:hanging="567"/>
        <w:rPr>
          <w:sz w:val="24"/>
          <w:lang w:val="ro-RO"/>
        </w:rPr>
      </w:pPr>
      <w:r w:rsidRPr="00BD3B9E">
        <w:rPr>
          <w:rStyle w:val="FootnoteReference"/>
          <w:sz w:val="24"/>
          <w:lang w:val="ro-RO"/>
        </w:rPr>
        <w:footnoteRef/>
      </w:r>
      <w:r w:rsidRPr="00BD3B9E" w:rsidR="00BD3B9E">
        <w:rPr>
          <w:sz w:val="24"/>
          <w:lang w:val="ro-RO"/>
        </w:rPr>
        <w:t xml:space="preserve"> </w:t>
      </w:r>
      <w:r w:rsidRPr="00BD3B9E" w:rsidR="00BD3B9E">
        <w:rPr>
          <w:sz w:val="24"/>
          <w:lang w:val="ro-RO"/>
        </w:rPr>
        <w:tab/>
      </w:r>
      <w:r w:rsidRPr="00BD3B9E">
        <w:rPr>
          <w:sz w:val="24"/>
          <w:lang w:val="ro-RO"/>
        </w:rPr>
        <w:t xml:space="preserve">JO L 433 I, 22.12.2020, p. 11, ELI: </w:t>
      </w:r>
      <w:hyperlink r:id="rId3" w:history="1">
        <w:r w:rsidRPr="00BD3B9E">
          <w:rPr>
            <w:rStyle w:val="Hyperlink"/>
            <w:sz w:val="24"/>
            <w:lang w:val="ro-RO"/>
          </w:rPr>
          <w:t>http://data.europa.eu/eli/reg/2020/2093/oj</w:t>
        </w:r>
      </w:hyperlink>
      <w:r w:rsidRPr="00BD3B9E">
        <w:rPr>
          <w:sz w:val="24"/>
          <w:lang w:val="ro-RO"/>
        </w:rPr>
        <w:t>.</w:t>
      </w:r>
    </w:p>
  </w:footnote>
  <w:footnote w:id="5">
    <w:p w:rsidR="002A0DD0" w:rsidRPr="00BD3B9E" w:rsidP="00BD3B9E" w14:paraId="765346F3" w14:textId="7B4AAC78">
      <w:pPr>
        <w:pStyle w:val="FootnoteText"/>
        <w:ind w:left="567" w:hanging="567"/>
        <w:rPr>
          <w:sz w:val="24"/>
          <w:lang w:val="ro-RO"/>
        </w:rPr>
      </w:pPr>
      <w:r w:rsidRPr="00BD3B9E">
        <w:rPr>
          <w:rStyle w:val="FootnoteReference"/>
          <w:sz w:val="24"/>
          <w:lang w:val="ro-RO"/>
        </w:rPr>
        <w:footnoteRef/>
      </w:r>
      <w:r w:rsidRPr="00BD3B9E" w:rsidR="00BD3B9E">
        <w:rPr>
          <w:sz w:val="24"/>
          <w:shd w:val="clear" w:color="auto" w:fill="FFFFFF"/>
          <w:lang w:val="ro-RO"/>
        </w:rPr>
        <w:t xml:space="preserve"> </w:t>
      </w:r>
      <w:r w:rsidRPr="00BD3B9E" w:rsidR="00BD3B9E">
        <w:rPr>
          <w:sz w:val="24"/>
          <w:shd w:val="clear" w:color="auto" w:fill="FFFFFF"/>
          <w:lang w:val="ro-RO"/>
        </w:rPr>
        <w:tab/>
      </w:r>
      <w:r w:rsidRPr="00BD3B9E">
        <w:rPr>
          <w:sz w:val="24"/>
          <w:shd w:val="clear" w:color="auto" w:fill="FFFFFF"/>
          <w:lang w:val="ro-RO"/>
        </w:rPr>
        <w:t>Regulamentul (UE, Euratom) 2024/765 al Consiliului din 29 februarie 2024 de modificare a Regulamentului (UE, Euratom) 2020/2093 de stabilire a cadrului financiar multianual pentru perioada 2021-2027 (JO L, 2024/765, 29.2.2024, ELI:</w:t>
      </w:r>
      <w:r w:rsidR="000D2675">
        <w:rPr>
          <w:sz w:val="24"/>
          <w:shd w:val="clear" w:color="auto" w:fill="FFFFFF"/>
          <w:lang w:val="ro-RO"/>
        </w:rPr>
        <w:t> </w:t>
      </w:r>
      <w:hyperlink r:id="rId4" w:history="1">
        <w:r w:rsidRPr="00BD3B9E">
          <w:rPr>
            <w:rStyle w:val="Hyperlink"/>
            <w:sz w:val="24"/>
            <w:shd w:val="clear" w:color="auto" w:fill="FFFFFF"/>
            <w:lang w:val="ro-RO"/>
          </w:rPr>
          <w:t>http://data.europa.eu/eli/reg/2024/765/oj</w:t>
        </w:r>
      </w:hyperlink>
      <w:r w:rsidRPr="00BD3B9E">
        <w:rPr>
          <w:i/>
          <w:color w:val="333333"/>
          <w:sz w:val="24"/>
          <w:shd w:val="clear" w:color="auto" w:fill="FFFFFF"/>
          <w:lang w:val="ro-RO"/>
        </w:rPr>
        <w:t>).</w:t>
      </w:r>
    </w:p>
  </w:footnote>
  <w:footnote w:id="6">
    <w:p w:rsidR="002A0DD0" w:rsidRPr="00BD3B9E" w:rsidP="00BD3B9E" w14:paraId="73D5D70E" w14:textId="7AC761EA">
      <w:pPr>
        <w:pStyle w:val="FootnoteText"/>
        <w:ind w:left="567" w:hanging="567"/>
        <w:rPr>
          <w:sz w:val="24"/>
          <w:lang w:val="ro-RO"/>
        </w:rPr>
      </w:pPr>
      <w:r w:rsidRPr="00BD3B9E">
        <w:rPr>
          <w:rStyle w:val="FootnoteReference"/>
          <w:sz w:val="24"/>
          <w:lang w:val="ro-RO"/>
        </w:rPr>
        <w:footnoteRef/>
      </w:r>
      <w:r w:rsidRPr="00BD3B9E" w:rsidR="00BD3B9E">
        <w:rPr>
          <w:sz w:val="24"/>
          <w:lang w:val="ro-RO"/>
        </w:rPr>
        <w:t xml:space="preserve"> </w:t>
      </w:r>
      <w:r w:rsidRPr="00BD3B9E" w:rsidR="00BD3B9E">
        <w:rPr>
          <w:sz w:val="24"/>
          <w:lang w:val="ro-RO"/>
        </w:rPr>
        <w:tab/>
      </w:r>
      <w:r w:rsidRPr="00BD3B9E">
        <w:rPr>
          <w:sz w:val="24"/>
          <w:lang w:val="ro-RO"/>
        </w:rPr>
        <w:t>JO L 433 I, 22.12.2020, p. 28, ELI:</w:t>
      </w:r>
      <w:r w:rsidR="000D2675">
        <w:rPr>
          <w:sz w:val="24"/>
          <w:lang w:val="ro-RO"/>
        </w:rPr>
        <w:t> </w:t>
      </w:r>
      <w:hyperlink r:id="rId5" w:history="1">
        <w:r w:rsidRPr="00BD3B9E">
          <w:rPr>
            <w:rStyle w:val="Hyperlink"/>
            <w:sz w:val="24"/>
            <w:lang w:val="ro-RO"/>
          </w:rPr>
          <w:t>http://data.europa.eu/eli/agree_interinstit/2020/1222/oj</w:t>
        </w:r>
      </w:hyperlink>
      <w:r w:rsidRPr="00BD3B9E">
        <w:rPr>
          <w:sz w:val="24"/>
          <w:lang w:val="ro-RO"/>
        </w:rPr>
        <w:t>.</w:t>
      </w:r>
    </w:p>
  </w:footnote>
  <w:footnote w:id="7">
    <w:p w:rsidR="002A0DD0" w:rsidRPr="00BD3B9E" w:rsidP="00BD3B9E" w14:paraId="6DA81ACF" w14:textId="0DAB5E9B">
      <w:pPr>
        <w:pStyle w:val="FootnoteText"/>
        <w:ind w:left="567" w:hanging="567"/>
        <w:rPr>
          <w:sz w:val="24"/>
          <w:lang w:val="ro-RO"/>
        </w:rPr>
      </w:pPr>
      <w:r w:rsidRPr="00BD3B9E">
        <w:rPr>
          <w:rStyle w:val="FootnoteReference"/>
          <w:sz w:val="24"/>
          <w:lang w:val="ro-RO"/>
        </w:rPr>
        <w:footnoteRef/>
      </w:r>
      <w:r w:rsidRPr="00BD3B9E" w:rsidR="00BD3B9E">
        <w:rPr>
          <w:sz w:val="24"/>
          <w:lang w:val="ro-RO"/>
        </w:rPr>
        <w:t xml:space="preserve"> </w:t>
      </w:r>
      <w:r w:rsidRPr="00BD3B9E" w:rsidR="00BD3B9E">
        <w:rPr>
          <w:sz w:val="24"/>
          <w:lang w:val="ro-RO"/>
        </w:rPr>
        <w:tab/>
      </w:r>
      <w:r w:rsidRPr="00BD3B9E">
        <w:rPr>
          <w:sz w:val="24"/>
          <w:lang w:val="ro-RO"/>
        </w:rPr>
        <w:t>În înțelesul articolului 3 din Regulamentul privind FEG.</w:t>
      </w:r>
    </w:p>
  </w:footnote>
  <w:footnote w:id="8">
    <w:p w:rsidR="002A0DD0" w:rsidRPr="00BD3B9E" w:rsidP="00BD3B9E" w14:paraId="65197899" w14:textId="3149F5CF">
      <w:pPr>
        <w:pStyle w:val="FootnoteText"/>
        <w:ind w:left="567" w:hanging="567"/>
        <w:rPr>
          <w:sz w:val="24"/>
          <w:lang w:val="ro-RO"/>
        </w:rPr>
      </w:pPr>
      <w:r w:rsidRPr="00BD3B9E">
        <w:rPr>
          <w:rStyle w:val="FootnoteReference"/>
          <w:sz w:val="24"/>
          <w:lang w:val="ro-RO"/>
        </w:rPr>
        <w:footnoteRef/>
      </w:r>
      <w:r w:rsidRPr="00BD3B9E" w:rsidR="00BD3B9E">
        <w:rPr>
          <w:sz w:val="24"/>
          <w:lang w:val="ro-RO"/>
        </w:rPr>
        <w:t xml:space="preserve"> </w:t>
      </w:r>
      <w:r w:rsidRPr="00BD3B9E" w:rsidR="00BD3B9E">
        <w:rPr>
          <w:sz w:val="24"/>
          <w:lang w:val="ro-RO"/>
        </w:rPr>
        <w:tab/>
      </w:r>
      <w:r w:rsidRPr="00BD3B9E">
        <w:rPr>
          <w:sz w:val="24"/>
          <w:lang w:val="ro-RO"/>
        </w:rPr>
        <w:t>Articolul 8 din Regulamentul privind CFM.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3B9E" w14:paraId="4B93B27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3B9E" w14:paraId="4697F27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D3B9E" w14:paraId="24979E9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0159030">
    <w:abstractNumId w:val="9"/>
  </w:num>
  <w:num w:numId="2" w16cid:durableId="78984556">
    <w:abstractNumId w:val="9"/>
  </w:num>
  <w:num w:numId="3" w16cid:durableId="962004959">
    <w:abstractNumId w:val="7"/>
  </w:num>
  <w:num w:numId="4" w16cid:durableId="1249382356">
    <w:abstractNumId w:val="7"/>
  </w:num>
  <w:num w:numId="5" w16cid:durableId="146477408">
    <w:abstractNumId w:val="6"/>
  </w:num>
  <w:num w:numId="6" w16cid:durableId="923687746">
    <w:abstractNumId w:val="6"/>
  </w:num>
  <w:num w:numId="7" w16cid:durableId="1030913040">
    <w:abstractNumId w:val="5"/>
  </w:num>
  <w:num w:numId="8" w16cid:durableId="466050633">
    <w:abstractNumId w:val="5"/>
  </w:num>
  <w:num w:numId="9" w16cid:durableId="1143159802">
    <w:abstractNumId w:val="4"/>
  </w:num>
  <w:num w:numId="10" w16cid:durableId="1157577195">
    <w:abstractNumId w:val="4"/>
  </w:num>
  <w:num w:numId="11" w16cid:durableId="1022821881">
    <w:abstractNumId w:val="8"/>
  </w:num>
  <w:num w:numId="12" w16cid:durableId="1635940318">
    <w:abstractNumId w:val="8"/>
  </w:num>
  <w:num w:numId="13" w16cid:durableId="1179465246">
    <w:abstractNumId w:val="3"/>
  </w:num>
  <w:num w:numId="14" w16cid:durableId="386301938">
    <w:abstractNumId w:val="3"/>
  </w:num>
  <w:num w:numId="15" w16cid:durableId="408040363">
    <w:abstractNumId w:val="2"/>
  </w:num>
  <w:num w:numId="16" w16cid:durableId="1215654607">
    <w:abstractNumId w:val="2"/>
  </w:num>
  <w:num w:numId="17" w16cid:durableId="1685092973">
    <w:abstractNumId w:val="1"/>
  </w:num>
  <w:num w:numId="18" w16cid:durableId="566234077">
    <w:abstractNumId w:val="1"/>
  </w:num>
  <w:num w:numId="19" w16cid:durableId="1256205522">
    <w:abstractNumId w:val="0"/>
  </w:num>
  <w:num w:numId="20" w16cid:durableId="161702551">
    <w:abstractNumId w:val="0"/>
  </w:num>
  <w:num w:numId="21" w16cid:durableId="1777674535">
    <w:abstractNumId w:val="9"/>
  </w:num>
  <w:num w:numId="22" w16cid:durableId="1901211196">
    <w:abstractNumId w:val="7"/>
  </w:num>
  <w:num w:numId="23" w16cid:durableId="587037612">
    <w:abstractNumId w:val="6"/>
  </w:num>
  <w:num w:numId="24" w16cid:durableId="1222447984">
    <w:abstractNumId w:val="5"/>
  </w:num>
  <w:num w:numId="25" w16cid:durableId="87970503">
    <w:abstractNumId w:val="4"/>
  </w:num>
  <w:num w:numId="26" w16cid:durableId="1958902413">
    <w:abstractNumId w:val="8"/>
  </w:num>
  <w:num w:numId="27" w16cid:durableId="186482341">
    <w:abstractNumId w:val="3"/>
  </w:num>
  <w:num w:numId="28" w16cid:durableId="1284654673">
    <w:abstractNumId w:val="2"/>
  </w:num>
  <w:num w:numId="29" w16cid:durableId="828011843">
    <w:abstractNumId w:val="1"/>
  </w:num>
  <w:num w:numId="30" w16cid:durableId="1882090784">
    <w:abstractNumId w:val="0"/>
  </w:num>
  <w:num w:numId="31" w16cid:durableId="323120726">
    <w:abstractNumId w:val="9"/>
  </w:num>
  <w:num w:numId="32" w16cid:durableId="1202860615">
    <w:abstractNumId w:val="7"/>
  </w:num>
  <w:num w:numId="33" w16cid:durableId="1397435605">
    <w:abstractNumId w:val="6"/>
  </w:num>
  <w:num w:numId="34" w16cid:durableId="1717587939">
    <w:abstractNumId w:val="5"/>
  </w:num>
  <w:num w:numId="35" w16cid:durableId="1495954472">
    <w:abstractNumId w:val="4"/>
  </w:num>
  <w:num w:numId="36" w16cid:durableId="1395616092">
    <w:abstractNumId w:val="8"/>
  </w:num>
  <w:num w:numId="37" w16cid:durableId="688021964">
    <w:abstractNumId w:val="3"/>
  </w:num>
  <w:num w:numId="38" w16cid:durableId="223611305">
    <w:abstractNumId w:val="2"/>
  </w:num>
  <w:num w:numId="39" w16cid:durableId="1290937942">
    <w:abstractNumId w:val="1"/>
  </w:num>
  <w:num w:numId="40" w16cid:durableId="1973945480">
    <w:abstractNumId w:val="0"/>
  </w:num>
  <w:num w:numId="41" w16cid:durableId="1230074388">
    <w:abstractNumId w:val="10"/>
  </w:num>
  <w:num w:numId="42" w16cid:durableId="1912230036">
    <w:abstractNumId w:val="10"/>
  </w:num>
  <w:num w:numId="43" w16cid:durableId="896935372">
    <w:abstractNumId w:val="10"/>
  </w:num>
  <w:num w:numId="44" w16cid:durableId="2149720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C32"/>
    <w:rsid w:val="00002272"/>
    <w:rsid w:val="00064002"/>
    <w:rsid w:val="000677B9"/>
    <w:rsid w:val="000831BA"/>
    <w:rsid w:val="00097E25"/>
    <w:rsid w:val="000A42CC"/>
    <w:rsid w:val="000D2675"/>
    <w:rsid w:val="000E7DD9"/>
    <w:rsid w:val="0010095E"/>
    <w:rsid w:val="00125B37"/>
    <w:rsid w:val="00187494"/>
    <w:rsid w:val="001B00BB"/>
    <w:rsid w:val="001D413D"/>
    <w:rsid w:val="001F32AE"/>
    <w:rsid w:val="00272DA5"/>
    <w:rsid w:val="002767FF"/>
    <w:rsid w:val="002A0DD0"/>
    <w:rsid w:val="002B18FE"/>
    <w:rsid w:val="002B5493"/>
    <w:rsid w:val="00343214"/>
    <w:rsid w:val="00361C00"/>
    <w:rsid w:val="00395FA1"/>
    <w:rsid w:val="003E15D4"/>
    <w:rsid w:val="00411CCE"/>
    <w:rsid w:val="0041666E"/>
    <w:rsid w:val="00421060"/>
    <w:rsid w:val="00471C19"/>
    <w:rsid w:val="004867E3"/>
    <w:rsid w:val="00486C32"/>
    <w:rsid w:val="00494A28"/>
    <w:rsid w:val="004C0004"/>
    <w:rsid w:val="004C5D52"/>
    <w:rsid w:val="0050519A"/>
    <w:rsid w:val="005072A1"/>
    <w:rsid w:val="00514517"/>
    <w:rsid w:val="00545827"/>
    <w:rsid w:val="00554003"/>
    <w:rsid w:val="00560270"/>
    <w:rsid w:val="005C2568"/>
    <w:rsid w:val="005F1B17"/>
    <w:rsid w:val="0060003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A79"/>
    <w:rsid w:val="00930C23"/>
    <w:rsid w:val="0093193B"/>
    <w:rsid w:val="009509D8"/>
    <w:rsid w:val="00950B64"/>
    <w:rsid w:val="00977CA8"/>
    <w:rsid w:val="00981893"/>
    <w:rsid w:val="009E0E10"/>
    <w:rsid w:val="00A1687D"/>
    <w:rsid w:val="00A43E52"/>
    <w:rsid w:val="00A4678D"/>
    <w:rsid w:val="00A476D7"/>
    <w:rsid w:val="00A778C7"/>
    <w:rsid w:val="00AB441E"/>
    <w:rsid w:val="00AB6293"/>
    <w:rsid w:val="00AE0928"/>
    <w:rsid w:val="00AF3B82"/>
    <w:rsid w:val="00B02552"/>
    <w:rsid w:val="00B12E95"/>
    <w:rsid w:val="00B22876"/>
    <w:rsid w:val="00B42F57"/>
    <w:rsid w:val="00B558F0"/>
    <w:rsid w:val="00BD3B9E"/>
    <w:rsid w:val="00BD48FE"/>
    <w:rsid w:val="00BD7BD8"/>
    <w:rsid w:val="00BE6ADC"/>
    <w:rsid w:val="00C05BFE"/>
    <w:rsid w:val="00C23CD4"/>
    <w:rsid w:val="00C45674"/>
    <w:rsid w:val="00C61C0C"/>
    <w:rsid w:val="00C941CB"/>
    <w:rsid w:val="00CC2357"/>
    <w:rsid w:val="00CF071A"/>
    <w:rsid w:val="00D04EF5"/>
    <w:rsid w:val="00D058B8"/>
    <w:rsid w:val="00D56C11"/>
    <w:rsid w:val="00D834A0"/>
    <w:rsid w:val="00D872DF"/>
    <w:rsid w:val="00D91E21"/>
    <w:rsid w:val="00DA7FCD"/>
    <w:rsid w:val="00DC6D36"/>
    <w:rsid w:val="00E132C7"/>
    <w:rsid w:val="00E3380D"/>
    <w:rsid w:val="00E365E1"/>
    <w:rsid w:val="00E820A4"/>
    <w:rsid w:val="00E82DA9"/>
    <w:rsid w:val="00EB006A"/>
    <w:rsid w:val="00EB4772"/>
    <w:rsid w:val="00ED169E"/>
    <w:rsid w:val="00ED4235"/>
    <w:rsid w:val="00F04346"/>
    <w:rsid w:val="00F075DC"/>
    <w:rsid w:val="00F149E9"/>
    <w:rsid w:val="00F5134D"/>
    <w:rsid w:val="00F74202"/>
    <w:rsid w:val="00F87713"/>
    <w:rsid w:val="00FB4360"/>
    <w:rsid w:val="00FD0C70"/>
  </w:rsids>
  <w:docVars>
    <w:docVar w:name="dvdocse" w:val="A10-0149/2026"/>
    <w:docVar w:name="dvlangue" w:val="RO"/>
    <w:docVar w:name="dvnumam" w:val="0"/>
    <w:docVar w:name="dvpe" w:val="787.923"/>
    <w:docVar w:name="dvrapporteur" w:val="Raportor: "/>
    <w:docVar w:name="dvtitre" w:val="Rezoluția legislativă a Parlamentului European din ... 2026 referitor la propunerea de decizie a Parlamentului European și a Consiliului privind mobilizarea Fondului european de ajustare la globalizare pentru lucrătorii disponibilizați în urma unei cereri din partea Belgiei –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88D96BF"/>
  <w15:chartTrackingRefBased/>
  <w15:docId w15:val="{714F0378-FFB0-40E1-BF17-F26DCC4CA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A0DD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2A0DD0"/>
    <w:pPr>
      <w:keepNext/>
      <w:spacing w:after="480"/>
      <w:jc w:val="center"/>
    </w:pPr>
    <w:rPr>
      <w:rFonts w:ascii="Arial" w:hAnsi="Arial" w:cs="Arial"/>
      <w:b/>
    </w:rPr>
  </w:style>
  <w:style w:type="paragraph" w:customStyle="1" w:styleId="NormalHanging12a">
    <w:name w:val="NormalHanging12a"/>
    <w:basedOn w:val="Normal"/>
    <w:link w:val="NormalHanging12aChar"/>
    <w:rsid w:val="002A0DD0"/>
    <w:pPr>
      <w:spacing w:after="240"/>
      <w:ind w:left="567" w:hanging="567"/>
    </w:pPr>
  </w:style>
  <w:style w:type="paragraph" w:styleId="Header">
    <w:name w:val="header"/>
    <w:basedOn w:val="Normal"/>
    <w:link w:val="HeaderChar"/>
    <w:rsid w:val="002A0DD0"/>
    <w:pPr>
      <w:tabs>
        <w:tab w:val="center" w:pos="4513"/>
        <w:tab w:val="right" w:pos="9026"/>
      </w:tabs>
    </w:pPr>
  </w:style>
  <w:style w:type="character" w:customStyle="1" w:styleId="HeaderChar">
    <w:name w:val="Header Char"/>
    <w:basedOn w:val="DefaultParagraphFont"/>
    <w:link w:val="Header"/>
    <w:rsid w:val="002A0DD0"/>
    <w:rPr>
      <w:sz w:val="24"/>
      <w:lang w:val="ro-RO"/>
    </w:rPr>
  </w:style>
  <w:style w:type="paragraph" w:customStyle="1" w:styleId="EPFooter">
    <w:name w:val="EPFooter"/>
    <w:basedOn w:val="Normal"/>
    <w:rsid w:val="002A0DD0"/>
    <w:pPr>
      <w:tabs>
        <w:tab w:val="center" w:pos="4535"/>
        <w:tab w:val="right" w:pos="9071"/>
      </w:tabs>
      <w:spacing w:before="240" w:after="240"/>
    </w:pPr>
    <w:rPr>
      <w:color w:val="010000"/>
      <w:sz w:val="22"/>
    </w:rPr>
  </w:style>
  <w:style w:type="paragraph" w:customStyle="1" w:styleId="EPComma">
    <w:name w:val="EPComma"/>
    <w:basedOn w:val="Normal"/>
    <w:rsid w:val="002A0DD0"/>
    <w:pPr>
      <w:spacing w:before="480" w:after="240"/>
    </w:pPr>
  </w:style>
  <w:style w:type="character" w:styleId="Hyperlink">
    <w:name w:val="Hyperlink"/>
    <w:basedOn w:val="DefaultParagraphFont"/>
    <w:uiPriority w:val="99"/>
    <w:rsid w:val="002A0DD0"/>
    <w:rPr>
      <w:color w:val="0563C1" w:themeColor="hyperlink"/>
      <w:u w:val="single"/>
    </w:rPr>
  </w:style>
  <w:style w:type="character" w:customStyle="1" w:styleId="NormalHanging12aChar">
    <w:name w:val="NormalHanging12a Char"/>
    <w:basedOn w:val="DefaultParagraphFont"/>
    <w:link w:val="NormalHanging12a"/>
    <w:locked/>
    <w:rsid w:val="002A0DD0"/>
    <w:rPr>
      <w:sz w:val="24"/>
      <w:lang w:val="ro-RO"/>
    </w:rPr>
  </w:style>
  <w:style w:type="paragraph" w:customStyle="1" w:styleId="Titreobjet">
    <w:name w:val="Titre objet"/>
    <w:basedOn w:val="Normal"/>
    <w:next w:val="Normal"/>
    <w:rsid w:val="002A0DD0"/>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2A0DD0"/>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2A0DD0"/>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2A0DD0"/>
    <w:rPr>
      <w:rFonts w:ascii="Arial" w:hAnsi="Arial" w:cs="Arial"/>
      <w:b/>
      <w:sz w:val="24"/>
      <w:lang w:val="ro-RO"/>
    </w:rPr>
  </w:style>
  <w:style w:type="paragraph" w:styleId="Footer">
    <w:name w:val="footer"/>
    <w:basedOn w:val="Normal"/>
    <w:link w:val="FooterChar"/>
    <w:rsid w:val="00D04EF5"/>
    <w:pPr>
      <w:tabs>
        <w:tab w:val="center" w:pos="4513"/>
        <w:tab w:val="right" w:pos="9026"/>
      </w:tabs>
    </w:pPr>
  </w:style>
  <w:style w:type="character" w:customStyle="1" w:styleId="FooterChar">
    <w:name w:val="Footer Char"/>
    <w:basedOn w:val="DefaultParagraphFont"/>
    <w:link w:val="Footer"/>
    <w:rsid w:val="00D04EF5"/>
    <w:rPr>
      <w:sz w:val="24"/>
      <w:lang w:val="ro-RO"/>
    </w:rPr>
  </w:style>
  <w:style w:type="paragraph" w:styleId="Revision">
    <w:name w:val="Revision"/>
    <w:hidden/>
    <w:uiPriority w:val="99"/>
    <w:semiHidden/>
    <w:rsid w:val="00D04EF5"/>
    <w:rPr>
      <w:sz w:val="24"/>
      <w:lang w:val="ro-RO"/>
    </w:rPr>
  </w:style>
  <w:style w:type="character" w:styleId="CommentReference">
    <w:name w:val="annotation reference"/>
    <w:basedOn w:val="DefaultParagraphFont"/>
    <w:rsid w:val="001D413D"/>
    <w:rPr>
      <w:sz w:val="16"/>
      <w:szCs w:val="16"/>
    </w:rPr>
  </w:style>
  <w:style w:type="paragraph" w:styleId="CommentText">
    <w:name w:val="annotation text"/>
    <w:basedOn w:val="Normal"/>
    <w:link w:val="CommentTextChar"/>
    <w:rsid w:val="001D413D"/>
    <w:rPr>
      <w:sz w:val="20"/>
    </w:rPr>
  </w:style>
  <w:style w:type="character" w:customStyle="1" w:styleId="CommentTextChar">
    <w:name w:val="Comment Text Char"/>
    <w:basedOn w:val="DefaultParagraphFont"/>
    <w:link w:val="CommentText"/>
    <w:rsid w:val="001D413D"/>
    <w:rPr>
      <w:lang w:val="ro-RO"/>
    </w:rPr>
  </w:style>
  <w:style w:type="paragraph" w:styleId="CommentSubject">
    <w:name w:val="annotation subject"/>
    <w:basedOn w:val="CommentText"/>
    <w:next w:val="CommentText"/>
    <w:link w:val="CommentSubjectChar"/>
    <w:rsid w:val="001D413D"/>
    <w:rPr>
      <w:b/>
      <w:bCs/>
    </w:rPr>
  </w:style>
  <w:style w:type="character" w:customStyle="1" w:styleId="CommentSubjectChar">
    <w:name w:val="Comment Subject Char"/>
    <w:basedOn w:val="CommentTextChar"/>
    <w:link w:val="CommentSubject"/>
    <w:rsid w:val="001D413D"/>
    <w:rPr>
      <w:b/>
      <w:bCs/>
      <w:lang w:val="ro-RO"/>
    </w:rPr>
  </w:style>
  <w:style w:type="character" w:styleId="FollowedHyperlink">
    <w:name w:val="FollowedHyperlink"/>
    <w:basedOn w:val="DefaultParagraphFont"/>
    <w:rsid w:val="001B00BB"/>
    <w:rPr>
      <w:color w:val="954F72" w:themeColor="followedHyperlink"/>
      <w:u w:val="single"/>
    </w:rPr>
  </w:style>
  <w:style w:type="character" w:customStyle="1" w:styleId="ATHeading3Char">
    <w:name w:val="AT Heading 3 Char"/>
    <w:link w:val="ATHeading3"/>
    <w:locked/>
    <w:rsid w:val="00DC6D36"/>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1859</Words>
  <Characters>11317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2026-09-01T09:56:00Z</dcterms:created>
  <dcterms:modified xsi:type="dcterms:W3CDTF">2026-09-01T09:56:00Z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P10_TA(2026)0201_</vt:lpwstr>
  </property>
  <property fmtid="{D5CDD505-2E9C-101B-9397-08002B2CF9AE}" pid="4" name="&lt;Type&gt;">
    <vt:lpwstr>RR</vt:lpwstr>
  </property>
</Properties>
</file>