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590331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71B8" w:rsidP="0010095E" w14:paraId="70E7C420" w14:textId="77777777">
            <w:pPr>
              <w:pStyle w:val="EPName"/>
            </w:pPr>
            <w:r w:rsidRPr="005271B8">
              <w:t>Európsky parlament</w:t>
            </w:r>
          </w:p>
          <w:p w:rsidR="00751A4A" w:rsidRPr="005271B8" w:rsidP="005F1B17" w14:paraId="065BE28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1B8">
              <w:t>2024</w:t>
            </w:r>
            <w:r w:rsidRPr="005271B8" w:rsidR="00817416">
              <w:t>-202</w:t>
            </w:r>
            <w:r w:rsidRPr="005271B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71B8" w:rsidP="0010095E" w14:paraId="0E0E4C42" w14:textId="77777777">
            <w:pPr>
              <w:pStyle w:val="EPLogo"/>
            </w:pPr>
            <w:r w:rsidRPr="005271B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71B8" w:rsidP="004C5D52" w14:paraId="18045B76" w14:textId="77777777">
      <w:pPr>
        <w:pStyle w:val="LineTop"/>
      </w:pPr>
    </w:p>
    <w:p w:rsidR="00680577" w:rsidRPr="005271B8" w:rsidP="00680577" w14:paraId="7A35857F" w14:textId="77777777">
      <w:pPr>
        <w:pStyle w:val="EPBodyTA1"/>
      </w:pPr>
      <w:r w:rsidRPr="005271B8">
        <w:t>PRIJATÉ TEXTY</w:t>
      </w:r>
    </w:p>
    <w:p w:rsidR="00D058B8" w:rsidRPr="005271B8" w:rsidP="00D058B8" w14:paraId="724F4BD9" w14:textId="77777777">
      <w:pPr>
        <w:pStyle w:val="LineBottom"/>
      </w:pPr>
    </w:p>
    <w:p w:rsidR="00C456D7" w:rsidRPr="005271B8" w:rsidP="00C456D7" w14:paraId="671DC7A1" w14:textId="21604EC5">
      <w:pPr>
        <w:pStyle w:val="ATHeading1"/>
      </w:pPr>
      <w:bookmarkStart w:id="0" w:name="TANumber"/>
      <w:r w:rsidRPr="005271B8">
        <w:t>P10_TA(2026)0</w:t>
      </w:r>
      <w:r w:rsidRPr="005271B8" w:rsidR="005271B8">
        <w:t>201</w:t>
      </w:r>
      <w:bookmarkEnd w:id="0"/>
    </w:p>
    <w:p w:rsidR="00C456D7" w:rsidRPr="005271B8" w:rsidP="00C456D7" w14:paraId="62DBD790" w14:textId="79C25C07">
      <w:pPr>
        <w:pStyle w:val="ATHeading2"/>
      </w:pPr>
      <w:bookmarkStart w:id="1" w:name="title"/>
      <w:r w:rsidRPr="005271B8">
        <w:t>Mobilizácia Európskeho fondu na prispôsobenie sa globalizácii na pomoc pracovníkom, ktorí prišli o</w:t>
      </w:r>
      <w:r w:rsidRPr="005271B8" w:rsidR="00C8550A">
        <w:t xml:space="preserve"> </w:t>
      </w:r>
      <w:r w:rsidRPr="005271B8">
        <w:t>zamestnanie, na základe žiadosti Belgicka – EGF/2025/009 BE/</w:t>
      </w:r>
      <w:r w:rsidRPr="005271B8">
        <w:t>Soliver</w:t>
      </w:r>
      <w:bookmarkEnd w:id="1"/>
    </w:p>
    <w:p w:rsidR="00C456D7" w:rsidRPr="005271B8" w:rsidP="00C456D7" w14:paraId="26E98B8D" w14:textId="77777777">
      <w:pPr>
        <w:rPr>
          <w:i/>
          <w:vanish/>
        </w:rPr>
      </w:pPr>
      <w:r>
        <w:rPr>
          <w:i/>
        </w:rPr>
        <w:fldChar w:fldCharType="begin"/>
      </w:r>
      <w:r w:rsidRPr="005271B8">
        <w:rPr>
          <w:i/>
        </w:rPr>
        <w:instrText xml:space="preserve"> TC"(</w:instrText>
      </w:r>
      <w:bookmarkStart w:id="2" w:name="DocNumber"/>
      <w:r w:rsidRPr="005271B8">
        <w:rPr>
          <w:i/>
        </w:rPr>
        <w:instrText>A10-0149/2026</w:instrText>
      </w:r>
      <w:bookmarkEnd w:id="2"/>
      <w:r w:rsidRPr="005271B8">
        <w:rPr>
          <w:i/>
        </w:rPr>
        <w:instrText xml:space="preserve"> - Spravodajca: Bogdan Rzońca)"\l3 \n&gt; \* MERGEFORMAT </w:instrText>
      </w:r>
      <w:r>
        <w:rPr>
          <w:i/>
        </w:rPr>
        <w:fldChar w:fldCharType="end"/>
      </w:r>
    </w:p>
    <w:p w:rsidR="00C456D7" w:rsidRPr="005271B8" w:rsidP="00C456D7" w14:paraId="689B6AB3" w14:textId="77777777">
      <w:pPr>
        <w:rPr>
          <w:vanish/>
        </w:rPr>
      </w:pPr>
      <w:bookmarkStart w:id="3" w:name="Commission"/>
      <w:r w:rsidRPr="005271B8">
        <w:rPr>
          <w:vanish/>
        </w:rPr>
        <w:t>Výbor pre rozpočet</w:t>
      </w:r>
      <w:bookmarkEnd w:id="3"/>
    </w:p>
    <w:p w:rsidR="00C456D7" w:rsidRPr="005271B8" w:rsidP="00C456D7" w14:paraId="2D5943FF" w14:textId="77777777">
      <w:pPr>
        <w:rPr>
          <w:vanish/>
        </w:rPr>
      </w:pPr>
      <w:bookmarkStart w:id="4" w:name="PE"/>
      <w:r w:rsidRPr="005271B8">
        <w:rPr>
          <w:vanish/>
        </w:rPr>
        <w:t>PE787.923</w:t>
      </w:r>
      <w:bookmarkEnd w:id="4"/>
    </w:p>
    <w:p w:rsidR="00C456D7" w:rsidRPr="005271B8" w:rsidP="00C456D7" w14:paraId="549267D9" w14:textId="391516A0">
      <w:pPr>
        <w:pStyle w:val="ATHeading3"/>
      </w:pPr>
      <w:bookmarkStart w:id="5" w:name="Sujet"/>
      <w:r w:rsidRPr="005271B8">
        <w:t xml:space="preserve">Uznesenie Európskeho parlamentu zo </w:t>
      </w:r>
      <w:r w:rsidRPr="005271B8" w:rsidR="003A5D69">
        <w:t>16. júna</w:t>
      </w:r>
      <w:r w:rsidRPr="005271B8">
        <w:t xml:space="preserve"> 2026 o návrhu rozhodnutia Európskeho parlamentu a Rady o mobilizácii Európskeho fondu na prispôsobenie sa globalizácii na pomoc pracovníkom, ktorí prišli o zamestnanie, na základe žiadosti Belgicka – EGF/2025/009 BE/</w:t>
      </w:r>
      <w:r w:rsidRPr="005271B8">
        <w:t>Soliver</w:t>
      </w:r>
      <w:bookmarkEnd w:id="5"/>
      <w:r w:rsidRPr="005271B8">
        <w:t xml:space="preserve"> </w:t>
      </w:r>
      <w:bookmarkStart w:id="6" w:name="References"/>
      <w:r w:rsidRPr="005271B8">
        <w:t>(COM(2026)0050 – C10-0111/2026 – 2026/0097(BUD))</w:t>
      </w:r>
      <w:bookmarkEnd w:id="6"/>
    </w:p>
    <w:p w:rsidR="00D8539A" w:rsidRPr="005271B8" w:rsidP="00D8539A" w14:paraId="4A801CB9" w14:textId="77777777">
      <w:pPr>
        <w:pStyle w:val="EPComma"/>
        <w:rPr>
          <w:noProof/>
        </w:rPr>
      </w:pPr>
      <w:r w:rsidRPr="005271B8">
        <w:rPr>
          <w:i/>
        </w:rPr>
        <w:t>Európsky parlament</w:t>
      </w:r>
      <w:r w:rsidRPr="005271B8">
        <w:t>,</w:t>
      </w:r>
    </w:p>
    <w:p w:rsidR="00D8539A" w:rsidRPr="005271B8" w:rsidP="00D8539A" w14:paraId="2FDAC857" w14:textId="77777777">
      <w:pPr>
        <w:pStyle w:val="NormalHanging12a"/>
        <w:rPr>
          <w:noProof/>
        </w:rPr>
      </w:pPr>
      <w:r w:rsidRPr="005271B8">
        <w:t>–</w:t>
      </w:r>
      <w:r w:rsidRPr="005271B8">
        <w:tab/>
        <w:t>so zreteľom na návrh Komisie pre Európsky parlament a Radu (COM(2026)0050 – C10</w:t>
      </w:r>
      <w:r w:rsidRPr="005271B8">
        <w:noBreakHyphen/>
        <w:t>0111/2026),</w:t>
      </w:r>
    </w:p>
    <w:p w:rsidR="00D8539A" w:rsidRPr="005271B8" w:rsidP="00D8539A" w14:paraId="774470FE" w14:textId="0AFCCB77">
      <w:pPr>
        <w:pStyle w:val="NormalHanging12a"/>
      </w:pPr>
      <w:r w:rsidRPr="005271B8">
        <w:t>–</w:t>
      </w:r>
      <w:r w:rsidRPr="005271B8">
        <w:tab/>
        <w:t>so zreteľom na nariadenie Európskeho parlamentu a Rady (EÚ) 2021/691 z 28. apríla 2021 o Európskom fonde na prispôsobenie sa globalizácii na pomoc pracovníkom, ktorí prišli o zamestnanie (</w:t>
      </w:r>
      <w:r w:rsidRPr="005271B8" w:rsidR="001A156D">
        <w:t>ďalej len „</w:t>
      </w:r>
      <w:r w:rsidRPr="005271B8">
        <w:t>EGF</w:t>
      </w:r>
      <w:r w:rsidRPr="005271B8" w:rsidR="001A156D">
        <w:t>“</w:t>
      </w:r>
      <w:r w:rsidRPr="005271B8">
        <w:t>), ktorým sa zrušuje nariadenie (EÚ) č. 1309/2013</w:t>
      </w:r>
      <w:r>
        <w:rPr>
          <w:vertAlign w:val="superscript"/>
        </w:rPr>
        <w:footnoteReference w:id="2"/>
      </w:r>
      <w:r w:rsidRPr="005271B8">
        <w:t xml:space="preserve"> (ďalej len „nariadenie o EGF“), zmenené nariadením (EÚ) 2026/1139</w:t>
      </w:r>
      <w:r>
        <w:rPr>
          <w:vertAlign w:val="superscript"/>
        </w:rPr>
        <w:footnoteReference w:id="3"/>
      </w:r>
      <w:r w:rsidRPr="005271B8">
        <w:t xml:space="preserve">, </w:t>
      </w:r>
    </w:p>
    <w:p w:rsidR="00D8539A" w:rsidRPr="005271B8" w:rsidP="00D8539A" w14:paraId="17AFB3BE" w14:textId="77777777">
      <w:pPr>
        <w:pStyle w:val="NormalHanging12a"/>
        <w:rPr>
          <w:noProof/>
        </w:rPr>
      </w:pPr>
      <w:r w:rsidRPr="005271B8">
        <w:t>–</w:t>
      </w:r>
      <w:r w:rsidRPr="005271B8">
        <w:tab/>
        <w:t xml:space="preserve">so zreteľom na nariadenie Rady (EÚ, </w:t>
      </w:r>
      <w:r w:rsidRPr="005271B8">
        <w:t>Euratom</w:t>
      </w:r>
      <w:r w:rsidRPr="005271B8">
        <w:t>) 2020/2093 zo 17. decembra 2020, ktorým sa stanovuje viacročný finančný rámec na roky 2021 až 2027 (ďalej len „nariadenie o VFR“)</w:t>
      </w:r>
      <w:r>
        <w:rPr>
          <w:noProof/>
          <w:vertAlign w:val="superscript"/>
        </w:rPr>
        <w:footnoteReference w:id="4"/>
      </w:r>
      <w:r w:rsidRPr="005271B8">
        <w:t xml:space="preserve">, zmenené nariadením (EÚ, </w:t>
      </w:r>
      <w:r w:rsidRPr="005271B8">
        <w:t>Euratom</w:t>
      </w:r>
      <w:r w:rsidRPr="005271B8">
        <w:t>) 2024/765</w:t>
      </w:r>
      <w:r>
        <w:rPr>
          <w:noProof/>
          <w:vertAlign w:val="superscript"/>
        </w:rPr>
        <w:footnoteReference w:id="5"/>
      </w:r>
      <w:r w:rsidRPr="005271B8">
        <w:t>, a najmä na jeho článok 8,</w:t>
      </w:r>
    </w:p>
    <w:p w:rsidR="00D8539A" w:rsidRPr="005271B8" w:rsidP="00D8539A" w14:paraId="4A8F300D" w14:textId="77777777">
      <w:pPr>
        <w:pStyle w:val="NormalHanging12a"/>
        <w:rPr>
          <w:noProof/>
        </w:rPr>
      </w:pPr>
      <w:r w:rsidRPr="005271B8">
        <w:t>–</w:t>
      </w:r>
      <w:r w:rsidRPr="005271B8">
        <w:tab/>
        <w:t xml:space="preserve">so zreteľom na </w:t>
      </w:r>
      <w:r w:rsidRPr="005271B8">
        <w:t>Medziinštitucionálnu</w:t>
      </w:r>
      <w:r w:rsidRPr="005271B8">
        <w:t xml:space="preserve"> dohodu zo 16. decembra 2020 medzi Európskym parlamentom, Radou Európskej únie a Európskou komisiou o rozpočtovej disciplíne, spolupráci v rozpočtových záležitostiach a správnom finančnom riadení, ako aj </w:t>
      </w:r>
      <w:r w:rsidRPr="005271B8">
        <w:t>o nových vlastných zdrojoch vrátane plánu na zavedenie nových vlastných zdrojov</w:t>
      </w:r>
      <w:r>
        <w:rPr>
          <w:rStyle w:val="FootnoteReference"/>
          <w:noProof/>
        </w:rPr>
        <w:footnoteReference w:id="6"/>
      </w:r>
      <w:r w:rsidRPr="005271B8">
        <w:t>, a najmä na jej bod 9,</w:t>
      </w:r>
    </w:p>
    <w:p w:rsidR="00D8539A" w:rsidRPr="005271B8" w:rsidP="00D8539A" w14:paraId="72334D1E" w14:textId="77777777">
      <w:pPr>
        <w:pStyle w:val="NormalHanging12a"/>
      </w:pPr>
      <w:r w:rsidRPr="005271B8">
        <w:t>–</w:t>
      </w:r>
      <w:r w:rsidRPr="005271B8">
        <w:tab/>
        <w:t>so zreteľom na Európsky pilier sociálnych práv,</w:t>
      </w:r>
    </w:p>
    <w:p w:rsidR="00D8539A" w:rsidRPr="005271B8" w:rsidP="00D8539A" w14:paraId="35227568" w14:textId="77777777">
      <w:pPr>
        <w:pStyle w:val="NormalHanging12a"/>
      </w:pPr>
      <w:r w:rsidRPr="005271B8">
        <w:t>–</w:t>
      </w:r>
      <w:r w:rsidRPr="005271B8">
        <w:tab/>
        <w:t>so zreteľom na list Výboru pre zamestnanosť a sociálne veci,</w:t>
      </w:r>
    </w:p>
    <w:p w:rsidR="00D8539A" w:rsidRPr="005271B8" w:rsidP="00D8539A" w14:paraId="05FED3DA" w14:textId="77777777">
      <w:pPr>
        <w:pStyle w:val="NormalHanging12a"/>
      </w:pPr>
      <w:r w:rsidRPr="005271B8">
        <w:t>–</w:t>
      </w:r>
      <w:r w:rsidRPr="005271B8">
        <w:tab/>
        <w:t>so zreteľom na správu Výboru pre rozpočet (A10-0149/2026),</w:t>
      </w:r>
    </w:p>
    <w:p w:rsidR="00D8539A" w:rsidRPr="005271B8" w:rsidP="00D8539A" w14:paraId="1C120719" w14:textId="77777777">
      <w:pPr>
        <w:pStyle w:val="NormalHanging12a"/>
      </w:pPr>
      <w:r w:rsidRPr="005271B8">
        <w:t>A.</w:t>
      </w:r>
      <w:r w:rsidRPr="005271B8">
        <w:tab/>
        <w:t>keďže Únia vytvorila legislatívne a rozpočtové nástroje s cieľom poskytovať dodatočnú podporu pracovníkom postihnutým dôsledkami veľkých štrukturálnych udalostí a zmien v usporiadaní svetového obchodu a pomáhať im pri opätovnom začleňovaní do trhu práce; keďže táto pomoc sa uskutočňuje formou finančnej podpory poskytovanej pracovníkom; keďže zachovanie konkurencieschopnosti európskeho priemyslu a posilnenie investícií do inovácií a zručností sú nevyhnutné na zabránenie ďalšiemu úpadku priemyslu a strate pracovných miest v celej Únii;</w:t>
      </w:r>
    </w:p>
    <w:p w:rsidR="00D8539A" w:rsidRPr="005271B8" w:rsidP="00D8539A" w14:paraId="7AA706B2" w14:textId="77777777">
      <w:pPr>
        <w:pStyle w:val="NormalHanging12a"/>
      </w:pPr>
      <w:r w:rsidRPr="005271B8">
        <w:t>B.</w:t>
      </w:r>
      <w:r w:rsidRPr="005271B8">
        <w:tab/>
        <w:t>keďže Belgicko predložilo žiadosť EGF/2025/009 BE/</w:t>
      </w:r>
      <w:r w:rsidRPr="005271B8">
        <w:t>Soliver</w:t>
      </w:r>
      <w:r w:rsidRPr="005271B8">
        <w:t xml:space="preserve"> o finančný príspevok z EGF po prepustení 803 pracovníkov</w:t>
      </w:r>
      <w:r>
        <w:rPr>
          <w:vertAlign w:val="superscript"/>
        </w:rPr>
        <w:footnoteReference w:id="7"/>
      </w:r>
      <w:r w:rsidRPr="005271B8">
        <w:t xml:space="preserve"> spoločnosti </w:t>
      </w:r>
      <w:r w:rsidRPr="005271B8">
        <w:t>Soliver</w:t>
      </w:r>
      <w:r w:rsidRPr="005271B8">
        <w:t xml:space="preserve"> NV (</w:t>
      </w:r>
      <w:r w:rsidRPr="005271B8">
        <w:t>Soliver</w:t>
      </w:r>
      <w:r w:rsidRPr="005271B8">
        <w:t xml:space="preserve">) v Belgicku v hospodárskom odvetví zaradenom podľa klasifikácie NACE </w:t>
      </w:r>
      <w:r w:rsidRPr="005271B8">
        <w:t>Revision</w:t>
      </w:r>
      <w:r w:rsidRPr="005271B8">
        <w:t xml:space="preserve"> 2 do divízie 46 (veľkoobchod) v regiónoch – provinciách </w:t>
      </w:r>
      <w:r w:rsidRPr="005271B8">
        <w:t>Oost-Vlaanderen</w:t>
      </w:r>
      <w:r w:rsidRPr="005271B8">
        <w:t xml:space="preserve"> (BE23) a West-</w:t>
      </w:r>
      <w:r w:rsidRPr="005271B8">
        <w:t>Vlaanderen</w:t>
      </w:r>
      <w:r w:rsidRPr="005271B8">
        <w:t xml:space="preserve"> (BE25) vo Flámsku – v referenčnom období od 1. júla 2025 do 1. novembra 2025;</w:t>
      </w:r>
    </w:p>
    <w:p w:rsidR="00D8539A" w:rsidRPr="005271B8" w:rsidP="00D8539A" w14:paraId="74B8D8D7" w14:textId="77777777">
      <w:pPr>
        <w:pStyle w:val="NormalHanging12a"/>
      </w:pPr>
      <w:r w:rsidRPr="005271B8">
        <w:t>C.</w:t>
      </w:r>
      <w:r w:rsidRPr="005271B8">
        <w:tab/>
        <w:t>keďže žiadosť je založená na intervenčných kritériách uvedených v článku 4 ods. 2 písm. a) nariadenia o EGF;</w:t>
      </w:r>
    </w:p>
    <w:p w:rsidR="00D8539A" w:rsidRPr="005271B8" w:rsidP="00D8539A" w14:paraId="7263ABCF" w14:textId="77777777">
      <w:pPr>
        <w:pStyle w:val="NormalHanging12a"/>
        <w:rPr>
          <w:noProof/>
        </w:rPr>
      </w:pPr>
      <w:r w:rsidRPr="005271B8">
        <w:t>D.</w:t>
      </w:r>
      <w:r w:rsidRPr="005271B8">
        <w:tab/>
        <w:t xml:space="preserve">keďže spoločnosť </w:t>
      </w:r>
      <w:r w:rsidRPr="005271B8">
        <w:t>Soliver</w:t>
      </w:r>
      <w:r w:rsidRPr="005271B8">
        <w:t xml:space="preserve"> podala v decembri 2024 návrh na vyhlásenie konkurzu; keďže v Belgicku sú konkurzy od roku 2022 na vzostupe a nezamestnanosť vážne postihuje viaceré regióny vo Flámsku;</w:t>
      </w:r>
    </w:p>
    <w:p w:rsidR="00D8539A" w:rsidRPr="005271B8" w:rsidP="00D8539A" w14:paraId="74C32034" w14:textId="77777777">
      <w:pPr>
        <w:pStyle w:val="NormalHanging12a"/>
        <w:rPr>
          <w:bCs/>
          <w:iCs/>
          <w:noProof/>
        </w:rPr>
      </w:pPr>
      <w:r w:rsidRPr="005271B8">
        <w:t>E.</w:t>
      </w:r>
      <w:r w:rsidRPr="005271B8">
        <w:tab/>
        <w:t xml:space="preserve">keďže významný podiel pracovnej sily postihnutej zatvorením podniku </w:t>
      </w:r>
      <w:r w:rsidRPr="005271B8">
        <w:t>Soliver</w:t>
      </w:r>
      <w:r w:rsidRPr="005271B8">
        <w:t xml:space="preserve"> tvoria starší pracovníci, ktorí čelia osobitným a viacnásobným prekážkam opätovného začlenenia na trh práce vrátane diskriminácie na základe veku, nesúladu medzi ponúkanými a požadovanými zručnosťami a obmedzeného prístupu k príležitostiam na rekvalifikáciu; keďže sa musia zaviesť cielené opatrenia na riešenie osobitných potrieb starších pracovníkov vrátane formátov odbornej prípravy primeraných veku, mentorstva a spolupráce so zamestnávateľmi, ktorí sa zaviazali prijímať príslušníkov rôznych vekových skupín;</w:t>
      </w:r>
    </w:p>
    <w:p w:rsidR="00D8539A" w:rsidRPr="005271B8" w:rsidP="00D8539A" w14:paraId="7CB75C67" w14:textId="77777777">
      <w:pPr>
        <w:pStyle w:val="NormalHanging12a"/>
      </w:pPr>
      <w:r w:rsidRPr="005271B8">
        <w:t>F.</w:t>
      </w:r>
      <w:r w:rsidRPr="005271B8">
        <w:tab/>
        <w:t>keďže úrad VDAB poskytuje vnútroštátne predbežné financovanie a spolufinancovanie opatrení;</w:t>
      </w:r>
    </w:p>
    <w:p w:rsidR="00D8539A" w:rsidRPr="005271B8" w:rsidP="00D8539A" w14:paraId="2160E2D1" w14:textId="77777777">
      <w:pPr>
        <w:pStyle w:val="NormalHanging12a"/>
      </w:pPr>
      <w:r w:rsidRPr="005271B8">
        <w:t>G.</w:t>
      </w:r>
      <w:r w:rsidRPr="005271B8">
        <w:tab/>
        <w:t>keďže boli splnené požiadavky stanovené v právnych predpisoch Únie a vo vnútroštátnych právnych predpisoch, ktoré sa týkajú hromadného prepúšťania;</w:t>
      </w:r>
    </w:p>
    <w:p w:rsidR="00D8539A" w:rsidRPr="005271B8" w:rsidP="00D8539A" w14:paraId="1CEA2818" w14:textId="77777777">
      <w:pPr>
        <w:pStyle w:val="NormalHanging12a"/>
      </w:pPr>
      <w:r w:rsidRPr="005271B8">
        <w:t>H.</w:t>
      </w:r>
      <w:r w:rsidRPr="005271B8">
        <w:tab/>
        <w:t xml:space="preserve">keďže finančné príspevky z EGF by mali byť zacielené predovšetkým na aktívne opatrenia politiky trhu práce a </w:t>
      </w:r>
      <w:r w:rsidRPr="005271B8">
        <w:t>personalizované</w:t>
      </w:r>
      <w:r w:rsidRPr="005271B8">
        <w:t xml:space="preserve"> služby zamerané na rýchle opätovné začlenenie prijímateľov do trhu práce natrvalo a za kvalitných pracovných podmienok, pričom sa im ponúkne odborná príprava na získanie zručností, ktoré im uľahčia </w:t>
      </w:r>
      <w:r w:rsidRPr="005271B8">
        <w:t>opätovné začlenenie do trhu práce;</w:t>
      </w:r>
    </w:p>
    <w:p w:rsidR="00D8539A" w:rsidRPr="005271B8" w:rsidP="00D8539A" w14:paraId="5E10F516" w14:textId="70707F38">
      <w:pPr>
        <w:pStyle w:val="NormalHanging12a"/>
      </w:pPr>
      <w:r w:rsidRPr="005271B8">
        <w:t>I.</w:t>
      </w:r>
      <w:r w:rsidRPr="005271B8">
        <w:tab/>
        <w:t xml:space="preserve">keďže EGF nesmie prekročiť maximálnu ročnú sumu 30 miliónov EUR (v cenách </w:t>
      </w:r>
      <w:r w:rsidRPr="005271B8" w:rsidR="000A1CA1">
        <w:t xml:space="preserve">z </w:t>
      </w:r>
      <w:r w:rsidRPr="005271B8">
        <w:t>roku 2018)</w:t>
      </w:r>
      <w:r>
        <w:rPr>
          <w:rStyle w:val="FootnoteReference"/>
        </w:rPr>
        <w:footnoteReference w:id="8"/>
      </w:r>
      <w:r w:rsidRPr="005271B8">
        <w:t>;</w:t>
      </w:r>
    </w:p>
    <w:p w:rsidR="00D8539A" w:rsidRPr="005271B8" w:rsidP="00D8539A" w14:paraId="4B973B10" w14:textId="38B22466">
      <w:pPr>
        <w:pStyle w:val="NormalHanging12a"/>
      </w:pPr>
      <w:r w:rsidRPr="005271B8">
        <w:t>1.</w:t>
      </w:r>
      <w:r w:rsidRPr="005271B8">
        <w:tab/>
        <w:t>súhlasí s Komisiou, že podmienky stanovené v nariadení o EGF, a najmä v jeho článku 4 ods. 2 písm. a), sú splnené a že Belgicko má podľa uvedeného nariadenia nárok na finančný príspevok vo výške 2 132 535</w:t>
      </w:r>
      <w:r w:rsidRPr="005271B8" w:rsidR="001A156D">
        <w:t> </w:t>
      </w:r>
      <w:r w:rsidRPr="005271B8">
        <w:t>EUR, čo predstavuje 85 % celkových nákladov vo výške 2 508 865</w:t>
      </w:r>
      <w:r w:rsidRPr="005271B8" w:rsidR="001A156D">
        <w:t> </w:t>
      </w:r>
      <w:r w:rsidRPr="005271B8">
        <w:t xml:space="preserve">EUR zahŕňajúcich výdavky na </w:t>
      </w:r>
      <w:r w:rsidRPr="005271B8">
        <w:t>personalizované</w:t>
      </w:r>
      <w:r w:rsidRPr="005271B8">
        <w:t xml:space="preserve"> služby vo výške 2 412 465</w:t>
      </w:r>
      <w:r w:rsidRPr="005271B8" w:rsidR="001A156D">
        <w:t> </w:t>
      </w:r>
      <w:r w:rsidRPr="005271B8">
        <w:t>EUR a výdavky na činnosti prípravy, riadenia, informovania a propagácie, kontroly a podávania správ vo výške 96 400</w:t>
      </w:r>
      <w:r w:rsidRPr="005271B8" w:rsidR="001A156D">
        <w:t> </w:t>
      </w:r>
      <w:r w:rsidRPr="005271B8">
        <w:t>EUR;</w:t>
      </w:r>
    </w:p>
    <w:p w:rsidR="00D8539A" w:rsidRPr="005271B8" w:rsidP="00D8539A" w14:paraId="03C1A823" w14:textId="252B2C68">
      <w:pPr>
        <w:pStyle w:val="NormalHanging12a"/>
      </w:pPr>
      <w:r w:rsidRPr="005271B8">
        <w:t>2.</w:t>
      </w:r>
      <w:r w:rsidRPr="005271B8">
        <w:tab/>
        <w:t xml:space="preserve">poznamenáva, že belgické orgány podali žiadosť 22. decembra 2025 a že na základe dodatočných informácií, ktoré Belgicko poskytlo, Komisia 30. apríla 2026, teda takmer mesiac pred termínom, dokončila svoje posúdenie a v ten istý deň o ňom informovala </w:t>
      </w:r>
      <w:r w:rsidRPr="005271B8" w:rsidR="001A156D">
        <w:t>Európsky p</w:t>
      </w:r>
      <w:r w:rsidRPr="005271B8">
        <w:t>arlament; zdôrazňuje, že je dôležité skrátiť čas medzi predložením žiadosti o pomoc z EGF a rozhodnutím o financovaní a zároveň v plnej miere chrániť práva Európskeho parlamentu ako jednej zo zložiek rozpočtového orgánu;</w:t>
      </w:r>
    </w:p>
    <w:p w:rsidR="00D8539A" w:rsidRPr="005271B8" w:rsidP="00D8539A" w14:paraId="375BF998" w14:textId="77777777">
      <w:pPr>
        <w:pStyle w:val="NormalHanging12a"/>
        <w:rPr>
          <w:noProof/>
        </w:rPr>
      </w:pPr>
      <w:r w:rsidRPr="005271B8">
        <w:t>3.</w:t>
      </w:r>
      <w:r w:rsidRPr="005271B8">
        <w:tab/>
        <w:t xml:space="preserve">konštatuje, že žiadosť sa týka 803 dotknutých prijímateľov, ktorí prišli o prácu v spoločnosti </w:t>
      </w:r>
      <w:r w:rsidRPr="005271B8">
        <w:t>Soliver</w:t>
      </w:r>
      <w:r w:rsidRPr="005271B8">
        <w:t>;</w:t>
      </w:r>
    </w:p>
    <w:p w:rsidR="00D8539A" w:rsidRPr="005271B8" w:rsidP="00D8539A" w14:paraId="5E82FC81" w14:textId="77777777">
      <w:pPr>
        <w:pStyle w:val="NormalHanging12a"/>
      </w:pPr>
      <w:r w:rsidRPr="005271B8">
        <w:t>4.</w:t>
      </w:r>
      <w:r w:rsidRPr="005271B8">
        <w:tab/>
        <w:t xml:space="preserve">berie na vedomie, že spoločnosť </w:t>
      </w:r>
      <w:r w:rsidRPr="005271B8">
        <w:t>Soliver</w:t>
      </w:r>
      <w:r w:rsidRPr="005271B8">
        <w:t xml:space="preserve">, výrobca výrobkov zo skla pre stavebníctvo a automobilový priemysel, sa po nadobudnutí spoločnosťou American </w:t>
      </w:r>
      <w:r w:rsidRPr="005271B8">
        <w:t>Glass</w:t>
      </w:r>
      <w:r w:rsidRPr="005271B8">
        <w:t xml:space="preserve"> </w:t>
      </w:r>
      <w:r w:rsidRPr="005271B8">
        <w:t>Products</w:t>
      </w:r>
      <w:r w:rsidRPr="005271B8">
        <w:t xml:space="preserve"> Holding (AGP) v roku 2018 preorientovala výlučne na technologicky vyspelé sklo pre automobily; konštatuje, že spoločnosť začala mať problémy najmä v súvislosti s poklesom v automobilovom priemysle v dôsledku oneskorenej výroby modelov automobilov, pre ktoré boli jej výrobky určené, čo v konečnom dôsledku viedlo k výraznému zníženiu ziskovosti a vyvrcholilo konkurzom;</w:t>
      </w:r>
    </w:p>
    <w:p w:rsidR="00D8539A" w:rsidRPr="005271B8" w:rsidP="00D8539A" w14:paraId="621DDB38" w14:textId="77777777">
      <w:pPr>
        <w:pStyle w:val="NormalHanging12a"/>
        <w:rPr>
          <w:bCs/>
          <w:iCs/>
        </w:rPr>
      </w:pPr>
      <w:r w:rsidRPr="005271B8">
        <w:t>5.</w:t>
      </w:r>
      <w:r w:rsidRPr="005271B8">
        <w:tab/>
        <w:t>konštatuje, že sklárstvo je energeticky náročné odvetvie, ktoré vážne zasahujú pretrvávajúce vysoké ceny energií, ktoré výrazne oslabili jeho konkurencieschopnosť; zdôrazňuje, že dosiahnutie konkurencieschopných cien energie z dlhodobého hľadiska si vyžaduje podstatné zvýšenie spoľahlivých a cenovo dostupných dodávok energie, a to aj diverzifikáciou zdrojov energie a dodávateľských trás, rozvojom domácej výroby energie a úplným dokončením energetickej únie;</w:t>
      </w:r>
    </w:p>
    <w:p w:rsidR="00D8539A" w:rsidRPr="005271B8" w:rsidP="00D8539A" w14:paraId="2E6FE4F0" w14:textId="77777777">
      <w:pPr>
        <w:pStyle w:val="NormalHanging12a"/>
        <w:rPr>
          <w:bCs/>
          <w:iCs/>
        </w:rPr>
      </w:pPr>
      <w:r w:rsidRPr="005271B8">
        <w:t>6.</w:t>
      </w:r>
      <w:r w:rsidRPr="005271B8">
        <w:tab/>
        <w:t>konštatuje, že technicky kvalifikovaní pracovníci alebo tí, ktorí sú ochotní rekvalifikovať sa, majú najlepšie vyhliadky zamestnať sa, čo je spôsobené nedostatkom odborníkov s technickým zameraním, ktorý vyplýva z nízkej účasti mladých ľudí na odbornej príprave a zo starnutia pracovnej sily; zdôrazňuje, že opätovné uplatnenie prepustených pracovníkov na trhu práce a zabezpečenie rovnakého prístupu k možnostiam kvalitnej odbornej prípravy sú kľúčom k nadčasovému európskemu hospodárstvu so silnou priemyselnou základňou; v tejto súvislosti zdôrazňuje význam posilnenia konkurencieschopnosti priemyslu Únie;</w:t>
      </w:r>
    </w:p>
    <w:p w:rsidR="00D8539A" w:rsidRPr="005271B8" w:rsidP="00D8539A" w14:paraId="15AE8CC1" w14:textId="77777777">
      <w:pPr>
        <w:pStyle w:val="NormalHanging12a"/>
        <w:rPr>
          <w:noProof/>
        </w:rPr>
      </w:pPr>
      <w:r w:rsidRPr="005271B8">
        <w:t>7.</w:t>
      </w:r>
      <w:r w:rsidRPr="005271B8">
        <w:tab/>
        <w:t xml:space="preserve">vyjadruje poľutovanie nad tým, že nárast počtu konkurzov za posledné roky mal negatívny vplyv na mieru zamestnanosti v niektorých oblastiach Belgicka, najmä v regióne Flámsko; zdôrazňuje, že vo Flámsku čelia prepustení starší pracovníci väčším prekážkam pri opätovnom vstupe na trh práce; vyzýva belgické orgány, aby poskytli </w:t>
      </w:r>
      <w:r w:rsidRPr="005271B8">
        <w:t>osobitnú podporu, ktorá bude prispôsobená s cieľom pomôcť pracovníkom pri ďalšom rozvíjaní zručností, ktoré im umožnia nájsť si nové kvalitné pracovné miesta, a zároveň aby prijali opatrenia na zníženie počtu konkurzov a riešenie sociálnych rozdielov, ktoré vedú k vylúčeniu pracovnej sily;</w:t>
      </w:r>
    </w:p>
    <w:p w:rsidR="00D8539A" w:rsidRPr="005271B8" w:rsidP="00D8539A" w14:paraId="645A791D" w14:textId="77777777">
      <w:pPr>
        <w:pStyle w:val="NormalHanging12a"/>
      </w:pPr>
      <w:r w:rsidRPr="005271B8">
        <w:t>8.</w:t>
      </w:r>
      <w:r w:rsidRPr="005271B8">
        <w:tab/>
        <w:t xml:space="preserve">pripomína, že po dohode s odborníkmi a sociálnymi partnermi pozostávajú </w:t>
      </w:r>
      <w:r w:rsidRPr="005271B8">
        <w:t>personalizované</w:t>
      </w:r>
      <w:r w:rsidRPr="005271B8">
        <w:t xml:space="preserve"> služby, ktoré sa majú poskytovať pracovníkom, z týchto opatrení: pracovná skupina skúsených konzultantov a klientskych pracovníkov, ktorí poskytujú </w:t>
      </w:r>
      <w:r w:rsidRPr="005271B8">
        <w:t>personalizované</w:t>
      </w:r>
      <w:r w:rsidRPr="005271B8">
        <w:t xml:space="preserve"> poradenské služby; služby poradenstva pri hľadaní nového zamestnania poskytujúce individuálne usmernenie; pomoc pri hľadaní zamestnania; intenzívna pomoc pri hľadaní zamestnania; odborná príprava a rekvalifikácia vrátane odbornej prípravy na pracovisku; účasť na veľtrhoch práce; zdôrazňuje význam podpory kvalitných pracovných miest orientovaných na budúcnosť, ktoré posilnia konkurencieschopnosť a podporia digitálnu transformáciu;</w:t>
      </w:r>
    </w:p>
    <w:p w:rsidR="00D8539A" w:rsidRPr="005271B8" w:rsidP="00D8539A" w14:paraId="7DE545CB" w14:textId="77777777">
      <w:pPr>
        <w:pStyle w:val="NormalHanging12a"/>
      </w:pPr>
      <w:r w:rsidRPr="005271B8">
        <w:t>9.</w:t>
      </w:r>
      <w:r w:rsidRPr="005271B8">
        <w:tab/>
        <w:t>pripomína, že EGF je nástroj solidarity a spravodlivej transformácie a hoci poskytuje podporu po strate pracovných miest, nemôže nahradiť proaktívnu priemyselnú politiku; domnieva sa, že mobilizácia EGF musí byť súčasťou širšej politickej reakcie na všetkých politických úrovniach, aby sa zabezpečilo, že dotknutí pracovníci nájdu primerané príležitosti zodpovedajúce ich kvalifikácii a zručnostiam; zdôrazňuje, že hlavnou úlohou Únie musí byť v prvom rade predchádzať takémuto zatváraniu podnikov, a to vytvorením podmienok na zachovanie konkurencieschopnosti priemyselnej výroby a finančnej udržateľnosti systémov sociálneho zabezpečenia, a zároveň investovať do zručností vysokokvalifikovaných pracovníkov a pracovníkov v priemysle; zdôrazňuje, že treba poskytnúť osobitnú podporu prispôsobenú profilom pracovníkov a zároveň prijímať opatrenia na zníženie počtu konkurzov a riešenie sociálnych rozdielov, ktoré vedú k vylúčeniu z pracovnej sily; zdôrazňuje, že zníženie zbytočnej regulačnej a administratívnej záťaže je nevyhnutné na podporu konkurencieschopnosti priemyslu, prilákanie investícií a zachovanie kvalitných pracovných miest v Únii;</w:t>
      </w:r>
    </w:p>
    <w:p w:rsidR="00D8539A" w:rsidRPr="005271B8" w:rsidP="00D8539A" w14:paraId="011E46DD" w14:textId="77777777">
      <w:pPr>
        <w:pStyle w:val="NormalHanging12a"/>
        <w:rPr>
          <w:bCs/>
          <w:iCs/>
        </w:rPr>
      </w:pPr>
      <w:r w:rsidRPr="005271B8">
        <w:t>10.</w:t>
      </w:r>
      <w:r w:rsidRPr="005271B8">
        <w:tab/>
        <w:t>zdôrazňuje, že belgické orgány musia zabezpečiť viditeľnosť financovania z prostriedkov Únie a vyzdvihnúť jeho pridanú hodnotu tým, že poskytnú účinné a cielené informácie prijímateľom, regionálnym a miestnym orgánom, sociálnym partnerom a širšej verejnosti;</w:t>
      </w:r>
    </w:p>
    <w:p w:rsidR="00D8539A" w:rsidRPr="005271B8" w:rsidP="00D8539A" w14:paraId="019132CD" w14:textId="77777777">
      <w:pPr>
        <w:pStyle w:val="NormalHanging12a"/>
      </w:pPr>
      <w:r w:rsidRPr="005271B8">
        <w:t>11.</w:t>
      </w:r>
      <w:r w:rsidRPr="005271B8">
        <w:tab/>
        <w:t>vyzýva Komisiu, aby zabezpečila rovnaké zviditeľnenie nástroja vo všetkých členských štátoch a propagovala jeho pridanú hodnotu šírením cielených informácií vnútroštátnym orgánom, ktoré by mali tieto informácie ďalej poskytovať spoločnostiam, ktoré musia prepúšťať, regionálnym a miestnym orgánom, sociálnym partnerom a širšej verejnosti;</w:t>
      </w:r>
    </w:p>
    <w:p w:rsidR="00D8539A" w:rsidRPr="005271B8" w:rsidP="00D8539A" w14:paraId="3A56A3E3" w14:textId="77777777">
      <w:pPr>
        <w:pStyle w:val="NormalHanging12a"/>
        <w:rPr>
          <w:bCs/>
          <w:iCs/>
        </w:rPr>
      </w:pPr>
      <w:r w:rsidRPr="005271B8">
        <w:t>12.</w:t>
      </w:r>
      <w:r w:rsidRPr="005271B8">
        <w:tab/>
        <w:t>požaduje dôkladné záverečné hodnotenia vykonaných opatrení zrealizovaných spolu so sociálnymi partnermi vrátane jasných a transparentných informácií o spôsobe využívania finančných prostriedkov, opätovnom začlenení pracovníkov do trhu práce a o tom, či sa dosiahli ciele EGF; v tejto súvislosti zdôrazňuje význam pravidelného monitorovania opatrení financovaných z EGF s cieľom posúdiť ich účinnosť;</w:t>
      </w:r>
    </w:p>
    <w:p w:rsidR="00D8539A" w:rsidRPr="005271B8" w:rsidP="00D8539A" w14:paraId="28DA1065" w14:textId="77777777">
      <w:pPr>
        <w:pStyle w:val="NormalHanging12a"/>
      </w:pPr>
      <w:r w:rsidRPr="005271B8">
        <w:t>13.</w:t>
      </w:r>
      <w:r w:rsidRPr="005271B8">
        <w:tab/>
        <w:t xml:space="preserve">konštatuje, že Belgicko začalo poskytovať </w:t>
      </w:r>
      <w:r w:rsidRPr="005271B8">
        <w:t>personalizované</w:t>
      </w:r>
      <w:r w:rsidRPr="005271B8">
        <w:t xml:space="preserve"> služby cieľovým prijímateľom a začali mu vznikať administratívne výdavky spojené s vykonávaním EGF 11. júna 2025 a že obdobie oprávnenosti na finančný príspevok z EGF preto potrvá od tohto dátumu do 24, resp. 31 mesiacov odo dňa nadobudnutia účinnosti rozhodnutia o financovaní;</w:t>
      </w:r>
    </w:p>
    <w:p w:rsidR="00D8539A" w:rsidRPr="005271B8" w:rsidP="00D8539A" w14:paraId="50B3C483" w14:textId="77777777">
      <w:pPr>
        <w:pStyle w:val="NormalHanging12a"/>
      </w:pPr>
      <w:r w:rsidRPr="005271B8">
        <w:t>14.</w:t>
      </w:r>
      <w:r w:rsidRPr="005271B8">
        <w:tab/>
        <w:t>konštatuje, že belgické orgány poskytli uistenie, že pri prístupe k navrhovaným opatreniam a pri ich vykonávaní sa budú dodržiavať zásady rovnakého zaobchádzania a nediskriminácie a že sa zabráni akémukoľvek dvojitému financovaniu;</w:t>
      </w:r>
    </w:p>
    <w:p w:rsidR="00D8539A" w:rsidRPr="005271B8" w:rsidP="00D8539A" w14:paraId="1B86BCEB" w14:textId="77777777">
      <w:pPr>
        <w:pStyle w:val="NormalHanging12a"/>
      </w:pPr>
      <w:r w:rsidRPr="005271B8">
        <w:t>15.</w:t>
      </w:r>
      <w:r w:rsidRPr="005271B8">
        <w:tab/>
        <w:t>opakuje, že pomoc z EGF nesmie nahrádzať opatrenia, za ktoré na základe vnútroštátnych právnych predpisov alebo kolektívnych zmlúv zodpovedajú verejné orgány alebo podniky; pripomína, že EGF je obmedzený, cielený a doplnkový mechanizmus;</w:t>
      </w:r>
    </w:p>
    <w:p w:rsidR="00D8539A" w:rsidRPr="005271B8" w:rsidP="00D8539A" w14:paraId="1B0A495B" w14:textId="77777777">
      <w:pPr>
        <w:pStyle w:val="NormalHanging12a"/>
      </w:pPr>
      <w:r w:rsidRPr="005271B8">
        <w:t>16.</w:t>
      </w:r>
      <w:r w:rsidRPr="005271B8">
        <w:tab/>
        <w:t>schvaľuje rozhodnutie, ktoré je uvedené v prílohe k tomuto uzneseniu;</w:t>
      </w:r>
    </w:p>
    <w:p w:rsidR="00D8539A" w:rsidRPr="005271B8" w:rsidP="00D8539A" w14:paraId="74ACF48F" w14:textId="77777777">
      <w:pPr>
        <w:pStyle w:val="NormalHanging12a"/>
      </w:pPr>
      <w:r w:rsidRPr="005271B8">
        <w:t>17.</w:t>
      </w:r>
      <w:r w:rsidRPr="005271B8">
        <w:tab/>
        <w:t xml:space="preserve">poveruje svoju predsedníčku, aby podpísala toto rozhodnutie spoločne s predsedom Rady a aby zabezpečila jeho uverejnenie v </w:t>
      </w:r>
      <w:r w:rsidRPr="005271B8">
        <w:rPr>
          <w:i/>
        </w:rPr>
        <w:t>Úradnom vestníku Európskej únie</w:t>
      </w:r>
      <w:r w:rsidRPr="005271B8">
        <w:t>;</w:t>
      </w:r>
    </w:p>
    <w:p w:rsidR="00D8539A" w:rsidRPr="005271B8" w:rsidP="00D8539A" w14:paraId="2A2EFD40" w14:textId="77777777">
      <w:pPr>
        <w:pStyle w:val="NormalHanging12a"/>
      </w:pPr>
      <w:r w:rsidRPr="005271B8">
        <w:t>18.</w:t>
      </w:r>
      <w:r w:rsidRPr="005271B8">
        <w:tab/>
        <w:t>poveruje svoju predsedníčku, aby postúpila toto uznesenie spolu s prílohou Rade a Komisii.</w:t>
      </w:r>
    </w:p>
    <w:p w:rsidR="00D8539A" w:rsidRPr="005271B8" w:rsidP="00D8539A" w14:paraId="67B637EB" w14:textId="77777777">
      <w:pPr>
        <w:pStyle w:val="NormalHanging12a"/>
      </w:pPr>
    </w:p>
    <w:p w:rsidR="00D8539A" w:rsidRPr="005271B8" w:rsidP="00D8539A" w14:paraId="548C3100" w14:textId="77777777">
      <w:pPr>
        <w:rPr>
          <w:noProof/>
        </w:rPr>
      </w:pPr>
    </w:p>
    <w:p w:rsidR="00D8539A" w:rsidRPr="005271B8" w:rsidP="00D8539A" w14:paraId="2140A5CB" w14:textId="77777777">
      <w:pPr>
        <w:pStyle w:val="PageHeading"/>
        <w:rPr>
          <w:noProof/>
        </w:rPr>
        <w:sectPr w:rsidSect="00CC416E">
          <w:footerReference w:type="even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70AF9" w:rsidP="005271B8" w14:paraId="295F0F29" w14:textId="77777777">
      <w:pPr>
        <w:pStyle w:val="PageHeading"/>
        <w:rPr>
          <w:rFonts w:ascii="Times New Roman" w:hAnsi="Times New Roman" w:cs="Times New Roman"/>
        </w:rPr>
      </w:pPr>
      <w:bookmarkStart w:id="7" w:name="_Toc232149063"/>
      <w:r w:rsidRPr="005271B8">
        <w:rPr>
          <w:rFonts w:ascii="Times New Roman" w:hAnsi="Times New Roman" w:cs="Times New Roman"/>
        </w:rPr>
        <w:t>PRÍLOHA</w:t>
      </w:r>
    </w:p>
    <w:p w:rsidR="00D8539A" w:rsidRPr="005271B8" w:rsidP="005271B8" w14:paraId="48251996" w14:textId="64D70EC9">
      <w:pPr>
        <w:pStyle w:val="PageHeading"/>
        <w:rPr>
          <w:rFonts w:ascii="Times New Roman" w:hAnsi="Times New Roman" w:cs="Times New Roman"/>
        </w:rPr>
      </w:pPr>
      <w:r w:rsidRPr="005271B8">
        <w:rPr>
          <w:rFonts w:ascii="Times New Roman" w:hAnsi="Times New Roman" w:cs="Times New Roman"/>
        </w:rPr>
        <w:t>ROZHODNUTIE EURÓPSKEHO PARLAMENTU A RADY</w:t>
      </w:r>
      <w:bookmarkEnd w:id="7"/>
    </w:p>
    <w:p w:rsidR="00D8539A" w:rsidP="005271B8" w14:paraId="52537C36" w14:textId="77777777">
      <w:pPr>
        <w:pStyle w:val="Titreobjet"/>
        <w:jc w:val="left"/>
      </w:pPr>
      <w:r w:rsidRPr="005271B8">
        <w:t>o mobilizácii Európskeho fondu na prispôsobenie sa globalizácii na pomoc pracovníkom, ktorí prišli o zamestnanie, na základe žiadosti Belgicka – EGF/2025/009 BE/</w:t>
      </w:r>
      <w:r w:rsidRPr="005271B8">
        <w:t>Soliver</w:t>
      </w:r>
    </w:p>
    <w:p w:rsidR="00F70AF9" w:rsidP="00F70AF9" w14:paraId="13B2795B" w14:textId="77777777">
      <w:pPr>
        <w:rPr>
          <w:lang w:eastAsia="en-US"/>
        </w:rPr>
      </w:pPr>
    </w:p>
    <w:p w:rsidR="00F70AF9" w:rsidP="00F70AF9" w14:paraId="601D1F39" w14:textId="77777777">
      <w:pPr>
        <w:rPr>
          <w:lang w:eastAsia="en-US"/>
        </w:rPr>
      </w:pPr>
    </w:p>
    <w:p w:rsidR="00F70AF9" w:rsidRPr="00731EF8" w:rsidP="00F70AF9" w14:paraId="226F6D0E" w14:textId="6B59188C">
      <w:pPr>
        <w:rPr>
          <w:i/>
          <w:iCs/>
        </w:rPr>
      </w:pPr>
      <w:bookmarkStart w:id="8" w:name="_Hlk211955531"/>
      <w:r w:rsidRPr="00731EF8">
        <w:rPr>
          <w:bCs/>
          <w:i/>
          <w:iCs/>
        </w:rPr>
        <w:t xml:space="preserve">(Znenie tejto </w:t>
      </w:r>
      <w:r w:rsidRPr="00F70AF9">
        <w:rPr>
          <w:bCs/>
          <w:i/>
          <w:iCs/>
        </w:rPr>
        <w:t>prílohy sa neuvádza, pretože zodpovedá konečnému aktu, rozhodnutiu (EÚ) 2026/1</w:t>
      </w:r>
      <w:r>
        <w:rPr>
          <w:bCs/>
          <w:i/>
          <w:iCs/>
        </w:rPr>
        <w:t>543</w:t>
      </w:r>
      <w:r w:rsidRPr="00F70AF9">
        <w:rPr>
          <w:bCs/>
          <w:i/>
          <w:iCs/>
        </w:rPr>
        <w:t>.)</w:t>
      </w:r>
    </w:p>
    <w:bookmarkEnd w:id="8"/>
    <w:p w:rsidR="00F70AF9" w:rsidP="00F70AF9" w14:paraId="7661D684" w14:textId="77777777">
      <w:pPr>
        <w:rPr>
          <w:lang w:eastAsia="en-US"/>
        </w:rPr>
      </w:pPr>
    </w:p>
    <w:sectPr w:rsidSect="00CC41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539A" w:rsidRPr="00CC416E" w:rsidP="000126B8" w14:paraId="02207DB6" w14:textId="77777777">
    <w:pPr>
      <w:pStyle w:val="EPFooter"/>
    </w:pPr>
    <w:r w:rsidRPr="00CC416E">
      <w:t>PE</w:t>
    </w:r>
    <w:r w:rsidRPr="00CC416E">
      <w:rPr>
        <w:rStyle w:val="HideTWBExt"/>
      </w:rPr>
      <w:t>&lt;NoPE&gt;</w:t>
    </w:r>
    <w:r w:rsidRPr="00CC416E">
      <w:t>787.923</w:t>
    </w:r>
    <w:r w:rsidRPr="00CC416E">
      <w:rPr>
        <w:rStyle w:val="HideTWBExt"/>
      </w:rPr>
      <w:t>&lt;/NoPE&gt;&lt;Version&gt;</w:t>
    </w:r>
    <w:r w:rsidRPr="00CC416E">
      <w:t>v02-00</w:t>
    </w:r>
    <w:r w:rsidRPr="00CC416E">
      <w:rPr>
        <w:rStyle w:val="HideTWBExt"/>
      </w:rPr>
      <w:t>&lt;/Version&gt;</w:t>
    </w:r>
    <w:r w:rsidRPr="00CC416E">
      <w:tab/>
    </w:r>
    <w:r w:rsidRPr="00CC416E">
      <w:fldChar w:fldCharType="begin"/>
    </w:r>
    <w:r w:rsidRPr="00CC416E">
      <w:instrText xml:space="preserve"> PAGE  \* MERGEFORMAT </w:instrText>
    </w:r>
    <w:r w:rsidRPr="00CC416E">
      <w:fldChar w:fldCharType="separate"/>
    </w:r>
    <w:r w:rsidRPr="00CC416E">
      <w:rPr>
        <w:noProof/>
      </w:rPr>
      <w:t>4</w:t>
    </w:r>
    <w:r w:rsidRPr="00CC416E">
      <w:fldChar w:fldCharType="end"/>
    </w:r>
    <w:r w:rsidRPr="00CC416E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CC416E">
      <w:rPr>
        <w:noProof/>
      </w:rPr>
      <w:t>19</w:t>
    </w:r>
    <w:r w:rsidRPr="00CC416E">
      <w:rPr>
        <w:noProof/>
      </w:rPr>
      <w:fldChar w:fldCharType="end"/>
    </w:r>
    <w:r w:rsidRPr="00CC416E">
      <w:tab/>
    </w:r>
    <w:r w:rsidRPr="00CC416E">
      <w:rPr>
        <w:rStyle w:val="HideTWBExt"/>
      </w:rPr>
      <w:t>&lt;PathFdR&gt;</w:t>
    </w:r>
    <w:r w:rsidRPr="00CC416E">
      <w:t>RR\1345097SK.docx</w:t>
    </w:r>
    <w:r w:rsidRPr="00CC416E">
      <w:rPr>
        <w:rStyle w:val="HideTWBExt"/>
      </w:rPr>
      <w:t>&lt;/PathFdR&gt;</w:t>
    </w:r>
  </w:p>
  <w:p w:rsidR="00D8539A" w:rsidRPr="00CC416E" w:rsidP="000126B8" w14:paraId="338367B0" w14:textId="77777777">
    <w:pPr>
      <w:pStyle w:val="EPFooter2"/>
    </w:pPr>
    <w:r w:rsidRPr="00CC416E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539A" w:rsidRPr="00CC416E" w:rsidP="000126B8" w14:paraId="05F336CC" w14:textId="77777777">
    <w:pPr>
      <w:pStyle w:val="EPFooter"/>
    </w:pPr>
    <w:r w:rsidRPr="00CC416E">
      <w:rPr>
        <w:rStyle w:val="HideTWBExt"/>
      </w:rPr>
      <w:t>&lt;PathFdR&gt;</w:t>
    </w:r>
    <w:r w:rsidRPr="00CC416E">
      <w:t>RR\1345097SK.docx</w:t>
    </w:r>
    <w:r w:rsidRPr="00CC416E">
      <w:rPr>
        <w:rStyle w:val="HideTWBExt"/>
      </w:rPr>
      <w:t>&lt;/PathFdR&gt;</w:t>
    </w:r>
    <w:r w:rsidRPr="00CC416E">
      <w:tab/>
    </w:r>
    <w:r w:rsidRPr="00CC416E">
      <w:tab/>
      <w:t>PE</w:t>
    </w:r>
    <w:r w:rsidRPr="00CC416E">
      <w:rPr>
        <w:rStyle w:val="HideTWBExt"/>
      </w:rPr>
      <w:t>&lt;NoPE&gt;</w:t>
    </w:r>
    <w:r w:rsidRPr="00CC416E">
      <w:t>787.923</w:t>
    </w:r>
    <w:r w:rsidRPr="00CC416E">
      <w:rPr>
        <w:rStyle w:val="HideTWBExt"/>
      </w:rPr>
      <w:t>&lt;/NoPE&gt;&lt;Version&gt;</w:t>
    </w:r>
    <w:r w:rsidRPr="00CC416E">
      <w:t>v02-00</w:t>
    </w:r>
    <w:r w:rsidRPr="00CC416E">
      <w:rPr>
        <w:rStyle w:val="HideTWBExt"/>
      </w:rPr>
      <w:t>&lt;/Version&gt;</w:t>
    </w:r>
  </w:p>
  <w:p w:rsidR="00D8539A" w:rsidRPr="00CC416E" w:rsidP="000126B8" w14:paraId="5E89E994" w14:textId="77777777">
    <w:pPr>
      <w:pStyle w:val="EPFooter2"/>
    </w:pPr>
    <w:r w:rsidRPr="00CC416E">
      <w:t>SK</w:t>
    </w:r>
    <w:r w:rsidRPr="00CC416E">
      <w:tab/>
    </w:r>
    <w:r w:rsidRPr="00CC416E">
      <w:rPr>
        <w:b w:val="0"/>
        <w:i/>
        <w:color w:val="C0C0C0"/>
        <w:sz w:val="22"/>
      </w:rPr>
      <w:t>Zjednotení v rozmanitosti</w:t>
    </w:r>
    <w:r w:rsidRPr="00CC416E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416E" w14:paraId="0943D803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416E" w14:paraId="672D33A4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416E" w14:paraId="038AA04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456D7" w:rsidRPr="00CC416E" w14:paraId="6CEE341A" w14:textId="77777777">
      <w:r w:rsidRPr="00CC416E">
        <w:separator/>
      </w:r>
    </w:p>
  </w:footnote>
  <w:footnote w:type="continuationSeparator" w:id="1">
    <w:p w:rsidR="00C456D7" w:rsidRPr="00CC416E" w14:paraId="1DCF23CD" w14:textId="77777777">
      <w:r w:rsidRPr="00CC416E">
        <w:continuationSeparator/>
      </w:r>
    </w:p>
  </w:footnote>
  <w:footnote w:id="2">
    <w:p w:rsidR="00D8539A" w:rsidRPr="00CC416E" w:rsidP="00CC416E" w14:paraId="0D578367" w14:textId="4E7D13CE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lang w:val="sk-SK"/>
        </w:rPr>
        <w:t xml:space="preserve"> </w:t>
      </w:r>
      <w:r w:rsidRPr="00CC416E" w:rsidR="00CC416E">
        <w:rPr>
          <w:sz w:val="24"/>
          <w:lang w:val="sk-SK"/>
        </w:rPr>
        <w:tab/>
      </w:r>
      <w:r w:rsidRPr="00CC416E">
        <w:rPr>
          <w:sz w:val="24"/>
          <w:lang w:val="sk-SK"/>
        </w:rPr>
        <w:t xml:space="preserve">Ú. v. EÚ L 153, 3.5.2021, s. 48, ELI: </w:t>
      </w:r>
      <w:hyperlink r:id="rId1" w:history="1">
        <w:r w:rsidRPr="00CC416E">
          <w:rPr>
            <w:rStyle w:val="Hyperlink"/>
            <w:sz w:val="24"/>
            <w:lang w:val="sk-SK"/>
          </w:rPr>
          <w:t>http://data.europa.eu/eli/reg/2021/691/oj</w:t>
        </w:r>
      </w:hyperlink>
      <w:r w:rsidRPr="00CC416E">
        <w:rPr>
          <w:sz w:val="24"/>
          <w:lang w:val="sk-SK"/>
        </w:rPr>
        <w:t>.</w:t>
      </w:r>
    </w:p>
  </w:footnote>
  <w:footnote w:id="3">
    <w:p w:rsidR="00D8539A" w:rsidRPr="00CC416E" w:rsidP="00CC416E" w14:paraId="7158B518" w14:textId="1B45E504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lang w:val="sk-SK"/>
        </w:rPr>
        <w:t xml:space="preserve"> </w:t>
      </w:r>
      <w:r w:rsidRPr="00CC416E" w:rsidR="00CC416E">
        <w:rPr>
          <w:sz w:val="24"/>
          <w:lang w:val="sk-SK"/>
        </w:rPr>
        <w:tab/>
      </w:r>
      <w:r w:rsidRPr="00CC416E">
        <w:rPr>
          <w:sz w:val="24"/>
          <w:lang w:val="sk-SK"/>
        </w:rPr>
        <w:t xml:space="preserve">Ú. v. </w:t>
      </w:r>
      <w:r w:rsidRPr="00CC416E">
        <w:rPr>
          <w:sz w:val="24"/>
          <w:lang w:val="sk-SK"/>
        </w:rPr>
        <w:t>EÚ L, 2026/1139, 20.5.2026, ELI: </w:t>
      </w:r>
      <w:hyperlink r:id="rId2" w:tgtFrame="_blank" w:tooltip="Umožňuje prístup k tomuto dokumentu prostredníctvom identifikátora URI používaného v rámci ELI." w:history="1">
        <w:r w:rsidRPr="00CC416E">
          <w:rPr>
            <w:rStyle w:val="Hyperlink"/>
            <w:color w:val="0070C0"/>
            <w:sz w:val="24"/>
            <w:lang w:val="sk-SK"/>
          </w:rPr>
          <w:t>http://data.europa.eu/eli/reg/2026/1139/oj</w:t>
        </w:r>
      </w:hyperlink>
      <w:r w:rsidRPr="00CC416E">
        <w:rPr>
          <w:color w:val="0070C0"/>
          <w:sz w:val="24"/>
          <w:lang w:val="sk-SK"/>
        </w:rPr>
        <w:t>.</w:t>
      </w:r>
    </w:p>
  </w:footnote>
  <w:footnote w:id="4">
    <w:p w:rsidR="00D8539A" w:rsidRPr="00CC416E" w:rsidP="00CC416E" w14:paraId="73286023" w14:textId="469B0C81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lang w:val="sk-SK"/>
        </w:rPr>
        <w:t xml:space="preserve"> </w:t>
      </w:r>
      <w:r w:rsidRPr="00CC416E" w:rsidR="00CC416E">
        <w:rPr>
          <w:sz w:val="24"/>
          <w:lang w:val="sk-SK"/>
        </w:rPr>
        <w:tab/>
      </w:r>
      <w:r w:rsidRPr="00CC416E">
        <w:rPr>
          <w:sz w:val="24"/>
          <w:lang w:val="sk-SK"/>
        </w:rPr>
        <w:t xml:space="preserve">Ú. v. EÚ L 433 I, 22.12.2020, s. 11, ELI: </w:t>
      </w:r>
      <w:hyperlink r:id="rId3" w:history="1">
        <w:r w:rsidRPr="00CC416E">
          <w:rPr>
            <w:rStyle w:val="Hyperlink"/>
            <w:sz w:val="24"/>
            <w:lang w:val="sk-SK"/>
          </w:rPr>
          <w:t>http://data.europa.eu/eli/reg/2020/2093/oj</w:t>
        </w:r>
      </w:hyperlink>
      <w:r w:rsidRPr="00CC416E">
        <w:rPr>
          <w:sz w:val="24"/>
          <w:lang w:val="sk-SK"/>
        </w:rPr>
        <w:t>.</w:t>
      </w:r>
    </w:p>
  </w:footnote>
  <w:footnote w:id="5">
    <w:p w:rsidR="00D8539A" w:rsidRPr="00CC416E" w:rsidP="00CC416E" w14:paraId="6EFD19D2" w14:textId="18E8C5B2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shd w:val="clear" w:color="auto" w:fill="FFFFFF"/>
          <w:lang w:val="sk-SK"/>
        </w:rPr>
        <w:t xml:space="preserve"> </w:t>
      </w:r>
      <w:r w:rsidRPr="00CC416E" w:rsidR="00CC416E">
        <w:rPr>
          <w:sz w:val="24"/>
          <w:shd w:val="clear" w:color="auto" w:fill="FFFFFF"/>
          <w:lang w:val="sk-SK"/>
        </w:rPr>
        <w:tab/>
      </w:r>
      <w:r w:rsidRPr="00CC416E">
        <w:rPr>
          <w:sz w:val="24"/>
          <w:shd w:val="clear" w:color="auto" w:fill="FFFFFF"/>
          <w:lang w:val="sk-SK"/>
        </w:rPr>
        <w:t xml:space="preserve">Nariadenie Rady (EÚ, </w:t>
      </w:r>
      <w:r w:rsidRPr="00CC416E">
        <w:rPr>
          <w:sz w:val="24"/>
          <w:shd w:val="clear" w:color="auto" w:fill="FFFFFF"/>
          <w:lang w:val="sk-SK"/>
        </w:rPr>
        <w:t>Euratom</w:t>
      </w:r>
      <w:r w:rsidRPr="00CC416E">
        <w:rPr>
          <w:sz w:val="24"/>
          <w:shd w:val="clear" w:color="auto" w:fill="FFFFFF"/>
          <w:lang w:val="sk-SK"/>
        </w:rPr>
        <w:t xml:space="preserve">) 2024/765 z 29. februára 2024, ktorým sa mení nariadenie (EÚ, </w:t>
      </w:r>
      <w:r w:rsidRPr="00CC416E">
        <w:rPr>
          <w:sz w:val="24"/>
          <w:shd w:val="clear" w:color="auto" w:fill="FFFFFF"/>
          <w:lang w:val="sk-SK"/>
        </w:rPr>
        <w:t>Euratom</w:t>
      </w:r>
      <w:r w:rsidRPr="00CC416E">
        <w:rPr>
          <w:sz w:val="24"/>
          <w:shd w:val="clear" w:color="auto" w:fill="FFFFFF"/>
          <w:lang w:val="sk-SK"/>
        </w:rPr>
        <w:t>) 2020/2093, ktorým sa stanovuje viacročný finančný rámec na roky 2021 až 2027 (Ú. v. EÚ L, 2024/765, 29.2.2024, ELI:</w:t>
      </w:r>
      <w:r w:rsidRPr="00CC416E">
        <w:rPr>
          <w:color w:val="333333"/>
          <w:sz w:val="24"/>
          <w:shd w:val="clear" w:color="auto" w:fill="FFFFFF"/>
          <w:lang w:val="sk-SK"/>
        </w:rPr>
        <w:t xml:space="preserve"> </w:t>
      </w:r>
      <w:hyperlink r:id="rId4" w:history="1">
        <w:r w:rsidRPr="00CC416E">
          <w:rPr>
            <w:rStyle w:val="Hyperlink"/>
            <w:sz w:val="24"/>
            <w:shd w:val="clear" w:color="auto" w:fill="FFFFFF"/>
            <w:lang w:val="sk-SK"/>
          </w:rPr>
          <w:t>http://data.europa.eu/eli/reg/2024/765/oj</w:t>
        </w:r>
      </w:hyperlink>
      <w:r w:rsidRPr="00CC416E">
        <w:rPr>
          <w:i/>
          <w:color w:val="333333"/>
          <w:sz w:val="24"/>
          <w:shd w:val="clear" w:color="auto" w:fill="FFFFFF"/>
          <w:lang w:val="sk-SK"/>
        </w:rPr>
        <w:t>).</w:t>
      </w:r>
    </w:p>
  </w:footnote>
  <w:footnote w:id="6">
    <w:p w:rsidR="00D8539A" w:rsidRPr="00CC416E" w:rsidP="00CC416E" w14:paraId="7ED477E9" w14:textId="263E6800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lang w:val="sk-SK"/>
        </w:rPr>
        <w:t xml:space="preserve"> </w:t>
      </w:r>
      <w:r w:rsidRPr="00CC416E" w:rsidR="00CC416E">
        <w:rPr>
          <w:sz w:val="24"/>
          <w:lang w:val="sk-SK"/>
        </w:rPr>
        <w:tab/>
      </w:r>
      <w:r w:rsidRPr="00CC416E">
        <w:rPr>
          <w:sz w:val="24"/>
          <w:lang w:val="sk-SK"/>
        </w:rPr>
        <w:t>Ú. v. EÚ L 433</w:t>
      </w:r>
      <w:r w:rsidR="0090574B">
        <w:rPr>
          <w:sz w:val="24"/>
          <w:lang w:val="sk-SK"/>
        </w:rPr>
        <w:t xml:space="preserve"> </w:t>
      </w:r>
      <w:r w:rsidRPr="00CC416E">
        <w:rPr>
          <w:sz w:val="24"/>
          <w:lang w:val="sk-SK"/>
        </w:rPr>
        <w:t xml:space="preserve">I, 22.12.2020, s. 28, ELI: </w:t>
      </w:r>
      <w:hyperlink r:id="rId5" w:history="1">
        <w:r w:rsidRPr="00CC416E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CC416E">
        <w:rPr>
          <w:sz w:val="24"/>
          <w:lang w:val="sk-SK"/>
        </w:rPr>
        <w:t>.</w:t>
      </w:r>
    </w:p>
  </w:footnote>
  <w:footnote w:id="7">
    <w:p w:rsidR="00D8539A" w:rsidRPr="00CC416E" w:rsidP="00CC416E" w14:paraId="380911C4" w14:textId="48747350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lang w:val="sk-SK"/>
        </w:rPr>
        <w:t xml:space="preserve"> </w:t>
      </w:r>
      <w:r w:rsidRPr="00CC416E" w:rsidR="00CC416E">
        <w:rPr>
          <w:sz w:val="24"/>
          <w:lang w:val="sk-SK"/>
        </w:rPr>
        <w:tab/>
      </w:r>
      <w:r w:rsidRPr="00CC416E">
        <w:rPr>
          <w:sz w:val="24"/>
          <w:lang w:val="sk-SK"/>
        </w:rPr>
        <w:t>V zmysle článku 3 nariadenia o EGF.</w:t>
      </w:r>
    </w:p>
  </w:footnote>
  <w:footnote w:id="8">
    <w:p w:rsidR="00D8539A" w:rsidRPr="00CC416E" w:rsidP="00CC416E" w14:paraId="4EFB6A3D" w14:textId="4C1D9ACA">
      <w:pPr>
        <w:pStyle w:val="FootnoteText"/>
        <w:ind w:left="567" w:hanging="567"/>
        <w:rPr>
          <w:sz w:val="24"/>
          <w:lang w:val="sk-SK"/>
        </w:rPr>
      </w:pPr>
      <w:r w:rsidRPr="00CC416E">
        <w:rPr>
          <w:rStyle w:val="FootnoteReference"/>
          <w:sz w:val="24"/>
          <w:lang w:val="sk-SK"/>
        </w:rPr>
        <w:footnoteRef/>
      </w:r>
      <w:r w:rsidRPr="00CC416E" w:rsidR="00CC416E">
        <w:rPr>
          <w:sz w:val="24"/>
          <w:lang w:val="sk-SK"/>
        </w:rPr>
        <w:t xml:space="preserve"> </w:t>
      </w:r>
      <w:r w:rsidRPr="00CC416E" w:rsidR="00CC416E">
        <w:rPr>
          <w:sz w:val="24"/>
          <w:lang w:val="sk-SK"/>
        </w:rPr>
        <w:tab/>
      </w:r>
      <w:r w:rsidRPr="00CC416E">
        <w:rPr>
          <w:sz w:val="24"/>
          <w:lang w:val="sk-SK"/>
        </w:rPr>
        <w:t>Článok 8 nariadenia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416E" w14:paraId="4BC4FAC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416E" w14:paraId="48B4FB0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C416E" w14:paraId="74637A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9210439">
    <w:abstractNumId w:val="9"/>
  </w:num>
  <w:num w:numId="2" w16cid:durableId="738164278">
    <w:abstractNumId w:val="9"/>
  </w:num>
  <w:num w:numId="3" w16cid:durableId="1165314934">
    <w:abstractNumId w:val="7"/>
  </w:num>
  <w:num w:numId="4" w16cid:durableId="416560099">
    <w:abstractNumId w:val="7"/>
  </w:num>
  <w:num w:numId="5" w16cid:durableId="925648814">
    <w:abstractNumId w:val="6"/>
  </w:num>
  <w:num w:numId="6" w16cid:durableId="1367295750">
    <w:abstractNumId w:val="6"/>
  </w:num>
  <w:num w:numId="7" w16cid:durableId="902059592">
    <w:abstractNumId w:val="5"/>
  </w:num>
  <w:num w:numId="8" w16cid:durableId="475531039">
    <w:abstractNumId w:val="5"/>
  </w:num>
  <w:num w:numId="9" w16cid:durableId="2113014501">
    <w:abstractNumId w:val="4"/>
  </w:num>
  <w:num w:numId="10" w16cid:durableId="1536699421">
    <w:abstractNumId w:val="4"/>
  </w:num>
  <w:num w:numId="11" w16cid:durableId="950284482">
    <w:abstractNumId w:val="8"/>
  </w:num>
  <w:num w:numId="12" w16cid:durableId="1378048537">
    <w:abstractNumId w:val="8"/>
  </w:num>
  <w:num w:numId="13" w16cid:durableId="1796830946">
    <w:abstractNumId w:val="3"/>
  </w:num>
  <w:num w:numId="14" w16cid:durableId="743719565">
    <w:abstractNumId w:val="3"/>
  </w:num>
  <w:num w:numId="15" w16cid:durableId="1340278956">
    <w:abstractNumId w:val="2"/>
  </w:num>
  <w:num w:numId="16" w16cid:durableId="1210143702">
    <w:abstractNumId w:val="2"/>
  </w:num>
  <w:num w:numId="17" w16cid:durableId="841623130">
    <w:abstractNumId w:val="1"/>
  </w:num>
  <w:num w:numId="18" w16cid:durableId="529495377">
    <w:abstractNumId w:val="1"/>
  </w:num>
  <w:num w:numId="19" w16cid:durableId="1342664887">
    <w:abstractNumId w:val="0"/>
  </w:num>
  <w:num w:numId="20" w16cid:durableId="1626233897">
    <w:abstractNumId w:val="0"/>
  </w:num>
  <w:num w:numId="21" w16cid:durableId="819808412">
    <w:abstractNumId w:val="9"/>
  </w:num>
  <w:num w:numId="22" w16cid:durableId="1890415520">
    <w:abstractNumId w:val="7"/>
  </w:num>
  <w:num w:numId="23" w16cid:durableId="1824546753">
    <w:abstractNumId w:val="6"/>
  </w:num>
  <w:num w:numId="24" w16cid:durableId="1761872795">
    <w:abstractNumId w:val="5"/>
  </w:num>
  <w:num w:numId="25" w16cid:durableId="1950627902">
    <w:abstractNumId w:val="4"/>
  </w:num>
  <w:num w:numId="26" w16cid:durableId="1697274365">
    <w:abstractNumId w:val="8"/>
  </w:num>
  <w:num w:numId="27" w16cid:durableId="486627266">
    <w:abstractNumId w:val="3"/>
  </w:num>
  <w:num w:numId="28" w16cid:durableId="65542319">
    <w:abstractNumId w:val="2"/>
  </w:num>
  <w:num w:numId="29" w16cid:durableId="890459171">
    <w:abstractNumId w:val="1"/>
  </w:num>
  <w:num w:numId="30" w16cid:durableId="953560808">
    <w:abstractNumId w:val="0"/>
  </w:num>
  <w:num w:numId="31" w16cid:durableId="944192960">
    <w:abstractNumId w:val="9"/>
  </w:num>
  <w:num w:numId="32" w16cid:durableId="104615577">
    <w:abstractNumId w:val="7"/>
  </w:num>
  <w:num w:numId="33" w16cid:durableId="105124559">
    <w:abstractNumId w:val="6"/>
  </w:num>
  <w:num w:numId="34" w16cid:durableId="2104833987">
    <w:abstractNumId w:val="5"/>
  </w:num>
  <w:num w:numId="35" w16cid:durableId="738749526">
    <w:abstractNumId w:val="4"/>
  </w:num>
  <w:num w:numId="36" w16cid:durableId="580261213">
    <w:abstractNumId w:val="8"/>
  </w:num>
  <w:num w:numId="37" w16cid:durableId="1450540775">
    <w:abstractNumId w:val="3"/>
  </w:num>
  <w:num w:numId="38" w16cid:durableId="1463646853">
    <w:abstractNumId w:val="2"/>
  </w:num>
  <w:num w:numId="39" w16cid:durableId="321127019">
    <w:abstractNumId w:val="1"/>
  </w:num>
  <w:num w:numId="40" w16cid:durableId="1805924092">
    <w:abstractNumId w:val="0"/>
  </w:num>
  <w:num w:numId="41" w16cid:durableId="245504912">
    <w:abstractNumId w:val="10"/>
  </w:num>
  <w:num w:numId="42" w16cid:durableId="1594362645">
    <w:abstractNumId w:val="10"/>
  </w:num>
  <w:num w:numId="43" w16cid:durableId="1781753364">
    <w:abstractNumId w:val="10"/>
  </w:num>
  <w:num w:numId="44" w16cid:durableId="821657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D7"/>
    <w:rsid w:val="00002272"/>
    <w:rsid w:val="000126B8"/>
    <w:rsid w:val="00063557"/>
    <w:rsid w:val="00064002"/>
    <w:rsid w:val="000677B9"/>
    <w:rsid w:val="000831BA"/>
    <w:rsid w:val="000A1CA1"/>
    <w:rsid w:val="000A42CC"/>
    <w:rsid w:val="000E7DD9"/>
    <w:rsid w:val="0010095E"/>
    <w:rsid w:val="00116F4F"/>
    <w:rsid w:val="00125B37"/>
    <w:rsid w:val="00187494"/>
    <w:rsid w:val="001A156D"/>
    <w:rsid w:val="001F32AE"/>
    <w:rsid w:val="002765D9"/>
    <w:rsid w:val="002767FF"/>
    <w:rsid w:val="002B18FE"/>
    <w:rsid w:val="002B1C8E"/>
    <w:rsid w:val="002B5493"/>
    <w:rsid w:val="00343214"/>
    <w:rsid w:val="00361C00"/>
    <w:rsid w:val="00395FA1"/>
    <w:rsid w:val="003A5D69"/>
    <w:rsid w:val="003E15D4"/>
    <w:rsid w:val="00411CCE"/>
    <w:rsid w:val="0041666E"/>
    <w:rsid w:val="00421060"/>
    <w:rsid w:val="004349D4"/>
    <w:rsid w:val="00471C19"/>
    <w:rsid w:val="004867E3"/>
    <w:rsid w:val="00494A28"/>
    <w:rsid w:val="004C0004"/>
    <w:rsid w:val="004C5D52"/>
    <w:rsid w:val="0050519A"/>
    <w:rsid w:val="005072A1"/>
    <w:rsid w:val="00514517"/>
    <w:rsid w:val="005271B8"/>
    <w:rsid w:val="00545827"/>
    <w:rsid w:val="00560270"/>
    <w:rsid w:val="005C2568"/>
    <w:rsid w:val="005F1B17"/>
    <w:rsid w:val="006037C0"/>
    <w:rsid w:val="006631B6"/>
    <w:rsid w:val="00680577"/>
    <w:rsid w:val="006F74FA"/>
    <w:rsid w:val="00716CFF"/>
    <w:rsid w:val="00731ADD"/>
    <w:rsid w:val="00731EF8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407"/>
    <w:rsid w:val="00865F67"/>
    <w:rsid w:val="00881A7B"/>
    <w:rsid w:val="008840E5"/>
    <w:rsid w:val="00887B3E"/>
    <w:rsid w:val="008C2AC6"/>
    <w:rsid w:val="0090574B"/>
    <w:rsid w:val="00930C23"/>
    <w:rsid w:val="0093193B"/>
    <w:rsid w:val="009509D8"/>
    <w:rsid w:val="00950B64"/>
    <w:rsid w:val="00981893"/>
    <w:rsid w:val="009B2273"/>
    <w:rsid w:val="00A1687D"/>
    <w:rsid w:val="00A43E52"/>
    <w:rsid w:val="00A4678D"/>
    <w:rsid w:val="00A778C7"/>
    <w:rsid w:val="00AB441E"/>
    <w:rsid w:val="00AB6293"/>
    <w:rsid w:val="00AE0928"/>
    <w:rsid w:val="00AE12E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6D7"/>
    <w:rsid w:val="00C61C0C"/>
    <w:rsid w:val="00C8550A"/>
    <w:rsid w:val="00C941CB"/>
    <w:rsid w:val="00CC2357"/>
    <w:rsid w:val="00CC416E"/>
    <w:rsid w:val="00CF071A"/>
    <w:rsid w:val="00D046BB"/>
    <w:rsid w:val="00D058B8"/>
    <w:rsid w:val="00D56C11"/>
    <w:rsid w:val="00D834A0"/>
    <w:rsid w:val="00D8539A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DD7"/>
    <w:rsid w:val="00F5134D"/>
    <w:rsid w:val="00F70AF9"/>
    <w:rsid w:val="00F74202"/>
    <w:rsid w:val="00F87713"/>
    <w:rsid w:val="00FB4360"/>
    <w:rsid w:val="00FD0C70"/>
  </w:rsids>
  <w:docVars>
    <w:docVar w:name="dvdocse" w:val="A10-0149/2026"/>
    <w:docVar w:name="dvlangue" w:val="SK"/>
    <w:docVar w:name="dvnumam" w:val="0"/>
    <w:docVar w:name="dvpe" w:val="787.923"/>
    <w:docVar w:name="dvrapporteur" w:val="Spravodajca: "/>
    <w:docVar w:name="dvtitre" w:val="Uznesenie Európskeho parlamentu z/zo xx. xxx 2026 o návrhu rozhodnutia Európskeho parlamentu a Rady o mobilizácii Európskeho fondu na prispôsobenie sa globalizácii na pomoc pracovníkom, ktorí prišli o zamestnanie, na základe žiadosti Belgicka – EGF/2025/009 BE/Soliver(COM(2026)0050 – C10-0111/2026 – 2026/0097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EBD2A0B"/>
  <w15:chartTrackingRefBased/>
  <w15:docId w15:val="{4A663640-87DF-4B41-AB86-BDEDEF4B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853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D853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D8539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853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539A"/>
    <w:rPr>
      <w:sz w:val="24"/>
      <w:lang w:val="sk-SK"/>
    </w:rPr>
  </w:style>
  <w:style w:type="paragraph" w:customStyle="1" w:styleId="EPFooter">
    <w:name w:val="EPFooter"/>
    <w:basedOn w:val="Normal"/>
    <w:rsid w:val="00D853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8539A"/>
    <w:pPr>
      <w:spacing w:before="480" w:after="240"/>
    </w:pPr>
  </w:style>
  <w:style w:type="character" w:styleId="Hyperlink">
    <w:name w:val="Hyperlink"/>
    <w:basedOn w:val="DefaultParagraphFont"/>
    <w:uiPriority w:val="99"/>
    <w:rsid w:val="00D8539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8539A"/>
    <w:rPr>
      <w:sz w:val="24"/>
      <w:lang w:val="sk-SK"/>
    </w:rPr>
  </w:style>
  <w:style w:type="paragraph" w:customStyle="1" w:styleId="Titreobjet">
    <w:name w:val="Titre objet"/>
    <w:basedOn w:val="Normal"/>
    <w:next w:val="Normal"/>
    <w:rsid w:val="00D8539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8539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8539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D8539A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9B22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2273"/>
    <w:rPr>
      <w:sz w:val="24"/>
      <w:lang w:val="sk-SK"/>
    </w:rPr>
  </w:style>
  <w:style w:type="paragraph" w:styleId="Revision">
    <w:name w:val="Revision"/>
    <w:hidden/>
    <w:uiPriority w:val="99"/>
    <w:semiHidden/>
    <w:rsid w:val="00116F4F"/>
    <w:rPr>
      <w:sz w:val="24"/>
      <w:lang w:val="sk-SK"/>
    </w:rPr>
  </w:style>
  <w:style w:type="character" w:styleId="CommentReference">
    <w:name w:val="annotation reference"/>
    <w:basedOn w:val="DefaultParagraphFont"/>
    <w:rsid w:val="00716C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6C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6CFF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716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6CFF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3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6/1139/oj" TargetMode="External" /><Relationship Id="rId3" Type="http://schemas.openxmlformats.org/officeDocument/2006/relationships/hyperlink" Target="http://data.europa.eu/eli/reg/2020/2093/oj" TargetMode="External" /><Relationship Id="rId4" Type="http://schemas.openxmlformats.org/officeDocument/2006/relationships/hyperlink" Target="http://data.europa.eu/eli/reg/2024/765/oj" TargetMode="External" /><Relationship Id="rId5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1607</Words>
  <Characters>10409</Characters>
  <Application>Microsoft Office Word</Application>
  <DocSecurity>0</DocSecurity>
  <Lines>86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2026-08-31T13:43:00Z</dcterms:created>
  <dcterms:modified xsi:type="dcterms:W3CDTF">2026-08-31T13:43:00Z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P10_TA(2026)0201_</vt:lpwstr>
  </property>
  <property fmtid="{D5CDD505-2E9C-101B-9397-08002B2CF9AE}" pid="4" name="&lt;Type&gt;">
    <vt:lpwstr>RR</vt:lpwstr>
  </property>
</Properties>
</file>