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D6DF46" w14:textId="77777777" w:rsidTr="0010095E">
        <w:tblPrEx>
          <w:tblW w:w="9072" w:type="dxa"/>
          <w:tblLook w:val="01E0"/>
        </w:tblPrEx>
        <w:trPr>
          <w:trHeight w:hRule="exact" w:val="1418"/>
        </w:trPr>
        <w:tc>
          <w:tcPr>
            <w:tcW w:w="6804" w:type="dxa"/>
            <w:shd w:val="clear" w:color="auto" w:fill="auto"/>
            <w:vAlign w:val="center"/>
          </w:tcPr>
          <w:p w:rsidR="00751A4A" w:rsidRPr="0058000F" w:rsidP="0010095E" w14:paraId="7560802B" w14:textId="77777777">
            <w:pPr>
              <w:pStyle w:val="EPName"/>
            </w:pPr>
            <w:r w:rsidRPr="0058000F">
              <w:t>Evropski parlament</w:t>
            </w:r>
          </w:p>
          <w:p w:rsidR="00751A4A" w:rsidRPr="0058000F" w:rsidP="005F1B17" w14:paraId="1221DE0C" w14:textId="77777777">
            <w:pPr>
              <w:pStyle w:val="EPTerm"/>
              <w:rPr>
                <w:rStyle w:val="HideTWBExt"/>
                <w:noProof w:val="0"/>
                <w:vanish w:val="0"/>
                <w:color w:val="auto"/>
              </w:rPr>
            </w:pPr>
            <w:r w:rsidRPr="0058000F">
              <w:t>2024</w:t>
            </w:r>
            <w:r w:rsidRPr="0058000F" w:rsidR="00817416">
              <w:t>-202</w:t>
            </w:r>
            <w:r w:rsidRPr="0058000F">
              <w:t>9</w:t>
            </w:r>
          </w:p>
        </w:tc>
        <w:tc>
          <w:tcPr>
            <w:tcW w:w="2268" w:type="dxa"/>
            <w:shd w:val="clear" w:color="auto" w:fill="auto"/>
          </w:tcPr>
          <w:p w:rsidR="00751A4A" w:rsidRPr="0058000F" w:rsidP="0010095E" w14:paraId="38501F8B" w14:textId="77777777">
            <w:pPr>
              <w:pStyle w:val="EPLogo"/>
            </w:pPr>
            <w:r w:rsidRPr="0058000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000F" w:rsidP="004C5D52" w14:paraId="72408114" w14:textId="77777777">
      <w:pPr>
        <w:pStyle w:val="LineTop"/>
      </w:pPr>
    </w:p>
    <w:p w:rsidR="00680577" w:rsidRPr="0058000F" w:rsidP="00680577" w14:paraId="2FA4D7D3" w14:textId="77777777">
      <w:pPr>
        <w:pStyle w:val="EPBodyTA1"/>
      </w:pPr>
      <w:r w:rsidRPr="0058000F">
        <w:t>SPREJETA BESEDILA</w:t>
      </w:r>
    </w:p>
    <w:p w:rsidR="00D058B8" w:rsidRPr="0058000F" w:rsidP="00D058B8" w14:paraId="61F8815B" w14:textId="77777777">
      <w:pPr>
        <w:pStyle w:val="LineBottom"/>
      </w:pPr>
    </w:p>
    <w:p w:rsidR="00C012A9" w:rsidRPr="0058000F" w:rsidP="00C012A9" w14:paraId="158779BF" w14:textId="3249BEC0">
      <w:pPr>
        <w:pStyle w:val="ATHeading1"/>
      </w:pPr>
      <w:bookmarkStart w:id="0" w:name="TANumber"/>
      <w:r w:rsidRPr="0058000F">
        <w:t>P10_TA(2026)</w:t>
      </w:r>
      <w:bookmarkEnd w:id="0"/>
      <w:r w:rsidR="0025057C">
        <w:t>0201</w:t>
      </w:r>
    </w:p>
    <w:p w:rsidR="00C012A9" w:rsidRPr="0058000F" w:rsidP="00C012A9" w14:paraId="09564744" w14:textId="304FE95E">
      <w:pPr>
        <w:pStyle w:val="ATHeading2"/>
      </w:pPr>
      <w:r>
        <w:t>U</w:t>
      </w:r>
      <w:r w:rsidRPr="0058000F">
        <w:t>porab</w:t>
      </w:r>
      <w:r>
        <w:t>a</w:t>
      </w:r>
      <w:r w:rsidRPr="0058000F">
        <w:t xml:space="preserve"> Evropskega sklada za prilagoditev globalizaciji za presežne delavce na podlagi vloge Belgije – EGF/2025/009 BE/</w:t>
      </w:r>
      <w:r w:rsidRPr="0058000F">
        <w:t>Soliver</w:t>
      </w:r>
    </w:p>
    <w:p w:rsidR="00C012A9" w:rsidRPr="0058000F" w:rsidP="00C012A9" w14:paraId="4DF8BBFE" w14:textId="77777777">
      <w:pPr>
        <w:rPr>
          <w:i/>
          <w:vanish/>
        </w:rPr>
      </w:pPr>
      <w:r>
        <w:rPr>
          <w:i/>
        </w:rPr>
        <w:fldChar w:fldCharType="begin"/>
      </w:r>
      <w:r w:rsidRPr="0058000F">
        <w:rPr>
          <w:i/>
        </w:rPr>
        <w:instrText xml:space="preserve"> TC"(</w:instrText>
      </w:r>
      <w:bookmarkStart w:id="1" w:name="DocNumber"/>
      <w:r w:rsidRPr="0058000F">
        <w:rPr>
          <w:i/>
        </w:rPr>
        <w:instrText>A10-0149/2026</w:instrText>
      </w:r>
      <w:bookmarkEnd w:id="1"/>
      <w:r w:rsidRPr="0058000F">
        <w:rPr>
          <w:i/>
        </w:rPr>
        <w:instrText xml:space="preserve"> - Poročevalec: Bogdan </w:instrText>
      </w:r>
      <w:r w:rsidRPr="0058000F">
        <w:rPr>
          <w:i/>
        </w:rPr>
        <w:instrText>Rzońca</w:instrText>
      </w:r>
      <w:r w:rsidRPr="0058000F">
        <w:rPr>
          <w:i/>
        </w:rPr>
        <w:instrText xml:space="preserve">)"\l3 \n&gt; \* MERGEFORMAT </w:instrText>
      </w:r>
      <w:r>
        <w:rPr>
          <w:i/>
        </w:rPr>
        <w:fldChar w:fldCharType="end"/>
      </w:r>
    </w:p>
    <w:p w:rsidR="00C012A9" w:rsidRPr="0058000F" w:rsidP="00C012A9" w14:paraId="5A50D344" w14:textId="77777777">
      <w:pPr>
        <w:rPr>
          <w:vanish/>
        </w:rPr>
      </w:pPr>
      <w:bookmarkStart w:id="2" w:name="Commission"/>
      <w:r w:rsidRPr="0058000F">
        <w:rPr>
          <w:vanish/>
        </w:rPr>
        <w:t>Odbor za proračun</w:t>
      </w:r>
      <w:bookmarkEnd w:id="2"/>
    </w:p>
    <w:p w:rsidR="00C012A9" w:rsidRPr="0058000F" w:rsidP="00C012A9" w14:paraId="69C5C94B" w14:textId="77777777">
      <w:pPr>
        <w:rPr>
          <w:vanish/>
        </w:rPr>
      </w:pPr>
      <w:bookmarkStart w:id="3" w:name="PE"/>
      <w:r w:rsidRPr="0058000F">
        <w:rPr>
          <w:vanish/>
        </w:rPr>
        <w:t>PE787.923</w:t>
      </w:r>
      <w:bookmarkEnd w:id="3"/>
    </w:p>
    <w:p w:rsidR="00C012A9" w:rsidRPr="0058000F" w:rsidP="00C012A9" w14:paraId="63C82A2B" w14:textId="51DABE7C">
      <w:pPr>
        <w:pStyle w:val="ATHeading3"/>
      </w:pPr>
      <w:bookmarkStart w:id="4" w:name="Sujet"/>
      <w:r w:rsidRPr="0058000F">
        <w:t xml:space="preserve">Resolucija Evropskega parlamenta z dne </w:t>
      </w:r>
      <w:r w:rsidR="008E5389">
        <w:t>16.</w:t>
      </w:r>
      <w:r w:rsidRPr="0058000F">
        <w:t xml:space="preserve"> </w:t>
      </w:r>
      <w:r w:rsidR="001F6905">
        <w:t xml:space="preserve">junija </w:t>
      </w:r>
      <w:r w:rsidRPr="0058000F">
        <w:t>2026 o predlogu sklepa Evropskega parlamenta in Sveta o uporabi Evropskega sklada za prilagoditev globalizaciji za presežne delavce na podlagi vloge Belgije – EGF/2025/009 BE/</w:t>
      </w:r>
      <w:r w:rsidRPr="0058000F">
        <w:t>Soliver</w:t>
      </w:r>
      <w:bookmarkEnd w:id="4"/>
      <w:r w:rsidRPr="0058000F">
        <w:t xml:space="preserve"> </w:t>
      </w:r>
      <w:bookmarkStart w:id="5" w:name="References"/>
      <w:r w:rsidRPr="0058000F">
        <w:t>(COM(2026)0050 – C10-0111/2026 – 2026/0097(BUD))</w:t>
      </w:r>
      <w:bookmarkEnd w:id="5"/>
    </w:p>
    <w:p w:rsidR="007E42CC" w:rsidRPr="0058000F" w:rsidP="007E42CC" w14:paraId="5294C30B" w14:textId="77777777">
      <w:pPr>
        <w:pStyle w:val="EPComma"/>
        <w:rPr>
          <w:noProof/>
        </w:rPr>
      </w:pPr>
      <w:r w:rsidRPr="0058000F">
        <w:rPr>
          <w:i/>
        </w:rPr>
        <w:t>Evropski parlament</w:t>
      </w:r>
      <w:r w:rsidRPr="0058000F">
        <w:t>,</w:t>
      </w:r>
    </w:p>
    <w:p w:rsidR="007E42CC" w:rsidRPr="0058000F" w:rsidP="007E42CC" w14:paraId="300B6C57" w14:textId="77777777">
      <w:pPr>
        <w:pStyle w:val="NormalHanging12a"/>
        <w:rPr>
          <w:noProof/>
        </w:rPr>
      </w:pPr>
      <w:r w:rsidRPr="0058000F">
        <w:t>–</w:t>
      </w:r>
      <w:r w:rsidRPr="0058000F">
        <w:tab/>
        <w:t>ob upoštevanju predloga Komisije Evropskemu parlamentu in Svetu (COM(2026)0050 – C10</w:t>
      </w:r>
      <w:r w:rsidRPr="0058000F">
        <w:noBreakHyphen/>
        <w:t>0111/2026),</w:t>
      </w:r>
    </w:p>
    <w:p w:rsidR="007E42CC" w:rsidRPr="0058000F" w:rsidP="007E42CC" w14:paraId="41481C4C" w14:textId="77777777">
      <w:pPr>
        <w:pStyle w:val="NormalHanging12a"/>
      </w:pPr>
      <w:r w:rsidRPr="0058000F">
        <w:t>–</w:t>
      </w:r>
      <w:r w:rsidRPr="0058000F">
        <w:tab/>
        <w:t>ob upoštevanju Uredbe (EU) 2021/691 Evropskega parlamenta in Sveta z dne 28. aprila 2021 o Evropskem skladu za prilagoditev globalizaciji za presežne delavce (ESPG) in razveljavitvi Uredbe (EU) št. 1309/2013</w:t>
      </w:r>
      <w:r>
        <w:rPr>
          <w:vertAlign w:val="superscript"/>
        </w:rPr>
        <w:footnoteReference w:id="2"/>
      </w:r>
      <w:r w:rsidRPr="0058000F">
        <w:t xml:space="preserve"> (uredba o ESPG), kot je bila spremenjena z Uredbo (EU) 2026/1139</w:t>
      </w:r>
      <w:r>
        <w:rPr>
          <w:vertAlign w:val="superscript"/>
        </w:rPr>
        <w:footnoteReference w:id="3"/>
      </w:r>
      <w:r w:rsidRPr="0058000F">
        <w:t>,</w:t>
      </w:r>
    </w:p>
    <w:p w:rsidR="007E42CC" w:rsidRPr="0058000F" w:rsidP="007E42CC" w14:paraId="06726F85" w14:textId="77777777">
      <w:pPr>
        <w:pStyle w:val="NormalHanging12a"/>
        <w:rPr>
          <w:noProof/>
        </w:rPr>
      </w:pPr>
      <w:r w:rsidRPr="0058000F">
        <w:t>–</w:t>
      </w:r>
      <w:r w:rsidRPr="0058000F">
        <w:tab/>
        <w:t xml:space="preserve">ob upoštevanju Uredbe Sveta (EU, </w:t>
      </w:r>
      <w:r w:rsidRPr="0058000F">
        <w:t>Euratom</w:t>
      </w:r>
      <w:r w:rsidRPr="0058000F">
        <w:t>) 2020/2093 z dne 17. decembra 2020 o določitvi večletnega finančnega okvira za obdobje 2021–2027</w:t>
      </w:r>
      <w:r>
        <w:rPr>
          <w:noProof/>
          <w:vertAlign w:val="superscript"/>
        </w:rPr>
        <w:footnoteReference w:id="4"/>
      </w:r>
      <w:r w:rsidRPr="0058000F">
        <w:t xml:space="preserve">, kot je bila spremenjena z Uredbo (EU, </w:t>
      </w:r>
      <w:r w:rsidRPr="0058000F">
        <w:t>Euratom</w:t>
      </w:r>
      <w:r w:rsidRPr="0058000F">
        <w:t>) 2024/765</w:t>
      </w:r>
      <w:r>
        <w:rPr>
          <w:noProof/>
          <w:vertAlign w:val="superscript"/>
        </w:rPr>
        <w:footnoteReference w:id="5"/>
      </w:r>
      <w:r w:rsidRPr="0058000F">
        <w:t>, in zlasti člena 8 Uredbe,</w:t>
      </w:r>
    </w:p>
    <w:p w:rsidR="007E42CC" w:rsidRPr="0058000F" w:rsidP="007E42CC" w14:paraId="6F2D07F9" w14:textId="77777777">
      <w:pPr>
        <w:pStyle w:val="NormalHanging12a"/>
        <w:rPr>
          <w:noProof/>
        </w:rPr>
      </w:pPr>
      <w:r w:rsidRPr="0058000F">
        <w:t>–</w:t>
      </w:r>
      <w:r w:rsidRPr="0058000F">
        <w:tab/>
        <w:t xml:space="preserve">ob upoštevanju Medinstitucionalnega sporazuma z dne 16. decembra 2020 med Evropskim parlamentom, Svetom Evropske unije in Evropsko komisijo o proračunski disciplini, sodelovanju v proračunskih zadevah in dobrem finančnem </w:t>
      </w:r>
      <w:r w:rsidRPr="0058000F">
        <w:t>poslovodenju</w:t>
      </w:r>
      <w:r w:rsidRPr="0058000F">
        <w:t xml:space="preserve"> ter novih virih lastnih sredstev, vključno s časovnim načrtom za uvedbo novih virov lastnih sredstev</w:t>
      </w:r>
      <w:r>
        <w:rPr>
          <w:rStyle w:val="FootnoteReference"/>
          <w:noProof/>
        </w:rPr>
        <w:footnoteReference w:id="6"/>
      </w:r>
      <w:r w:rsidRPr="0058000F">
        <w:t>, in zlasti točke 9 Sporazuma,</w:t>
      </w:r>
    </w:p>
    <w:p w:rsidR="007E42CC" w:rsidRPr="0058000F" w:rsidP="007E42CC" w14:paraId="2D97C050" w14:textId="77777777">
      <w:pPr>
        <w:pStyle w:val="NormalHanging12a"/>
      </w:pPr>
      <w:r w:rsidRPr="0058000F">
        <w:t>–</w:t>
      </w:r>
      <w:r w:rsidRPr="0058000F">
        <w:tab/>
        <w:t>ob upoštevanju evropskega stebra socialnih pravic,</w:t>
      </w:r>
    </w:p>
    <w:p w:rsidR="007E42CC" w:rsidRPr="0058000F" w:rsidP="007E42CC" w14:paraId="31B9836C" w14:textId="77777777">
      <w:pPr>
        <w:pStyle w:val="NormalHanging12a"/>
      </w:pPr>
      <w:r w:rsidRPr="0058000F">
        <w:t>–</w:t>
      </w:r>
      <w:r w:rsidRPr="0058000F">
        <w:tab/>
        <w:t>ob upoštevanju pisma Odbora za zaposlovanje in socialne zadeve,</w:t>
      </w:r>
    </w:p>
    <w:p w:rsidR="007E42CC" w:rsidRPr="0058000F" w:rsidP="007E42CC" w14:paraId="34F38F37" w14:textId="77777777">
      <w:pPr>
        <w:pStyle w:val="NormalHanging12a"/>
      </w:pPr>
      <w:r w:rsidRPr="0058000F">
        <w:t>–</w:t>
      </w:r>
      <w:r w:rsidRPr="0058000F">
        <w:tab/>
        <w:t>ob upoštevanju poročila Odbora za proračun (A10</w:t>
      </w:r>
      <w:r w:rsidRPr="0058000F">
        <w:noBreakHyphen/>
        <w:t>0149/2026),</w:t>
      </w:r>
    </w:p>
    <w:p w:rsidR="007E42CC" w:rsidRPr="0058000F" w:rsidP="007E42CC" w14:paraId="7ECA07AB" w14:textId="77777777">
      <w:pPr>
        <w:pStyle w:val="NormalHanging12a"/>
      </w:pPr>
      <w:r w:rsidRPr="0058000F">
        <w:t>A.</w:t>
      </w:r>
      <w:r w:rsidRPr="0058000F">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 ker sta ohranjanje konkurenčnosti evropske industrije ter povečanje naložb v inovacije ter znanja in spretnosti bistvena za preprečevanje nadaljnjega upada industrije in izgubljanja delovnih mest po vsej Uniji;</w:t>
      </w:r>
    </w:p>
    <w:p w:rsidR="007E42CC" w:rsidRPr="0058000F" w:rsidP="007E42CC" w14:paraId="27953165" w14:textId="77777777">
      <w:pPr>
        <w:pStyle w:val="NormalHanging12a"/>
      </w:pPr>
      <w:r w:rsidRPr="0058000F">
        <w:t>B.</w:t>
      </w:r>
      <w:r w:rsidRPr="0058000F">
        <w:tab/>
        <w:t>ker je Belgija vložila vlogo EGF/2025/009 BE/</w:t>
      </w:r>
      <w:r w:rsidRPr="0058000F">
        <w:t>Soliver</w:t>
      </w:r>
      <w:r w:rsidRPr="0058000F">
        <w:t xml:space="preserve"> za finančni prispevek iz ESPG zaradi odpustitve 803 presežnih delavcev</w:t>
      </w:r>
      <w:r>
        <w:rPr>
          <w:vertAlign w:val="superscript"/>
        </w:rPr>
        <w:footnoteReference w:id="7"/>
      </w:r>
      <w:r w:rsidRPr="0058000F">
        <w:t xml:space="preserve"> v podjetju </w:t>
      </w:r>
      <w:r w:rsidRPr="0058000F">
        <w:t>Soliver</w:t>
      </w:r>
      <w:r w:rsidRPr="0058000F">
        <w:t xml:space="preserve"> NV (</w:t>
      </w:r>
      <w:r w:rsidRPr="0058000F">
        <w:t>Soliver</w:t>
      </w:r>
      <w:r w:rsidRPr="0058000F">
        <w:t xml:space="preserve">) v Belgiji v gospodarskem sektorju, razvrščenem v oddelek 46 NACE Revizija 2 (Posredništvo in trgovina na debelo), v regijah </w:t>
      </w:r>
      <w:r w:rsidRPr="0058000F">
        <w:t>Provincie</w:t>
      </w:r>
      <w:r w:rsidRPr="0058000F">
        <w:t xml:space="preserve"> </w:t>
      </w:r>
      <w:r w:rsidRPr="0058000F">
        <w:t>Oost-Vlaanderen</w:t>
      </w:r>
      <w:r w:rsidRPr="0058000F">
        <w:t xml:space="preserve"> (BE23) in </w:t>
      </w:r>
      <w:r w:rsidRPr="0058000F">
        <w:t>Provincie</w:t>
      </w:r>
      <w:r w:rsidRPr="0058000F">
        <w:t xml:space="preserve"> West-</w:t>
      </w:r>
      <w:r w:rsidRPr="0058000F">
        <w:t>Vlaanderen</w:t>
      </w:r>
      <w:r w:rsidRPr="0058000F">
        <w:t xml:space="preserve"> (BE25), Flandrija, v referenčnem obdobju od 1. julija 2025 do 1. novembra 2025;</w:t>
      </w:r>
    </w:p>
    <w:p w:rsidR="007E42CC" w:rsidRPr="0058000F" w:rsidP="007E42CC" w14:paraId="2194B65A" w14:textId="77777777">
      <w:pPr>
        <w:pStyle w:val="NormalHanging12a"/>
      </w:pPr>
      <w:r w:rsidRPr="0058000F">
        <w:t>C.</w:t>
      </w:r>
      <w:r w:rsidRPr="0058000F">
        <w:tab/>
        <w:t>ker vloga temelji na merilu za pomoč iz člena 4(2), točka (a), uredbe o ESPG;</w:t>
      </w:r>
    </w:p>
    <w:p w:rsidR="007E42CC" w:rsidRPr="0058000F" w:rsidP="007E42CC" w14:paraId="6124592F" w14:textId="77777777">
      <w:pPr>
        <w:pStyle w:val="NormalHanging12a"/>
        <w:rPr>
          <w:noProof/>
        </w:rPr>
      </w:pPr>
      <w:r w:rsidRPr="0058000F">
        <w:t>D.</w:t>
      </w:r>
      <w:r w:rsidRPr="0058000F">
        <w:tab/>
        <w:t xml:space="preserve">ker je podjetje </w:t>
      </w:r>
      <w:r w:rsidRPr="0058000F">
        <w:t>Soliver</w:t>
      </w:r>
      <w:r w:rsidRPr="0058000F">
        <w:t xml:space="preserve"> prijavilo stečaj decembra 2024; ker se v Belgiji število stečajev od leta 2022 povečuje, brezposelnost pa močno vpliva na več regij v Flandriji;</w:t>
      </w:r>
    </w:p>
    <w:p w:rsidR="007E42CC" w:rsidRPr="0058000F" w:rsidP="007E42CC" w14:paraId="4A7E4CA5" w14:textId="77777777">
      <w:pPr>
        <w:pStyle w:val="NormalHanging12a"/>
        <w:rPr>
          <w:bCs/>
          <w:iCs/>
          <w:noProof/>
        </w:rPr>
      </w:pPr>
      <w:r w:rsidRPr="0058000F">
        <w:t>E.</w:t>
      </w:r>
      <w:r w:rsidRPr="0058000F">
        <w:tab/>
        <w:t xml:space="preserve">ker je v delovni sili, ki jo je prizadelo zaprtje podjetja </w:t>
      </w:r>
      <w:r w:rsidRPr="0058000F">
        <w:t>Soliver</w:t>
      </w:r>
      <w:r w:rsidRPr="0058000F">
        <w:t xml:space="preserve">, velik delež starejših delavcev, ki se srečujejo s posebnimi in združenimi ovirami pri ponovnem vključevanju na trg dela, vključno z diskriminacijo na podlagi starosti, neskladjem med ponudbo znanj in spretnosti ter povpraševanjem po njih in omejenim dostopom do možnosti za </w:t>
      </w:r>
      <w:r w:rsidRPr="0058000F">
        <w:t>preusposabljanje</w:t>
      </w:r>
      <w:r w:rsidRPr="0058000F">
        <w:t>; ker je treba uvesti ciljno usmerjene ukrepe za obravnavanje posebnih potreb starejših delavcev, vključno s starosti primernimi oblikami usposabljanja, mentorstvom in sodelovanjem z delodajalci, zavezanimi zaposlovanju, ki je raznoliko glede na starost;</w:t>
      </w:r>
    </w:p>
    <w:p w:rsidR="007E42CC" w:rsidRPr="0058000F" w:rsidP="007E42CC" w14:paraId="6A4F3759" w14:textId="77777777">
      <w:pPr>
        <w:pStyle w:val="NormalHanging12a"/>
      </w:pPr>
      <w:r w:rsidRPr="0058000F">
        <w:t>F.</w:t>
      </w:r>
      <w:r w:rsidRPr="0058000F">
        <w:tab/>
        <w:t>ker služba VDAB zagotavlja nacionalno predhodno financiranje in sofinanciranje ukrepov;</w:t>
      </w:r>
    </w:p>
    <w:p w:rsidR="007E42CC" w:rsidRPr="0058000F" w:rsidP="007E42CC" w14:paraId="7C0B3043" w14:textId="77777777">
      <w:pPr>
        <w:pStyle w:val="NormalHanging12a"/>
      </w:pPr>
      <w:r w:rsidRPr="0058000F">
        <w:t>G.</w:t>
      </w:r>
      <w:r w:rsidRPr="0058000F">
        <w:tab/>
        <w:t>ker so bile izpolnjene zahteve glede kolektivnega odpuščanja, določene v zakonodaji Unije in v nacionalni zakonodaji;</w:t>
      </w:r>
    </w:p>
    <w:p w:rsidR="007E42CC" w:rsidRPr="0058000F" w:rsidP="007E42CC" w14:paraId="54477FDC" w14:textId="77777777">
      <w:pPr>
        <w:pStyle w:val="NormalHanging12a"/>
      </w:pPr>
      <w:r w:rsidRPr="0058000F">
        <w:t>H.</w:t>
      </w:r>
      <w:r w:rsidRPr="0058000F">
        <w:tab/>
        <w:t>ker bi morali biti finančni prispevki iz ESPG usmerjeni predvsem v aktivne ukrepe politike trga dela in prilagojene storitve, katerih cilj je trajna ponovna vključitev upravičencev na trg dela v pogojih kakovostne zaposlitve, hkrati pa se jim ponudi usposabljanje za njihovo lažjo ponovno vključitev na trg dela;</w:t>
      </w:r>
    </w:p>
    <w:p w:rsidR="007E42CC" w:rsidRPr="0058000F" w:rsidP="007E42CC" w14:paraId="56010F22" w14:textId="77777777">
      <w:pPr>
        <w:pStyle w:val="NormalHanging12a"/>
      </w:pPr>
      <w:r w:rsidRPr="0058000F">
        <w:t>I.</w:t>
      </w:r>
      <w:r w:rsidRPr="0058000F">
        <w:tab/>
        <w:t>ker sredstva ESPG ne smejo presegati najvišjega letnega zneska 30 milijonov EUR (v cenah iz leta 2018)</w:t>
      </w:r>
      <w:r>
        <w:rPr>
          <w:rStyle w:val="FootnoteReference"/>
        </w:rPr>
        <w:footnoteReference w:id="8"/>
      </w:r>
      <w:r w:rsidRPr="0058000F">
        <w:t>;</w:t>
      </w:r>
    </w:p>
    <w:p w:rsidR="007E42CC" w:rsidRPr="0058000F" w:rsidP="007E42CC" w14:paraId="01AE80FE" w14:textId="77777777">
      <w:pPr>
        <w:pStyle w:val="NormalHanging12a"/>
      </w:pPr>
      <w:r w:rsidRPr="0058000F">
        <w:t>1.</w:t>
      </w:r>
      <w:r w:rsidRPr="0058000F">
        <w:tab/>
        <w:t xml:space="preserve">se strinja s Komisijo, da so pogoji iz uredbe o ESPG, in zlasti člena 4(2), točka (a), </w:t>
      </w:r>
      <w:r w:rsidRPr="0058000F">
        <w:t>izpolnjeni in da je Belgija na podlagi te uredbe upravičena do finančnega prispevka v znesku 2 132 535 EUR, kar je 85 % skupnih stroškov v znesku 2 508 865 EUR, od česar stroški prilagojenih storitev znašajo 2 412 465 EUR, stroški priprave, upravljanja, informiranja in obveščanja javnosti ter nadzora in poročanja pa 96 400 EUR;</w:t>
      </w:r>
    </w:p>
    <w:p w:rsidR="007E42CC" w:rsidRPr="0058000F" w:rsidP="007E42CC" w14:paraId="1E974A7F" w14:textId="77777777">
      <w:pPr>
        <w:pStyle w:val="NormalHanging12a"/>
      </w:pPr>
      <w:r w:rsidRPr="0058000F">
        <w:t>2.</w:t>
      </w:r>
      <w:r w:rsidRPr="0058000F">
        <w:tab/>
        <w:t>je seznanjen, da so belgijski organi vlogo predložili 22. decembra 2025, Komisija pa je na osnovi dodatnih informacij, ki jih je posredovala Belgija, oceno te vloge dokončala 30. aprila 2026, skoraj en mesec pred rokom, in jo še istega dne posredovala Parlamentu; poudarja, da je pomembno skrajšati čas med predložitvijo vloge za pomoč iz ESPG in sklepom o financiranju, hkrati pa v celoti zaščititi pravice Evropskega parlamenta kot veje proračunskega organa;</w:t>
      </w:r>
    </w:p>
    <w:p w:rsidR="007E42CC" w:rsidRPr="0058000F" w:rsidP="007E42CC" w14:paraId="2D11A2C9" w14:textId="77777777">
      <w:pPr>
        <w:pStyle w:val="NormalHanging12a"/>
        <w:rPr>
          <w:noProof/>
        </w:rPr>
      </w:pPr>
      <w:r w:rsidRPr="0058000F">
        <w:t>3.</w:t>
      </w:r>
      <w:r w:rsidRPr="0058000F">
        <w:tab/>
        <w:t xml:space="preserve">je seznanjen, da se vloga nanaša na 803 ciljne upravičence, ki so postali presežni v podjetju </w:t>
      </w:r>
      <w:r w:rsidRPr="0058000F">
        <w:t>Soliver</w:t>
      </w:r>
      <w:r w:rsidRPr="0058000F">
        <w:t>;</w:t>
      </w:r>
    </w:p>
    <w:p w:rsidR="007E42CC" w:rsidRPr="0058000F" w:rsidP="007E42CC" w14:paraId="189ECFCA" w14:textId="77777777">
      <w:pPr>
        <w:pStyle w:val="NormalHanging12a"/>
      </w:pPr>
      <w:r w:rsidRPr="0058000F">
        <w:t>4.</w:t>
      </w:r>
      <w:r w:rsidRPr="0058000F">
        <w:tab/>
        <w:t xml:space="preserve">je seznanjen, da se je podjetje </w:t>
      </w:r>
      <w:r w:rsidRPr="0058000F">
        <w:t>Soliver</w:t>
      </w:r>
      <w:r w:rsidRPr="0058000F">
        <w:t xml:space="preserve">, proizvajalec steklenih izdelkov za gradbeništvo in avtomobilski sektor, preusmerilo na izključno visokotehnološko avtomobilsko steklo, potem ko ga je leta 2018 kupilo podjetje </w:t>
      </w:r>
      <w:r w:rsidRPr="0058000F">
        <w:t>American</w:t>
      </w:r>
      <w:r w:rsidRPr="0058000F">
        <w:t xml:space="preserve"> </w:t>
      </w:r>
      <w:r w:rsidRPr="0058000F">
        <w:t>Glass</w:t>
      </w:r>
      <w:r w:rsidRPr="0058000F">
        <w:t xml:space="preserve"> </w:t>
      </w:r>
      <w:r w:rsidRPr="0058000F">
        <w:t>Products</w:t>
      </w:r>
      <w:r w:rsidRPr="0058000F">
        <w:t xml:space="preserve"> Holding (AGP); ugotavlja, da se je podjetje začelo srečevati s težavami, povezanimi predvsem z upadom v avtomobilskem sektorju, ki je bil posledica zapoznele proizvodnje avtomobilskih modelov, za katere so bili namenjeni njegovi izdelki, kar je na koncu povzročilo veliko zmanjšanje dobičkonosnosti in se nakopičilo v stečaju;</w:t>
      </w:r>
    </w:p>
    <w:p w:rsidR="007E42CC" w:rsidRPr="0058000F" w:rsidP="007E42CC" w14:paraId="1F9638E6" w14:textId="77777777">
      <w:pPr>
        <w:pStyle w:val="NormalHanging12a"/>
        <w:rPr>
          <w:bCs/>
          <w:iCs/>
        </w:rPr>
      </w:pPr>
      <w:r w:rsidRPr="0058000F">
        <w:t>5.</w:t>
      </w:r>
      <w:r w:rsidRPr="0058000F">
        <w:tab/>
        <w:t>ugotavlja, da je steklarska industrija energetsko intenziven sektor, ki so ga močno prizadele vztrajno visoke cene energije, kar je znatno oslabilo njeno konkurenčnost; poudarja, da je za dolgoročno doseganje konkurenčnih cen energije potrebno znatno povečanje zanesljive in cenovno dostopne oskrbe z energijo, tudi z diverzifikacijo virov energije in dobavnih poti, razvojem domače proizvodnje energije in popolnim dokončanjem energetske unije;</w:t>
      </w:r>
    </w:p>
    <w:p w:rsidR="007E42CC" w:rsidRPr="0058000F" w:rsidP="007E42CC" w14:paraId="61119217" w14:textId="77777777">
      <w:pPr>
        <w:pStyle w:val="NormalHanging12a"/>
        <w:rPr>
          <w:bCs/>
          <w:iCs/>
        </w:rPr>
      </w:pPr>
      <w:r w:rsidRPr="0058000F">
        <w:t>6.</w:t>
      </w:r>
      <w:r w:rsidRPr="0058000F">
        <w:tab/>
        <w:t>ugotavlja, da bodo tehnično usposobljeni delavci ali tisti, ki so se pripravljeni prekvalificirati, sicer imeli najugodnejše možnosti zaposlitve, da pa je to posledica pomanjkanja tehničnih strokovnjakov, ki je nastalo zaradi nizke vključenosti mladih v poklicno usposabljanje in staranja delovne sile; poudarja, da sta ponovno vključevanje odpuščenih delavcev in zagotavljanje enakih možnosti dostopa do visokokakovostnega usposabljanja ključna za evropsko gospodarstvo, ki bo kos izzivom prihodnosti in bo imelo močno industrijsko bazo; v zvezi s tem poudarja pomen večanja industrijske konkurenčnosti Unije;</w:t>
      </w:r>
    </w:p>
    <w:p w:rsidR="007E42CC" w:rsidRPr="0058000F" w:rsidP="007E42CC" w14:paraId="7A1E6195" w14:textId="77777777">
      <w:pPr>
        <w:pStyle w:val="NormalHanging12a"/>
        <w:rPr>
          <w:noProof/>
        </w:rPr>
      </w:pPr>
      <w:r w:rsidRPr="0058000F">
        <w:t>7.</w:t>
      </w:r>
      <w:r w:rsidRPr="0058000F">
        <w:tab/>
        <w:t>obžaluje, da je porast stečajev v zadnjih dveh letih negativno vplival na stopnjo zaposlenosti v nekaterih belgijskih regijah, zlasti v Flandriji; poudarja, da se v Flandriji starejši delavci, ki so postali presežni, srečujejo z večjimi ovirami pri ponovnem vstopu na trg dela; poziva belgijske organe, naj zagotovijo posebno prilagojeno podporo, da bi delavcem pomagali pri nadaljnjem razvoju potrebnih znanj in spretnosti za iskanje novih kakovostnih delovnih mest, hkrati pa sprejeli ukrepe za zmanjšanje stečajev in odpravo socialnih razlik, ki povzročajo izključitev delovne sile;</w:t>
      </w:r>
    </w:p>
    <w:p w:rsidR="007E42CC" w:rsidRPr="0058000F" w:rsidP="007E42CC" w14:paraId="7A927A2D" w14:textId="77777777">
      <w:pPr>
        <w:pStyle w:val="NormalHanging12a"/>
      </w:pPr>
      <w:r w:rsidRPr="0058000F">
        <w:t>8.</w:t>
      </w:r>
      <w:r w:rsidRPr="0058000F">
        <w:tab/>
        <w:t xml:space="preserve">želi spomniti, da v dogovoru s strokovnjaki in socialnimi partnerji prilagojene storitve, ki bodo zagotovljene delavcem, vključujejo naslednje ukrepe: projektna skupina izkušenih svetovalcev in upraviteljev računov, ki zagotavlja prilagojene svetovalne storitve; storitve iskanja nadomestne zaposlitve, ki zagotavljajo individualno usmerjanje; pomoč pri iskanju zaposlitve; okrepljena pomoč pri iskanju zaposlitve; </w:t>
      </w:r>
      <w:r w:rsidRPr="0058000F">
        <w:t xml:space="preserve">usposabljanje in </w:t>
      </w:r>
      <w:r w:rsidRPr="0058000F">
        <w:t>preusposabljanje</w:t>
      </w:r>
      <w:r w:rsidRPr="0058000F">
        <w:t>, vključno z usposabljanjem na delovnem mestu; udeležba na kariernih sejmih; poudarja pomen spodbujanja visokokakovostnih, v prihodnost usmerjenih delovnih mest, ki večajo konkurenčnost in podpirajo digitalno preoblikovanje;</w:t>
      </w:r>
    </w:p>
    <w:p w:rsidR="007E42CC" w:rsidRPr="0058000F" w:rsidP="007E42CC" w14:paraId="606603A9" w14:textId="77777777">
      <w:pPr>
        <w:pStyle w:val="NormalHanging12a"/>
      </w:pPr>
      <w:r w:rsidRPr="0058000F">
        <w:t>9.</w:t>
      </w:r>
      <w:r w:rsidRPr="0058000F">
        <w:tab/>
        <w:t>želi spomniti, da je ESPG instrument solidarnosti in pravičnega prehoda ter da ne more nadomestiti proaktivne industrijske politike, čeprav nudi podporo po izgubi delovnih mest; meni, da je treba uporabo sredstev ESPG vključiti v širši odziv politike na vseh političnih ravneh, da bi prizadetim delavcem ponudili ustrezne priložnosti v skladu z njihovimi kvalifikacijami ter znanji in spretnostmi; poudarja, da mora biti glavna naloga Unije preprečiti takšna zapiranja, in sicer predvsem z ustvarjanjem pogojev, da bi industrijska proizvodnja ostala konkurenčna, sistemi socialne varnosti pa finančno vzdržni, ter hkrati z vlaganjem v znanja in spretnosti visokokvalificiranih in industrijskih delavcev; poudarja, da je treba ponuditi posebno podporo, prilagojeno profilom delavcev, hkrati pa sprejeti ukrepe za zmanjšanje stečajev in odpravo socialnih razlik, ki vodijo do izključitve iz delovne sile; poudarja, da je zmanjšanje nepotrebnih regulativnih in upravnih bremen bistveno za podporo konkurenčnosti industrije, privabljanje naložb in ohranjanje kakovostnih delovnih mest v Uniji;</w:t>
      </w:r>
    </w:p>
    <w:p w:rsidR="007E42CC" w:rsidRPr="0058000F" w:rsidP="007E42CC" w14:paraId="44A75937" w14:textId="77777777">
      <w:pPr>
        <w:pStyle w:val="NormalHanging12a"/>
        <w:rPr>
          <w:bCs/>
          <w:iCs/>
        </w:rPr>
      </w:pPr>
      <w:r w:rsidRPr="0058000F">
        <w:t>10.</w:t>
      </w:r>
      <w:r w:rsidRPr="0058000F">
        <w:tab/>
        <w:t>poudarja, da morajo belgijski organi zagotoviti prepoznavnost financiranja Unije in poudariti njegovo dodano vrednost, tako da upravičencem, regionalnim in lokalnim organom, socialnim partnerjem in širši javnosti posredujejo učinkovite in ciljno usmerjene informacije;</w:t>
      </w:r>
    </w:p>
    <w:p w:rsidR="007E42CC" w:rsidRPr="0058000F" w:rsidP="007E42CC" w14:paraId="63165F41" w14:textId="77777777">
      <w:pPr>
        <w:pStyle w:val="NormalHanging12a"/>
      </w:pPr>
      <w:r w:rsidRPr="0058000F">
        <w:t>11.</w:t>
      </w:r>
      <w:r w:rsidRPr="0058000F">
        <w:tab/>
        <w:t>poziva Komisijo, naj zagotovi enako prepoznavnost instrumenta v vseh državah članicah in spodbuja njegovo dodano vrednost z razširjanjem ciljno usmerjenih informacij nacionalnim organom, ki bi morali te informacije nadalje posredovati podjetjem, ki jih prizadene odpuščanje presežnih delavcev, regionalnim in lokalnim organom, socialnim partnerjem in širši javnosti;</w:t>
      </w:r>
    </w:p>
    <w:p w:rsidR="007E42CC" w:rsidRPr="0058000F" w:rsidP="007E42CC" w14:paraId="6C513D5E" w14:textId="77777777">
      <w:pPr>
        <w:pStyle w:val="NormalHanging12a"/>
        <w:rPr>
          <w:bCs/>
          <w:iCs/>
        </w:rPr>
      </w:pPr>
      <w:r w:rsidRPr="0058000F">
        <w:t>12.</w:t>
      </w:r>
      <w:r w:rsidRPr="0058000F">
        <w:tab/>
        <w:t>poziva, naj se skupaj s socialnimi partnerji izvedejo temeljite končne ocene izvedenih ukrepov, vključno z jasnimi in preglednimi informacijami o tem, kako so bila sredstva porabljena, ponovno vključitvijo delavcev na trg dela in tem, ali so bili doseženi cilji ESPG; v zvezi s tem poudarja pomen rednega spremljanja ukrepov, ki se financirajo iz ESPG, da bi ocenili njihovo učinkovitost;</w:t>
      </w:r>
    </w:p>
    <w:p w:rsidR="007E42CC" w:rsidRPr="0058000F" w:rsidP="007E42CC" w14:paraId="03AC298D" w14:textId="77777777">
      <w:pPr>
        <w:pStyle w:val="NormalHanging12a"/>
      </w:pPr>
      <w:r w:rsidRPr="0058000F">
        <w:t>13.</w:t>
      </w:r>
      <w:r w:rsidRPr="0058000F">
        <w:tab/>
        <w:t>ugotavlja, da je Belgija 11. junija 2025 začela izvajati prilagojene storitve za ciljne upravičence, na ta dan pa so začeli nastajati tudi upravni odhodki za izvajanje ESPG, zato bo obdobje upravičenosti do finančnega prispevka iz ESPG trajalo od tega datuma do 24 oziroma 31 mesecev po datumu začetka veljavnosti sklepa o financiranju;</w:t>
      </w:r>
    </w:p>
    <w:p w:rsidR="007E42CC" w:rsidRPr="0058000F" w:rsidP="007E42CC" w14:paraId="7EC2B6FF" w14:textId="77777777">
      <w:pPr>
        <w:pStyle w:val="NormalHanging12a"/>
      </w:pPr>
      <w:r w:rsidRPr="0058000F">
        <w:t>14.</w:t>
      </w:r>
      <w:r w:rsidRPr="0058000F">
        <w:tab/>
        <w:t>je seznanjen, da so belgijski organi dali zagotovila, da se bosta pri dostopu do predlaganih ukrepov in njihovem izvajanju spoštovali načeli enake obravnave in nediskriminacije ter da se bo preprečilo vsakršno dvojno financiranje;</w:t>
      </w:r>
    </w:p>
    <w:p w:rsidR="007E42CC" w:rsidRPr="0058000F" w:rsidP="007E42CC" w14:paraId="0EF35E5C" w14:textId="77777777">
      <w:pPr>
        <w:pStyle w:val="NormalHanging12a"/>
      </w:pPr>
      <w:r w:rsidRPr="0058000F">
        <w:t>15.</w:t>
      </w:r>
      <w:r w:rsidRPr="0058000F">
        <w:tab/>
        <w:t>ponavlja, da pomoč iz ESPG ne sme nadomestiti ukrepov, za katere so odgovorni javni organi ali podjetja na podlagi nacionalnega prava ali kolektivnih pogodb; želi spomniti, da je ESPG omejen, ciljno usmerjen in dopolnjujoč mehanizem;</w:t>
      </w:r>
    </w:p>
    <w:p w:rsidR="007E42CC" w:rsidRPr="0058000F" w:rsidP="007E42CC" w14:paraId="29779D81" w14:textId="77777777">
      <w:pPr>
        <w:pStyle w:val="NormalHanging12a"/>
      </w:pPr>
      <w:r w:rsidRPr="0058000F">
        <w:t>16.</w:t>
      </w:r>
      <w:r w:rsidRPr="0058000F">
        <w:tab/>
        <w:t>odobri sklep, priložen tej resoluciji;</w:t>
      </w:r>
    </w:p>
    <w:p w:rsidR="007E42CC" w:rsidRPr="0058000F" w:rsidP="007E42CC" w14:paraId="6CE22C89" w14:textId="77777777">
      <w:pPr>
        <w:pStyle w:val="NormalHanging12a"/>
      </w:pPr>
      <w:r w:rsidRPr="0058000F">
        <w:t>17.</w:t>
      </w:r>
      <w:r w:rsidRPr="0058000F">
        <w:tab/>
        <w:t xml:space="preserve">naroči svoji predsednici, da podpiše ta sklep skupaj s predsedujočim Svetu ter poskrbi </w:t>
      </w:r>
      <w:r w:rsidRPr="0058000F">
        <w:t xml:space="preserve">za njegovo objavo v </w:t>
      </w:r>
      <w:r w:rsidRPr="0058000F">
        <w:rPr>
          <w:i/>
        </w:rPr>
        <w:t>Uradnem listu Evropske unije</w:t>
      </w:r>
      <w:r w:rsidRPr="0058000F">
        <w:t>;</w:t>
      </w:r>
    </w:p>
    <w:p w:rsidR="007E42CC" w:rsidRPr="0058000F" w:rsidP="007E42CC" w14:paraId="3BD37955" w14:textId="77777777">
      <w:pPr>
        <w:pStyle w:val="NormalHanging12a"/>
      </w:pPr>
      <w:r w:rsidRPr="0058000F">
        <w:t>18.</w:t>
      </w:r>
      <w:r w:rsidRPr="0058000F">
        <w:tab/>
        <w:t>naroči svoji predsednici, naj to resolucijo skupaj s prilogo posreduje Svetu in Komisiji.</w:t>
      </w:r>
    </w:p>
    <w:p w:rsidR="007E42CC" w:rsidRPr="0058000F" w:rsidP="007E42CC" w14:paraId="201123C7" w14:textId="77777777">
      <w:pPr>
        <w:rPr>
          <w:noProof/>
        </w:rPr>
      </w:pPr>
    </w:p>
    <w:p w:rsidR="007E42CC" w:rsidRPr="0058000F" w:rsidP="007E42CC" w14:paraId="4C964490" w14:textId="77777777">
      <w:pPr>
        <w:pStyle w:val="PageHeading"/>
        <w:rPr>
          <w:noProof/>
        </w:rPr>
        <w:sectPr w:rsidSect="0058000F">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5057C" w:rsidP="007E42CC" w14:paraId="3F32B1DD" w14:textId="77777777">
      <w:pPr>
        <w:pStyle w:val="PageHeading"/>
      </w:pPr>
      <w:bookmarkStart w:id="6" w:name="_Toc232163794"/>
      <w:r w:rsidRPr="0058000F">
        <w:t>PRILOGA</w:t>
      </w:r>
    </w:p>
    <w:p w:rsidR="007E42CC" w:rsidRPr="0058000F" w:rsidP="007E42CC" w14:paraId="3BD115CA" w14:textId="0D1A260E">
      <w:pPr>
        <w:pStyle w:val="PageHeading"/>
        <w:rPr>
          <w:noProof/>
        </w:rPr>
      </w:pPr>
      <w:r w:rsidRPr="0058000F">
        <w:t>SKLEP EVROPSKEGA PARLAMENTA IN SVETA</w:t>
      </w:r>
      <w:bookmarkEnd w:id="6"/>
    </w:p>
    <w:p w:rsidR="007E42CC" w:rsidP="007E42CC" w14:paraId="5F3DB92D" w14:textId="04934861">
      <w:pPr>
        <w:jc w:val="center"/>
        <w:rPr>
          <w:b/>
        </w:rPr>
      </w:pPr>
      <w:r>
        <w:rPr>
          <w:b/>
        </w:rPr>
        <w:t>o</w:t>
      </w:r>
      <w:r w:rsidRPr="0058000F">
        <w:rPr>
          <w:b/>
        </w:rPr>
        <w:t xml:space="preserve"> uporabi Evropskega sklada za prilagoditev globalizaciji za presežne delavce na podlagi vloge Belgije – EGF/2025/009 BE/</w:t>
      </w:r>
      <w:r w:rsidRPr="0058000F">
        <w:rPr>
          <w:b/>
        </w:rPr>
        <w:t>Soliver</w:t>
      </w:r>
    </w:p>
    <w:p w:rsidR="0025057C" w:rsidRPr="0058000F" w:rsidP="0025057C" w14:paraId="10E95457" w14:textId="2D26D82D">
      <w:pPr>
        <w:spacing w:before="360" w:after="120"/>
        <w:rPr>
          <w:b/>
          <w:bCs/>
          <w:noProof/>
        </w:rPr>
      </w:pPr>
      <w:r w:rsidRPr="0025057C">
        <w:rPr>
          <w:i/>
        </w:rPr>
        <w:t>(Besedilo te priloge tukaj ni navedeno, saj je enako končnemu aktu, Sklepu (EU) 2026/1543.)</w:t>
      </w:r>
    </w:p>
    <w:sectPr w:rsidSect="005800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CC" w:rsidRPr="0058000F" w:rsidP="00766D1C" w14:paraId="2180E79C" w14:textId="77777777">
    <w:pPr>
      <w:pStyle w:val="EPFooter"/>
    </w:pPr>
    <w:r w:rsidRPr="0058000F">
      <w:t>PE</w:t>
    </w:r>
    <w:r w:rsidRPr="0058000F">
      <w:rPr>
        <w:rStyle w:val="HideTWBExt"/>
      </w:rPr>
      <w:t>&lt;</w:t>
    </w:r>
    <w:r w:rsidRPr="0058000F">
      <w:rPr>
        <w:rStyle w:val="HideTWBExt"/>
      </w:rPr>
      <w:t>NoPE</w:t>
    </w:r>
    <w:r w:rsidRPr="0058000F">
      <w:rPr>
        <w:rStyle w:val="HideTWBExt"/>
      </w:rPr>
      <w:t>&gt;</w:t>
    </w:r>
    <w:r w:rsidRPr="0058000F">
      <w:t>787.923</w:t>
    </w:r>
    <w:r w:rsidRPr="0058000F">
      <w:rPr>
        <w:rStyle w:val="HideTWBExt"/>
      </w:rPr>
      <w:t>&lt;/</w:t>
    </w:r>
    <w:r w:rsidRPr="0058000F">
      <w:rPr>
        <w:rStyle w:val="HideTWBExt"/>
      </w:rPr>
      <w:t>NoPE</w:t>
    </w:r>
    <w:r w:rsidRPr="0058000F">
      <w:rPr>
        <w:rStyle w:val="HideTWBExt"/>
      </w:rPr>
      <w:t>&gt;&lt;Version&gt;</w:t>
    </w:r>
    <w:r w:rsidRPr="0058000F">
      <w:t>v02-00</w:t>
    </w:r>
    <w:r w:rsidRPr="0058000F">
      <w:rPr>
        <w:rStyle w:val="HideTWBExt"/>
      </w:rPr>
      <w:t>&lt;/</w:t>
    </w:r>
    <w:r w:rsidRPr="0058000F">
      <w:rPr>
        <w:rStyle w:val="HideTWBExt"/>
      </w:rPr>
      <w:t>Version</w:t>
    </w:r>
    <w:r w:rsidRPr="0058000F">
      <w:rPr>
        <w:rStyle w:val="HideTWBExt"/>
      </w:rPr>
      <w:t>&gt;</w:t>
    </w:r>
    <w:r w:rsidRPr="0058000F">
      <w:tab/>
    </w:r>
    <w:r w:rsidRPr="0058000F">
      <w:fldChar w:fldCharType="begin"/>
    </w:r>
    <w:r w:rsidRPr="0058000F">
      <w:instrText xml:space="preserve"> PAGE  \* MERGEFORMAT </w:instrText>
    </w:r>
    <w:r w:rsidRPr="0058000F">
      <w:fldChar w:fldCharType="separate"/>
    </w:r>
    <w:r w:rsidRPr="0058000F">
      <w:rPr>
        <w:noProof/>
      </w:rPr>
      <w:t>10</w:t>
    </w:r>
    <w:r w:rsidRPr="0058000F">
      <w:fldChar w:fldCharType="end"/>
    </w:r>
    <w:r w:rsidRPr="0058000F">
      <w:t>/</w:t>
    </w:r>
    <w:r>
      <w:fldChar w:fldCharType="begin"/>
    </w:r>
    <w:r>
      <w:instrText xml:space="preserve"> NUMPAGES  \* MERGEFORMAT </w:instrText>
    </w:r>
    <w:r>
      <w:fldChar w:fldCharType="separate"/>
    </w:r>
    <w:r w:rsidRPr="0058000F">
      <w:rPr>
        <w:noProof/>
      </w:rPr>
      <w:t>11</w:t>
    </w:r>
    <w:r w:rsidRPr="0058000F">
      <w:rPr>
        <w:noProof/>
      </w:rPr>
      <w:fldChar w:fldCharType="end"/>
    </w:r>
    <w:r w:rsidRPr="0058000F">
      <w:tab/>
    </w:r>
    <w:r w:rsidRPr="0058000F">
      <w:rPr>
        <w:rStyle w:val="HideTWBExt"/>
      </w:rPr>
      <w:t>&lt;PathFdR&gt;</w:t>
    </w:r>
    <w:r w:rsidRPr="0058000F">
      <w:t>RR\1345097SL.docx</w:t>
    </w:r>
    <w:r w:rsidRPr="0058000F">
      <w:rPr>
        <w:rStyle w:val="HideTWBExt"/>
      </w:rPr>
      <w:t>&lt;/</w:t>
    </w:r>
    <w:r w:rsidRPr="0058000F">
      <w:rPr>
        <w:rStyle w:val="HideTWBExt"/>
      </w:rPr>
      <w:t>PathFdR</w:t>
    </w:r>
    <w:r w:rsidRPr="0058000F">
      <w:rPr>
        <w:rStyle w:val="HideTWBExt"/>
      </w:rPr>
      <w:t>&gt;</w:t>
    </w:r>
  </w:p>
  <w:p w:rsidR="007E42CC" w:rsidRPr="0058000F" w:rsidP="00766D1C" w14:paraId="69420EA8" w14:textId="77777777">
    <w:pPr>
      <w:pStyle w:val="EPFooter2"/>
    </w:pPr>
    <w:r w:rsidRPr="0058000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CC" w:rsidRPr="0058000F" w:rsidP="00766D1C" w14:paraId="38100446" w14:textId="77777777">
    <w:pPr>
      <w:pStyle w:val="EPFooter"/>
    </w:pPr>
    <w:r w:rsidRPr="0058000F">
      <w:rPr>
        <w:rStyle w:val="HideTWBExt"/>
      </w:rPr>
      <w:t>&lt;PathFdR&gt;</w:t>
    </w:r>
    <w:r w:rsidRPr="0058000F">
      <w:t>RR\1345097SL.docx</w:t>
    </w:r>
    <w:r w:rsidRPr="0058000F">
      <w:rPr>
        <w:rStyle w:val="HideTWBExt"/>
      </w:rPr>
      <w:t>&lt;/</w:t>
    </w:r>
    <w:r w:rsidRPr="0058000F">
      <w:rPr>
        <w:rStyle w:val="HideTWBExt"/>
      </w:rPr>
      <w:t>PathFdR</w:t>
    </w:r>
    <w:r w:rsidRPr="0058000F">
      <w:rPr>
        <w:rStyle w:val="HideTWBExt"/>
      </w:rPr>
      <w:t>&gt;</w:t>
    </w:r>
    <w:r w:rsidRPr="0058000F">
      <w:tab/>
    </w:r>
    <w:r w:rsidRPr="0058000F">
      <w:tab/>
      <w:t>PE</w:t>
    </w:r>
    <w:r w:rsidRPr="0058000F">
      <w:rPr>
        <w:rStyle w:val="HideTWBExt"/>
      </w:rPr>
      <w:t>&lt;</w:t>
    </w:r>
    <w:r w:rsidRPr="0058000F">
      <w:rPr>
        <w:rStyle w:val="HideTWBExt"/>
      </w:rPr>
      <w:t>NoPE</w:t>
    </w:r>
    <w:r w:rsidRPr="0058000F">
      <w:rPr>
        <w:rStyle w:val="HideTWBExt"/>
      </w:rPr>
      <w:t>&gt;</w:t>
    </w:r>
    <w:r w:rsidRPr="0058000F">
      <w:t>787.923</w:t>
    </w:r>
    <w:r w:rsidRPr="0058000F">
      <w:rPr>
        <w:rStyle w:val="HideTWBExt"/>
      </w:rPr>
      <w:t>&lt;/</w:t>
    </w:r>
    <w:r w:rsidRPr="0058000F">
      <w:rPr>
        <w:rStyle w:val="HideTWBExt"/>
      </w:rPr>
      <w:t>NoPE</w:t>
    </w:r>
    <w:r w:rsidRPr="0058000F">
      <w:rPr>
        <w:rStyle w:val="HideTWBExt"/>
      </w:rPr>
      <w:t>&gt;&lt;Version&gt;</w:t>
    </w:r>
    <w:r w:rsidRPr="0058000F">
      <w:t>v02-00</w:t>
    </w:r>
    <w:r w:rsidRPr="0058000F">
      <w:rPr>
        <w:rStyle w:val="HideTWBExt"/>
      </w:rPr>
      <w:t>&lt;/</w:t>
    </w:r>
    <w:r w:rsidRPr="0058000F">
      <w:rPr>
        <w:rStyle w:val="HideTWBExt"/>
      </w:rPr>
      <w:t>Version</w:t>
    </w:r>
    <w:r w:rsidRPr="0058000F">
      <w:rPr>
        <w:rStyle w:val="HideTWBExt"/>
      </w:rPr>
      <w:t>&gt;</w:t>
    </w:r>
  </w:p>
  <w:p w:rsidR="007E42CC" w:rsidRPr="0058000F" w:rsidP="00766D1C" w14:paraId="5980BF0E" w14:textId="77777777">
    <w:pPr>
      <w:pStyle w:val="EPFooter2"/>
    </w:pPr>
    <w:r w:rsidRPr="0058000F">
      <w:t>SL</w:t>
    </w:r>
    <w:r w:rsidRPr="0058000F">
      <w:tab/>
    </w:r>
    <w:r w:rsidRPr="0058000F">
      <w:rPr>
        <w:b w:val="0"/>
        <w:i/>
        <w:color w:val="C0C0C0"/>
        <w:sz w:val="22"/>
      </w:rPr>
      <w:t>Združena v raznolikosti</w:t>
    </w:r>
    <w:r w:rsidRPr="0058000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40CCF61D"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37F316D7"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1B033EF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12A9" w:rsidRPr="0058000F" w14:paraId="50C63C34" w14:textId="77777777">
      <w:r w:rsidRPr="0058000F">
        <w:separator/>
      </w:r>
    </w:p>
  </w:footnote>
  <w:footnote w:type="continuationSeparator" w:id="1">
    <w:p w:rsidR="00C012A9" w:rsidRPr="0058000F" w14:paraId="0B4DAEFB" w14:textId="77777777">
      <w:r w:rsidRPr="0058000F">
        <w:continuationSeparator/>
      </w:r>
    </w:p>
  </w:footnote>
  <w:footnote w:id="2">
    <w:p w:rsidR="007E42CC" w:rsidRPr="0058000F" w:rsidP="0058000F" w14:paraId="4D1658C3" w14:textId="7FF0BBBB">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 xml:space="preserve">UL L 153, 3.5.2021, str. 48, ELI: </w:t>
      </w:r>
      <w:hyperlink r:id="rId1" w:history="1">
        <w:r w:rsidRPr="0058000F">
          <w:rPr>
            <w:rStyle w:val="Hyperlink"/>
            <w:sz w:val="24"/>
            <w:lang w:val="sl-SI"/>
          </w:rPr>
          <w:t>http://data.europa.eu/eli/reg/2021/691/oj</w:t>
        </w:r>
      </w:hyperlink>
      <w:r w:rsidRPr="0058000F">
        <w:rPr>
          <w:sz w:val="24"/>
          <w:lang w:val="sl-SI"/>
        </w:rPr>
        <w:t>.</w:t>
      </w:r>
    </w:p>
  </w:footnote>
  <w:footnote w:id="3">
    <w:p w:rsidR="007E42CC" w:rsidRPr="0058000F" w:rsidP="0058000F" w14:paraId="6D5821AE" w14:textId="409C0C28">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UL L, 2026/1139, 20.5.2026, ELI: </w:t>
      </w:r>
      <w:hyperlink r:id="rId2" w:tgtFrame="_blank" w:tooltip="Omogoča dostop do dokumenta prek označevalnika/predloge ELI URI." w:history="1">
        <w:r w:rsidRPr="0058000F">
          <w:rPr>
            <w:rStyle w:val="Hyperlink"/>
            <w:color w:val="0070C0"/>
            <w:sz w:val="24"/>
            <w:lang w:val="sl-SI"/>
          </w:rPr>
          <w:t>http://data.europa.eu/eli/reg/2026/1139/oj</w:t>
        </w:r>
      </w:hyperlink>
      <w:r w:rsidRPr="0058000F">
        <w:rPr>
          <w:color w:val="0070C0"/>
          <w:sz w:val="24"/>
          <w:lang w:val="sl-SI"/>
        </w:rPr>
        <w:t>.</w:t>
      </w:r>
    </w:p>
  </w:footnote>
  <w:footnote w:id="4">
    <w:p w:rsidR="007E42CC" w:rsidRPr="0058000F" w:rsidP="0058000F" w14:paraId="6910FF2D" w14:textId="21AF8350">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UL L 433 I, 22.12.2020, str. </w:t>
      </w:r>
      <w:r w:rsidRPr="0058000F">
        <w:rPr>
          <w:sz w:val="24"/>
          <w:lang w:val="sl-SI"/>
        </w:rPr>
        <w:t xml:space="preserve">11, ELI: </w:t>
      </w:r>
      <w:hyperlink r:id="rId3" w:history="1">
        <w:r w:rsidRPr="0058000F">
          <w:rPr>
            <w:rStyle w:val="Hyperlink"/>
            <w:sz w:val="24"/>
            <w:lang w:val="sl-SI"/>
          </w:rPr>
          <w:t>http://data.europa.eu/eli/reg/2020/2093/oj</w:t>
        </w:r>
      </w:hyperlink>
      <w:r w:rsidRPr="0058000F">
        <w:rPr>
          <w:sz w:val="24"/>
          <w:lang w:val="sl-SI"/>
        </w:rPr>
        <w:t>.</w:t>
      </w:r>
    </w:p>
  </w:footnote>
  <w:footnote w:id="5">
    <w:p w:rsidR="007E42CC" w:rsidRPr="0058000F" w:rsidP="0058000F" w14:paraId="4C1A6200" w14:textId="646480C6">
      <w:pPr>
        <w:pStyle w:val="FootnoteText"/>
        <w:ind w:left="567" w:hanging="567"/>
        <w:rPr>
          <w:sz w:val="24"/>
          <w:lang w:val="sl-SI"/>
        </w:rPr>
      </w:pPr>
      <w:r w:rsidRPr="0058000F">
        <w:rPr>
          <w:rStyle w:val="FootnoteReference"/>
          <w:sz w:val="24"/>
          <w:lang w:val="sl-SI"/>
        </w:rPr>
        <w:footnoteRef/>
      </w:r>
      <w:r w:rsidRPr="0058000F" w:rsidR="0058000F">
        <w:rPr>
          <w:sz w:val="24"/>
          <w:shd w:val="clear" w:color="auto" w:fill="FFFFFF"/>
          <w:lang w:val="sl-SI"/>
        </w:rPr>
        <w:t xml:space="preserve"> </w:t>
      </w:r>
      <w:r w:rsidRPr="0058000F" w:rsidR="0058000F">
        <w:rPr>
          <w:sz w:val="24"/>
          <w:shd w:val="clear" w:color="auto" w:fill="FFFFFF"/>
          <w:lang w:val="sl-SI"/>
        </w:rPr>
        <w:tab/>
      </w:r>
      <w:r w:rsidRPr="0058000F">
        <w:rPr>
          <w:sz w:val="24"/>
          <w:shd w:val="clear" w:color="auto" w:fill="FFFFFF"/>
          <w:lang w:val="sl-SI"/>
        </w:rPr>
        <w:t xml:space="preserve">Uredba Sveta (EU, </w:t>
      </w:r>
      <w:r w:rsidRPr="0058000F">
        <w:rPr>
          <w:sz w:val="24"/>
          <w:shd w:val="clear" w:color="auto" w:fill="FFFFFF"/>
          <w:lang w:val="sl-SI"/>
        </w:rPr>
        <w:t>Euratom</w:t>
      </w:r>
      <w:r w:rsidRPr="0058000F">
        <w:rPr>
          <w:sz w:val="24"/>
          <w:shd w:val="clear" w:color="auto" w:fill="FFFFFF"/>
          <w:lang w:val="sl-SI"/>
        </w:rPr>
        <w:t>) 2024/765 z dne 29. </w:t>
      </w:r>
      <w:r w:rsidRPr="0058000F">
        <w:rPr>
          <w:sz w:val="24"/>
          <w:shd w:val="clear" w:color="auto" w:fill="FFFFFF"/>
          <w:lang w:val="sl-SI"/>
        </w:rPr>
        <w:t xml:space="preserve">februarja 2024 o spremembi Uredbe (EU, </w:t>
      </w:r>
      <w:r w:rsidRPr="0058000F">
        <w:rPr>
          <w:sz w:val="24"/>
          <w:shd w:val="clear" w:color="auto" w:fill="FFFFFF"/>
          <w:lang w:val="sl-SI"/>
        </w:rPr>
        <w:t>Euratom</w:t>
      </w:r>
      <w:r w:rsidRPr="0058000F">
        <w:rPr>
          <w:sz w:val="24"/>
          <w:shd w:val="clear" w:color="auto" w:fill="FFFFFF"/>
          <w:lang w:val="sl-SI"/>
        </w:rPr>
        <w:t>) 2020/2093 o določitvi večletnega finančnega okvira za obdobje 2021–2027 (UL L, 2024/765, 29.2.2024, ELI:</w:t>
      </w:r>
      <w:r w:rsidRPr="0058000F">
        <w:rPr>
          <w:color w:val="333333"/>
          <w:sz w:val="24"/>
          <w:shd w:val="clear" w:color="auto" w:fill="FFFFFF"/>
          <w:lang w:val="sl-SI"/>
        </w:rPr>
        <w:t xml:space="preserve"> </w:t>
      </w:r>
      <w:hyperlink r:id="rId4" w:history="1">
        <w:r w:rsidRPr="0058000F">
          <w:rPr>
            <w:rStyle w:val="Hyperlink"/>
            <w:sz w:val="24"/>
            <w:shd w:val="clear" w:color="auto" w:fill="FFFFFF"/>
            <w:lang w:val="sl-SI"/>
          </w:rPr>
          <w:t>http://data.europa.eu/eli/reg/2024/765/oj</w:t>
        </w:r>
      </w:hyperlink>
      <w:r w:rsidRPr="005D1A07">
        <w:rPr>
          <w:iCs/>
          <w:color w:val="333333"/>
          <w:sz w:val="24"/>
          <w:shd w:val="clear" w:color="auto" w:fill="FFFFFF"/>
          <w:lang w:val="sl-SI"/>
        </w:rPr>
        <w:t>)</w:t>
      </w:r>
      <w:r w:rsidRPr="0058000F">
        <w:rPr>
          <w:i/>
          <w:color w:val="333333"/>
          <w:sz w:val="24"/>
          <w:shd w:val="clear" w:color="auto" w:fill="FFFFFF"/>
          <w:lang w:val="sl-SI"/>
        </w:rPr>
        <w:t>.</w:t>
      </w:r>
    </w:p>
  </w:footnote>
  <w:footnote w:id="6">
    <w:p w:rsidR="007E42CC" w:rsidRPr="0058000F" w:rsidP="0058000F" w14:paraId="2B2E6F1F" w14:textId="4F334332">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UL L 433 I, 22.12.2020, str. </w:t>
      </w:r>
      <w:r w:rsidRPr="0058000F">
        <w:rPr>
          <w:sz w:val="24"/>
          <w:lang w:val="sl-SI"/>
        </w:rPr>
        <w:t xml:space="preserve">28, ELI: </w:t>
      </w:r>
      <w:hyperlink r:id="rId5" w:history="1">
        <w:r w:rsidRPr="0058000F">
          <w:rPr>
            <w:rStyle w:val="Hyperlink"/>
            <w:sz w:val="24"/>
            <w:lang w:val="sl-SI"/>
          </w:rPr>
          <w:t>http://data.europa.eu/eli/agree_interinstit/2020/1222/oj</w:t>
        </w:r>
      </w:hyperlink>
      <w:r w:rsidRPr="0058000F">
        <w:rPr>
          <w:sz w:val="24"/>
          <w:lang w:val="sl-SI"/>
        </w:rPr>
        <w:t>.</w:t>
      </w:r>
    </w:p>
  </w:footnote>
  <w:footnote w:id="7">
    <w:p w:rsidR="007E42CC" w:rsidRPr="0058000F" w:rsidP="0058000F" w14:paraId="2F69B8ED" w14:textId="7A125839">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V smislu člena 3 uredbe o ESPG.</w:t>
      </w:r>
    </w:p>
  </w:footnote>
  <w:footnote w:id="8">
    <w:p w:rsidR="007E42CC" w:rsidRPr="0058000F" w:rsidP="0058000F" w14:paraId="05E82C93" w14:textId="2F8D7A04">
      <w:pPr>
        <w:pStyle w:val="FootnoteText"/>
        <w:ind w:left="567" w:hanging="567"/>
        <w:rPr>
          <w:sz w:val="24"/>
          <w:lang w:val="sl-SI"/>
        </w:rPr>
      </w:pPr>
      <w:r w:rsidRPr="0058000F">
        <w:rPr>
          <w:rStyle w:val="FootnoteReference"/>
          <w:sz w:val="24"/>
          <w:lang w:val="sl-SI"/>
        </w:rPr>
        <w:footnoteRef/>
      </w:r>
      <w:r w:rsidRPr="0058000F" w:rsidR="0058000F">
        <w:rPr>
          <w:sz w:val="24"/>
          <w:lang w:val="sl-SI"/>
        </w:rPr>
        <w:t xml:space="preserve"> </w:t>
      </w:r>
      <w:r w:rsidRPr="0058000F" w:rsidR="0058000F">
        <w:rPr>
          <w:sz w:val="24"/>
          <w:lang w:val="sl-SI"/>
        </w:rPr>
        <w:tab/>
      </w:r>
      <w:r w:rsidRPr="0058000F">
        <w:rPr>
          <w:sz w:val="24"/>
          <w:lang w:val="sl-SI"/>
        </w:rPr>
        <w:t>Člen 8 uredbe o večletnem finančnem okviru.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78ED884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55D907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8000F" w14:paraId="76D7EF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4060769">
    <w:abstractNumId w:val="9"/>
  </w:num>
  <w:num w:numId="2" w16cid:durableId="499734940">
    <w:abstractNumId w:val="9"/>
  </w:num>
  <w:num w:numId="3" w16cid:durableId="1525512904">
    <w:abstractNumId w:val="7"/>
  </w:num>
  <w:num w:numId="4" w16cid:durableId="1396469851">
    <w:abstractNumId w:val="7"/>
  </w:num>
  <w:num w:numId="5" w16cid:durableId="415399217">
    <w:abstractNumId w:val="6"/>
  </w:num>
  <w:num w:numId="6" w16cid:durableId="1558130299">
    <w:abstractNumId w:val="6"/>
  </w:num>
  <w:num w:numId="7" w16cid:durableId="643388771">
    <w:abstractNumId w:val="5"/>
  </w:num>
  <w:num w:numId="8" w16cid:durableId="33166422">
    <w:abstractNumId w:val="5"/>
  </w:num>
  <w:num w:numId="9" w16cid:durableId="1596741098">
    <w:abstractNumId w:val="4"/>
  </w:num>
  <w:num w:numId="10" w16cid:durableId="1913005431">
    <w:abstractNumId w:val="4"/>
  </w:num>
  <w:num w:numId="11" w16cid:durableId="420569648">
    <w:abstractNumId w:val="8"/>
  </w:num>
  <w:num w:numId="12" w16cid:durableId="2102140633">
    <w:abstractNumId w:val="8"/>
  </w:num>
  <w:num w:numId="13" w16cid:durableId="745765316">
    <w:abstractNumId w:val="3"/>
  </w:num>
  <w:num w:numId="14" w16cid:durableId="134759149">
    <w:abstractNumId w:val="3"/>
  </w:num>
  <w:num w:numId="15" w16cid:durableId="1849323965">
    <w:abstractNumId w:val="2"/>
  </w:num>
  <w:num w:numId="16" w16cid:durableId="504325166">
    <w:abstractNumId w:val="2"/>
  </w:num>
  <w:num w:numId="17" w16cid:durableId="928007700">
    <w:abstractNumId w:val="1"/>
  </w:num>
  <w:num w:numId="18" w16cid:durableId="2087142966">
    <w:abstractNumId w:val="1"/>
  </w:num>
  <w:num w:numId="19" w16cid:durableId="860555878">
    <w:abstractNumId w:val="0"/>
  </w:num>
  <w:num w:numId="20" w16cid:durableId="592129480">
    <w:abstractNumId w:val="0"/>
  </w:num>
  <w:num w:numId="21" w16cid:durableId="1144203564">
    <w:abstractNumId w:val="9"/>
  </w:num>
  <w:num w:numId="22" w16cid:durableId="1927498343">
    <w:abstractNumId w:val="7"/>
  </w:num>
  <w:num w:numId="23" w16cid:durableId="744839333">
    <w:abstractNumId w:val="6"/>
  </w:num>
  <w:num w:numId="24" w16cid:durableId="1541825245">
    <w:abstractNumId w:val="5"/>
  </w:num>
  <w:num w:numId="25" w16cid:durableId="1923565274">
    <w:abstractNumId w:val="4"/>
  </w:num>
  <w:num w:numId="26" w16cid:durableId="1726487815">
    <w:abstractNumId w:val="8"/>
  </w:num>
  <w:num w:numId="27" w16cid:durableId="1552693931">
    <w:abstractNumId w:val="3"/>
  </w:num>
  <w:num w:numId="28" w16cid:durableId="488861516">
    <w:abstractNumId w:val="2"/>
  </w:num>
  <w:num w:numId="29" w16cid:durableId="566769385">
    <w:abstractNumId w:val="1"/>
  </w:num>
  <w:num w:numId="30" w16cid:durableId="811561996">
    <w:abstractNumId w:val="0"/>
  </w:num>
  <w:num w:numId="31" w16cid:durableId="327945725">
    <w:abstractNumId w:val="9"/>
  </w:num>
  <w:num w:numId="32" w16cid:durableId="1054742507">
    <w:abstractNumId w:val="7"/>
  </w:num>
  <w:num w:numId="33" w16cid:durableId="2099281289">
    <w:abstractNumId w:val="6"/>
  </w:num>
  <w:num w:numId="34" w16cid:durableId="770122128">
    <w:abstractNumId w:val="5"/>
  </w:num>
  <w:num w:numId="35" w16cid:durableId="1234119335">
    <w:abstractNumId w:val="4"/>
  </w:num>
  <w:num w:numId="36" w16cid:durableId="1908373358">
    <w:abstractNumId w:val="8"/>
  </w:num>
  <w:num w:numId="37" w16cid:durableId="256258083">
    <w:abstractNumId w:val="3"/>
  </w:num>
  <w:num w:numId="38" w16cid:durableId="263732074">
    <w:abstractNumId w:val="2"/>
  </w:num>
  <w:num w:numId="39" w16cid:durableId="106627982">
    <w:abstractNumId w:val="1"/>
  </w:num>
  <w:num w:numId="40" w16cid:durableId="658457413">
    <w:abstractNumId w:val="0"/>
  </w:num>
  <w:num w:numId="41" w16cid:durableId="1943563238">
    <w:abstractNumId w:val="10"/>
  </w:num>
  <w:num w:numId="42" w16cid:durableId="807090643">
    <w:abstractNumId w:val="10"/>
  </w:num>
  <w:num w:numId="43" w16cid:durableId="961111718">
    <w:abstractNumId w:val="10"/>
  </w:num>
  <w:num w:numId="44" w16cid:durableId="1037045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A9"/>
    <w:rsid w:val="00002272"/>
    <w:rsid w:val="00064002"/>
    <w:rsid w:val="000677B9"/>
    <w:rsid w:val="000831BA"/>
    <w:rsid w:val="000A42CC"/>
    <w:rsid w:val="000E7DD9"/>
    <w:rsid w:val="0010095E"/>
    <w:rsid w:val="00125B37"/>
    <w:rsid w:val="00187494"/>
    <w:rsid w:val="001F32AE"/>
    <w:rsid w:val="001F6905"/>
    <w:rsid w:val="0025057C"/>
    <w:rsid w:val="002767FF"/>
    <w:rsid w:val="002B18FE"/>
    <w:rsid w:val="002B5493"/>
    <w:rsid w:val="002E7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00F"/>
    <w:rsid w:val="005C2568"/>
    <w:rsid w:val="005D1A07"/>
    <w:rsid w:val="005F1B17"/>
    <w:rsid w:val="006037C0"/>
    <w:rsid w:val="006631B6"/>
    <w:rsid w:val="00680577"/>
    <w:rsid w:val="00686D66"/>
    <w:rsid w:val="006C6590"/>
    <w:rsid w:val="006F74FA"/>
    <w:rsid w:val="00731ADD"/>
    <w:rsid w:val="00734777"/>
    <w:rsid w:val="00747932"/>
    <w:rsid w:val="00751A4A"/>
    <w:rsid w:val="00756632"/>
    <w:rsid w:val="00762C74"/>
    <w:rsid w:val="00766D1C"/>
    <w:rsid w:val="00786EC0"/>
    <w:rsid w:val="007D1690"/>
    <w:rsid w:val="007E22AD"/>
    <w:rsid w:val="007E42CC"/>
    <w:rsid w:val="00817416"/>
    <w:rsid w:val="00842779"/>
    <w:rsid w:val="00865F67"/>
    <w:rsid w:val="00881A7B"/>
    <w:rsid w:val="008840E5"/>
    <w:rsid w:val="00887B3E"/>
    <w:rsid w:val="008C2AC6"/>
    <w:rsid w:val="008E5389"/>
    <w:rsid w:val="00930C23"/>
    <w:rsid w:val="0093193B"/>
    <w:rsid w:val="00945B8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D00"/>
    <w:rsid w:val="00BD48FE"/>
    <w:rsid w:val="00BD7BD8"/>
    <w:rsid w:val="00BE6ADC"/>
    <w:rsid w:val="00C012A9"/>
    <w:rsid w:val="00C05BFE"/>
    <w:rsid w:val="00C23CD4"/>
    <w:rsid w:val="00C5723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472"/>
  </w:rsids>
  <w:docVars>
    <w:docVar w:name="dvdocse" w:val="A10-0149/2026"/>
    <w:docVar w:name="dvlangue" w:val="SL"/>
    <w:docVar w:name="dvnumam" w:val="0"/>
    <w:docVar w:name="dvpe" w:val="787.923"/>
    <w:docVar w:name="dvrapporteur" w:val="Poročevalec: "/>
    <w:docVar w:name="dvtitre" w:val="Resolucija Evropskega parlamenta z dne … 2026 o predlogu sklepa Evropskega parlamenta in Sveta o uporabi Evropskega sklada za prilagoditev globalizaciji za presežne delavce na podlagi vloge Belgije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ADBEDA"/>
  <w15:chartTrackingRefBased/>
  <w15:docId w15:val="{964CDF0C-249F-4AAB-9D82-136A9EBC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42C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E42CC"/>
    <w:pPr>
      <w:keepNext/>
      <w:spacing w:after="480"/>
      <w:jc w:val="center"/>
    </w:pPr>
    <w:rPr>
      <w:rFonts w:ascii="Arial" w:hAnsi="Arial" w:cs="Arial"/>
      <w:b/>
    </w:rPr>
  </w:style>
  <w:style w:type="paragraph" w:customStyle="1" w:styleId="NormalHanging12a">
    <w:name w:val="NormalHanging12a"/>
    <w:basedOn w:val="Normal"/>
    <w:link w:val="NormalHanging12aChar"/>
    <w:rsid w:val="007E42CC"/>
    <w:pPr>
      <w:spacing w:after="240"/>
      <w:ind w:left="567" w:hanging="567"/>
    </w:pPr>
  </w:style>
  <w:style w:type="paragraph" w:styleId="Header">
    <w:name w:val="header"/>
    <w:basedOn w:val="Normal"/>
    <w:link w:val="HeaderChar"/>
    <w:rsid w:val="007E42CC"/>
    <w:pPr>
      <w:tabs>
        <w:tab w:val="center" w:pos="4513"/>
        <w:tab w:val="right" w:pos="9026"/>
      </w:tabs>
    </w:pPr>
  </w:style>
  <w:style w:type="character" w:customStyle="1" w:styleId="HeaderChar">
    <w:name w:val="Header Char"/>
    <w:basedOn w:val="DefaultParagraphFont"/>
    <w:link w:val="Header"/>
    <w:rsid w:val="007E42CC"/>
    <w:rPr>
      <w:sz w:val="24"/>
      <w:lang w:val="sl-SI"/>
    </w:rPr>
  </w:style>
  <w:style w:type="paragraph" w:customStyle="1" w:styleId="EPFooter">
    <w:name w:val="EPFooter"/>
    <w:basedOn w:val="Normal"/>
    <w:rsid w:val="007E42CC"/>
    <w:pPr>
      <w:tabs>
        <w:tab w:val="center" w:pos="4535"/>
        <w:tab w:val="right" w:pos="9071"/>
      </w:tabs>
      <w:spacing w:before="240" w:after="240"/>
    </w:pPr>
    <w:rPr>
      <w:color w:val="010000"/>
      <w:sz w:val="22"/>
    </w:rPr>
  </w:style>
  <w:style w:type="paragraph" w:customStyle="1" w:styleId="EPComma">
    <w:name w:val="EPComma"/>
    <w:basedOn w:val="Normal"/>
    <w:rsid w:val="007E42CC"/>
    <w:pPr>
      <w:spacing w:before="480" w:after="240"/>
    </w:pPr>
  </w:style>
  <w:style w:type="character" w:styleId="Hyperlink">
    <w:name w:val="Hyperlink"/>
    <w:basedOn w:val="DefaultParagraphFont"/>
    <w:uiPriority w:val="99"/>
    <w:rsid w:val="007E42CC"/>
    <w:rPr>
      <w:color w:val="0563C1" w:themeColor="hyperlink"/>
      <w:u w:val="single"/>
    </w:rPr>
  </w:style>
  <w:style w:type="character" w:customStyle="1" w:styleId="NormalHanging12aChar">
    <w:name w:val="NormalHanging12a Char"/>
    <w:basedOn w:val="DefaultParagraphFont"/>
    <w:link w:val="NormalHanging12a"/>
    <w:locked/>
    <w:rsid w:val="007E42CC"/>
    <w:rPr>
      <w:sz w:val="24"/>
      <w:lang w:val="sl-SI"/>
    </w:rPr>
  </w:style>
  <w:style w:type="paragraph" w:customStyle="1" w:styleId="Personnequisigne">
    <w:name w:val="Personne qui signe"/>
    <w:basedOn w:val="Normal"/>
    <w:next w:val="Institutionquisigne"/>
    <w:rsid w:val="007E42CC"/>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7E42CC"/>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7E42CC"/>
    <w:rPr>
      <w:rFonts w:ascii="Arial" w:hAnsi="Arial" w:cs="Arial"/>
      <w:b/>
      <w:sz w:val="24"/>
      <w:lang w:val="sl-SI"/>
    </w:rPr>
  </w:style>
  <w:style w:type="paragraph" w:customStyle="1" w:styleId="Fait">
    <w:name w:val="Fait à"/>
    <w:basedOn w:val="Normal"/>
    <w:next w:val="Institutionquisigne"/>
    <w:rsid w:val="007E42CC"/>
    <w:pPr>
      <w:keepNext/>
      <w:widowControl/>
      <w:spacing w:before="120" w:line="360" w:lineRule="auto"/>
    </w:pPr>
    <w:rPr>
      <w:rFonts w:eastAsiaTheme="minorHAnsi"/>
      <w:szCs w:val="22"/>
      <w:lang w:eastAsia="sl-SI" w:bidi="sl-SI"/>
    </w:rPr>
  </w:style>
  <w:style w:type="paragraph" w:customStyle="1" w:styleId="Formuledadoption">
    <w:name w:val="Formule d'adoption"/>
    <w:basedOn w:val="Normal"/>
    <w:next w:val="Titrearticle"/>
    <w:rsid w:val="007E42CC"/>
    <w:pPr>
      <w:keepNext/>
      <w:widowControl/>
      <w:spacing w:before="120" w:after="120" w:line="360" w:lineRule="auto"/>
    </w:pPr>
    <w:rPr>
      <w:rFonts w:eastAsiaTheme="minorHAnsi"/>
      <w:szCs w:val="22"/>
      <w:lang w:eastAsia="sl-SI" w:bidi="sl-SI"/>
    </w:rPr>
  </w:style>
  <w:style w:type="paragraph" w:customStyle="1" w:styleId="Institutionquiagit">
    <w:name w:val="Institution qui agit"/>
    <w:basedOn w:val="Normal"/>
    <w:next w:val="Normal"/>
    <w:rsid w:val="007E42CC"/>
    <w:pPr>
      <w:keepNext/>
      <w:widowControl/>
      <w:spacing w:before="600" w:after="120" w:line="360" w:lineRule="auto"/>
    </w:pPr>
    <w:rPr>
      <w:rFonts w:eastAsiaTheme="minorHAnsi"/>
      <w:szCs w:val="22"/>
      <w:lang w:eastAsia="sl-SI" w:bidi="sl-SI"/>
    </w:rPr>
  </w:style>
  <w:style w:type="paragraph" w:customStyle="1" w:styleId="ManualConsidrant">
    <w:name w:val="Manual Considérant"/>
    <w:basedOn w:val="Normal"/>
    <w:rsid w:val="007E42CC"/>
    <w:pPr>
      <w:widowControl/>
      <w:spacing w:before="120" w:after="120" w:line="360" w:lineRule="auto"/>
      <w:ind w:left="850" w:hanging="850"/>
    </w:pPr>
    <w:rPr>
      <w:rFonts w:eastAsiaTheme="minorHAnsi"/>
      <w:szCs w:val="22"/>
      <w:lang w:eastAsia="sl-SI" w:bidi="sl-SI"/>
    </w:rPr>
  </w:style>
  <w:style w:type="paragraph" w:customStyle="1" w:styleId="Titrearticle">
    <w:name w:val="Titre article"/>
    <w:basedOn w:val="Normal"/>
    <w:next w:val="Normal"/>
    <w:rsid w:val="007E42CC"/>
    <w:pPr>
      <w:keepNext/>
      <w:widowControl/>
      <w:spacing w:before="360" w:after="120" w:line="360" w:lineRule="auto"/>
      <w:jc w:val="center"/>
    </w:pPr>
    <w:rPr>
      <w:rFonts w:eastAsiaTheme="minorHAnsi"/>
      <w:i/>
      <w:szCs w:val="22"/>
      <w:lang w:eastAsia="sl-SI" w:bidi="sl-SI"/>
    </w:rPr>
  </w:style>
  <w:style w:type="character" w:styleId="CommentReference">
    <w:name w:val="annotation reference"/>
    <w:basedOn w:val="DefaultParagraphFont"/>
    <w:rsid w:val="008E5389"/>
    <w:rPr>
      <w:sz w:val="16"/>
      <w:szCs w:val="16"/>
    </w:rPr>
  </w:style>
  <w:style w:type="paragraph" w:styleId="CommentText">
    <w:name w:val="annotation text"/>
    <w:basedOn w:val="Normal"/>
    <w:link w:val="CommentTextChar"/>
    <w:rsid w:val="008E5389"/>
    <w:rPr>
      <w:sz w:val="20"/>
    </w:rPr>
  </w:style>
  <w:style w:type="character" w:customStyle="1" w:styleId="CommentTextChar">
    <w:name w:val="Comment Text Char"/>
    <w:basedOn w:val="DefaultParagraphFont"/>
    <w:link w:val="CommentText"/>
    <w:rsid w:val="008E5389"/>
    <w:rPr>
      <w:lang w:val="sl-SI"/>
    </w:rPr>
  </w:style>
  <w:style w:type="paragraph" w:styleId="CommentSubject">
    <w:name w:val="annotation subject"/>
    <w:basedOn w:val="CommentText"/>
    <w:next w:val="CommentText"/>
    <w:link w:val="CommentSubjectChar"/>
    <w:rsid w:val="008E5389"/>
    <w:rPr>
      <w:b/>
      <w:bCs/>
    </w:rPr>
  </w:style>
  <w:style w:type="character" w:customStyle="1" w:styleId="CommentSubjectChar">
    <w:name w:val="Comment Subject Char"/>
    <w:basedOn w:val="CommentTextChar"/>
    <w:link w:val="CommentSubject"/>
    <w:rsid w:val="008E5389"/>
    <w:rPr>
      <w:b/>
      <w:bCs/>
      <w:lang w:val="sl-SI"/>
    </w:rPr>
  </w:style>
  <w:style w:type="character" w:styleId="UnresolvedMention">
    <w:name w:val="Unresolved Mention"/>
    <w:basedOn w:val="DefaultParagraphFont"/>
    <w:uiPriority w:val="99"/>
    <w:semiHidden/>
    <w:unhideWhenUsed/>
    <w:rsid w:val="008E5389"/>
    <w:rPr>
      <w:color w:val="605E5C"/>
      <w:shd w:val="clear" w:color="auto" w:fill="E1DFDD"/>
    </w:rPr>
  </w:style>
  <w:style w:type="paragraph" w:styleId="Revision">
    <w:name w:val="Revision"/>
    <w:hidden/>
    <w:uiPriority w:val="99"/>
    <w:semiHidden/>
    <w:rsid w:val="008E5389"/>
    <w:rPr>
      <w:sz w:val="24"/>
      <w:lang w:val="sl-SI"/>
    </w:rPr>
  </w:style>
  <w:style w:type="paragraph" w:styleId="Footer">
    <w:name w:val="footer"/>
    <w:basedOn w:val="Normal"/>
    <w:link w:val="FooterChar"/>
    <w:rsid w:val="00C57230"/>
    <w:pPr>
      <w:tabs>
        <w:tab w:val="center" w:pos="4513"/>
        <w:tab w:val="right" w:pos="9026"/>
      </w:tabs>
    </w:pPr>
  </w:style>
  <w:style w:type="character" w:customStyle="1" w:styleId="FooterChar">
    <w:name w:val="Footer Char"/>
    <w:basedOn w:val="DefaultParagraphFont"/>
    <w:link w:val="Footer"/>
    <w:rsid w:val="00C5723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2026-09-01T14:37:00Z</dcterms:created>
  <dcterms:modified xsi:type="dcterms:W3CDTF">2026-09-01T14:37:00Z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P10_TA(2026)0201_</vt:lpwstr>
  </property>
  <property fmtid="{D5CDD505-2E9C-101B-9397-08002B2CF9AE}" pid="4" name="&lt;Type&gt;">
    <vt:lpwstr>RR</vt:lpwstr>
  </property>
</Properties>
</file>