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5BC0DEB" w14:textId="77777777" w:rsidTr="0010095E">
        <w:tblPrEx>
          <w:tblW w:w="9072" w:type="dxa"/>
          <w:tblLook w:val="01E0"/>
        </w:tblPrEx>
        <w:trPr>
          <w:trHeight w:hRule="exact" w:val="1418"/>
        </w:trPr>
        <w:tc>
          <w:tcPr>
            <w:tcW w:w="6804" w:type="dxa"/>
            <w:shd w:val="clear" w:color="auto" w:fill="auto"/>
            <w:vAlign w:val="center"/>
          </w:tcPr>
          <w:p w:rsidR="00751A4A" w:rsidRPr="002A5E16" w:rsidP="0010095E" w14:paraId="27D026F6" w14:textId="7F3EAEDF">
            <w:pPr>
              <w:pStyle w:val="EPName"/>
            </w:pPr>
            <w:r w:rsidRPr="002A5E16">
              <w:t>Europaparlamentet</w:t>
            </w:r>
          </w:p>
          <w:p w:rsidR="00751A4A" w:rsidRPr="002A5E16" w:rsidP="005F1B17" w14:paraId="777377F1" w14:textId="77777777">
            <w:pPr>
              <w:pStyle w:val="EPTerm"/>
              <w:rPr>
                <w:rStyle w:val="HideTWBExt"/>
                <w:noProof w:val="0"/>
                <w:vanish w:val="0"/>
                <w:color w:val="auto"/>
              </w:rPr>
            </w:pPr>
            <w:r w:rsidRPr="002A5E16">
              <w:t>2024</w:t>
            </w:r>
            <w:r w:rsidRPr="002A5E16" w:rsidR="00817416">
              <w:t>-202</w:t>
            </w:r>
            <w:r w:rsidRPr="002A5E16">
              <w:t>9</w:t>
            </w:r>
          </w:p>
        </w:tc>
        <w:tc>
          <w:tcPr>
            <w:tcW w:w="2268" w:type="dxa"/>
            <w:shd w:val="clear" w:color="auto" w:fill="auto"/>
          </w:tcPr>
          <w:p w:rsidR="00751A4A" w:rsidRPr="002A5E16" w:rsidP="0010095E" w14:paraId="23CD4AD2" w14:textId="77777777">
            <w:pPr>
              <w:pStyle w:val="EPLogo"/>
            </w:pPr>
            <w:r w:rsidRPr="002A5E1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2A5E16" w:rsidP="004C5D52" w14:paraId="6A6EA99D" w14:textId="77777777">
      <w:pPr>
        <w:pStyle w:val="LineTop"/>
      </w:pPr>
    </w:p>
    <w:p w:rsidR="00680577" w:rsidRPr="002A5E16" w:rsidP="00680577" w14:paraId="326DE38C" w14:textId="5C5E90BC">
      <w:pPr>
        <w:pStyle w:val="EPBodyTA1"/>
      </w:pPr>
      <w:r w:rsidRPr="002A5E16">
        <w:t>ANTAGNA TEXTER</w:t>
      </w:r>
    </w:p>
    <w:p w:rsidR="00D058B8" w:rsidRPr="002A5E16" w:rsidP="00D058B8" w14:paraId="3CBF40D6" w14:textId="77777777">
      <w:pPr>
        <w:pStyle w:val="LineBottom"/>
      </w:pPr>
    </w:p>
    <w:p w:rsidR="00802D3C" w:rsidRPr="002A5E16" w:rsidP="00802D3C" w14:paraId="5542C204" w14:textId="22F96146">
      <w:pPr>
        <w:pStyle w:val="ATHeading1"/>
      </w:pPr>
      <w:bookmarkStart w:id="0" w:name="TANumber"/>
      <w:r w:rsidRPr="002A5E16">
        <w:t>P10_TA(2026)0</w:t>
      </w:r>
      <w:bookmarkEnd w:id="0"/>
      <w:r w:rsidR="008E060C">
        <w:t>201</w:t>
      </w:r>
    </w:p>
    <w:p w:rsidR="00802D3C" w:rsidRPr="002A5E16" w:rsidP="00802D3C" w14:paraId="3B290522" w14:textId="77777777">
      <w:pPr>
        <w:pStyle w:val="ATHeading2"/>
      </w:pPr>
      <w:bookmarkStart w:id="1" w:name="title"/>
      <w:r w:rsidRPr="002A5E16">
        <w:t>Utnyttjande av Europeiska fonden för justering för globaliseringseffekter för uppsagda arbetstagare efter en ansökan från Belgien – EGF/2025/009 BE/</w:t>
      </w:r>
      <w:r w:rsidRPr="002A5E16">
        <w:t>Soliver</w:t>
      </w:r>
      <w:bookmarkEnd w:id="1"/>
    </w:p>
    <w:p w:rsidR="00802D3C" w:rsidRPr="002A5E16" w:rsidP="00802D3C" w14:paraId="2252A20E" w14:textId="77777777">
      <w:pPr>
        <w:rPr>
          <w:i/>
          <w:vanish/>
        </w:rPr>
      </w:pPr>
      <w:r>
        <w:rPr>
          <w:i/>
        </w:rPr>
        <w:fldChar w:fldCharType="begin"/>
      </w:r>
      <w:r w:rsidRPr="002A5E16">
        <w:rPr>
          <w:i/>
        </w:rPr>
        <w:instrText xml:space="preserve"> TC"(</w:instrText>
      </w:r>
      <w:bookmarkStart w:id="2" w:name="DocNumber"/>
      <w:r w:rsidRPr="002A5E16">
        <w:rPr>
          <w:i/>
        </w:rPr>
        <w:instrText>A10-0149/2026</w:instrText>
      </w:r>
      <w:bookmarkEnd w:id="2"/>
      <w:r w:rsidRPr="002A5E16">
        <w:rPr>
          <w:i/>
        </w:rPr>
        <w:instrText xml:space="preserve"> - Föredragande: Bogdan </w:instrText>
      </w:r>
      <w:r w:rsidRPr="002A5E16">
        <w:rPr>
          <w:i/>
        </w:rPr>
        <w:instrText>Rzońca</w:instrText>
      </w:r>
      <w:r w:rsidRPr="002A5E16">
        <w:rPr>
          <w:i/>
        </w:rPr>
        <w:instrText xml:space="preserve">)"\l3 \n&gt; \* MERGEFORMAT </w:instrText>
      </w:r>
      <w:r>
        <w:rPr>
          <w:i/>
        </w:rPr>
        <w:fldChar w:fldCharType="end"/>
      </w:r>
    </w:p>
    <w:p w:rsidR="00802D3C" w:rsidRPr="002A5E16" w:rsidP="00802D3C" w14:paraId="7F3B354E" w14:textId="77777777">
      <w:pPr>
        <w:rPr>
          <w:vanish/>
        </w:rPr>
      </w:pPr>
      <w:bookmarkStart w:id="3" w:name="Commission"/>
      <w:r w:rsidRPr="002A5E16">
        <w:rPr>
          <w:vanish/>
        </w:rPr>
        <w:t>Budgetutskottet</w:t>
      </w:r>
      <w:bookmarkEnd w:id="3"/>
    </w:p>
    <w:p w:rsidR="00802D3C" w:rsidRPr="002A5E16" w:rsidP="00802D3C" w14:paraId="47AF55D8" w14:textId="77777777">
      <w:pPr>
        <w:rPr>
          <w:vanish/>
        </w:rPr>
      </w:pPr>
      <w:bookmarkStart w:id="4" w:name="PE"/>
      <w:r w:rsidRPr="002A5E16">
        <w:rPr>
          <w:vanish/>
        </w:rPr>
        <w:t>PE787.923</w:t>
      </w:r>
      <w:bookmarkEnd w:id="4"/>
    </w:p>
    <w:p w:rsidR="00802D3C" w:rsidRPr="002A5E16" w:rsidP="00802D3C" w14:paraId="77226C5E" w14:textId="32877180">
      <w:pPr>
        <w:pStyle w:val="ATHeading3"/>
      </w:pPr>
      <w:bookmarkStart w:id="5" w:name="Sujet"/>
      <w:r w:rsidRPr="002A5E16">
        <w:t xml:space="preserve">Europaparlamentets resolution av den </w:t>
      </w:r>
      <w:r w:rsidR="00D103D1">
        <w:t>16</w:t>
      </w:r>
      <w:r w:rsidRPr="002A5E16" w:rsidR="00D103D1">
        <w:t xml:space="preserve"> </w:t>
      </w:r>
      <w:r w:rsidR="00D103D1">
        <w:t>juni</w:t>
      </w:r>
      <w:r w:rsidRPr="002A5E16" w:rsidR="00D103D1">
        <w:t xml:space="preserve"> </w:t>
      </w:r>
      <w:r w:rsidRPr="002A5E16">
        <w:t>2026 om förslaget till Europaparlamentets och rådets beslut om utnyttjande av Europeiska fonden för justering för globaliseringseffekter för uppsagda arbetstagare efter en ansökan från Belgien – EGF/2025/009 BE/</w:t>
      </w:r>
      <w:r w:rsidRPr="002A5E16">
        <w:t>Soliver</w:t>
      </w:r>
      <w:r w:rsidRPr="002A5E16">
        <w:t xml:space="preserve"> </w:t>
      </w:r>
      <w:bookmarkStart w:id="6" w:name="References"/>
      <w:bookmarkEnd w:id="5"/>
      <w:r w:rsidRPr="002A5E16">
        <w:t>(COM(2026)0050 – C10-0111/2026 – 2026/0097(BUD))</w:t>
      </w:r>
      <w:bookmarkEnd w:id="6"/>
    </w:p>
    <w:p w:rsidR="00DC20C0" w:rsidRPr="002A5E16" w:rsidP="00DC20C0" w14:paraId="0CAC9B07" w14:textId="77777777">
      <w:pPr>
        <w:pStyle w:val="EPComma"/>
        <w:rPr>
          <w:noProof/>
        </w:rPr>
      </w:pPr>
      <w:r w:rsidRPr="002A5E16">
        <w:rPr>
          <w:i/>
          <w:iCs/>
        </w:rPr>
        <w:t>Europaparlamentet utfärdar denna resolution</w:t>
      </w:r>
    </w:p>
    <w:p w:rsidR="00DC20C0" w:rsidRPr="002A5E16" w:rsidP="00DC20C0" w14:paraId="54C41C94" w14:textId="77777777">
      <w:pPr>
        <w:pStyle w:val="NormalHanging12a"/>
        <w:rPr>
          <w:noProof/>
        </w:rPr>
      </w:pPr>
      <w:r w:rsidRPr="002A5E16">
        <w:t>–</w:t>
      </w:r>
      <w:r w:rsidRPr="002A5E16">
        <w:tab/>
        <w:t>med beaktande av kommissionens förslag till Europaparlamentet och rådet (COM(2026)0050 – C10</w:t>
      </w:r>
      <w:r w:rsidRPr="002A5E16">
        <w:noBreakHyphen/>
        <w:t>0111/2026),</w:t>
      </w:r>
    </w:p>
    <w:p w:rsidR="00DC20C0" w:rsidRPr="002A5E16" w:rsidP="00DC20C0" w14:paraId="02894D16" w14:textId="77777777">
      <w:pPr>
        <w:pStyle w:val="NormalHanging12a"/>
      </w:pPr>
      <w:r w:rsidRPr="002A5E16">
        <w:t>–</w:t>
      </w:r>
      <w:r w:rsidRPr="002A5E16">
        <w:tab/>
        <w:t>med beaktande av Europaparlamentets och rådets förordning (EU) 2021/691 av den 28 april 2021 om Europeiska fonden för justering för globaliseringseffekter för uppsagda arbetstagare (EGF) och om upphävande av förordning (EU) nr 1309/2013</w:t>
      </w:r>
      <w:r>
        <w:rPr>
          <w:vertAlign w:val="superscript"/>
        </w:rPr>
        <w:footnoteReference w:id="2"/>
      </w:r>
      <w:r w:rsidRPr="002A5E16">
        <w:t xml:space="preserve"> (EGF-förordningen), ändrad genom förordning (EU) 2026/1139</w:t>
      </w:r>
      <w:r>
        <w:rPr>
          <w:vertAlign w:val="superscript"/>
        </w:rPr>
        <w:footnoteReference w:id="3"/>
      </w:r>
      <w:r w:rsidRPr="002A5E16">
        <w:t xml:space="preserve">, </w:t>
      </w:r>
    </w:p>
    <w:p w:rsidR="00DC20C0" w:rsidRPr="002A5E16" w:rsidP="00DC20C0" w14:paraId="685EE702" w14:textId="77777777">
      <w:pPr>
        <w:pStyle w:val="NormalHanging12a"/>
        <w:rPr>
          <w:noProof/>
        </w:rPr>
      </w:pPr>
      <w:r w:rsidRPr="002A5E16">
        <w:t>–</w:t>
      </w:r>
      <w:r w:rsidRPr="002A5E16">
        <w:tab/>
        <w:t>med beaktande av rådets förordning (EU, Euratom) 2020/2093 av den 17 december 2020 om den fleråriga budgetramen för 2021–2027</w:t>
      </w:r>
      <w:r>
        <w:rPr>
          <w:noProof/>
          <w:vertAlign w:val="superscript"/>
        </w:rPr>
        <w:footnoteReference w:id="4"/>
      </w:r>
      <w:r w:rsidRPr="002A5E16">
        <w:t xml:space="preserve"> ändrad genom förordning (EU, Euratom) 2024/765</w:t>
      </w:r>
      <w:r>
        <w:rPr>
          <w:noProof/>
          <w:vertAlign w:val="superscript"/>
        </w:rPr>
        <w:footnoteReference w:id="5"/>
      </w:r>
      <w:r w:rsidRPr="002A5E16">
        <w:t>, särskilt artikel 8,</w:t>
      </w:r>
    </w:p>
    <w:p w:rsidR="00DC20C0" w:rsidRPr="002A5E16" w:rsidP="00DC20C0" w14:paraId="1BD12367" w14:textId="77777777">
      <w:pPr>
        <w:pStyle w:val="NormalHanging12a"/>
        <w:rPr>
          <w:noProof/>
        </w:rPr>
      </w:pPr>
      <w:r w:rsidRPr="002A5E16">
        <w:t>–</w:t>
      </w:r>
      <w:r w:rsidRPr="002A5E16">
        <w:tab/>
        <w:t xml:space="preserve">med beaktande av det interinstitutionella avtalet av den 16 december 2020 mellan Europaparlamentet, Europeiska unionens råd och Europeiska kommissionen om budgetdisciplin, samarbete i budgetfrågor och sund ekonomisk förvaltning samt om nya </w:t>
      </w:r>
      <w:r w:rsidRPr="002A5E16">
        <w:t>egna medel, inbegripet en färdplan för införandet av nya egna medel</w:t>
      </w:r>
      <w:r>
        <w:rPr>
          <w:rStyle w:val="FootnoteReference"/>
          <w:noProof/>
        </w:rPr>
        <w:footnoteReference w:id="6"/>
      </w:r>
      <w:r w:rsidRPr="002A5E16">
        <w:t>, särskilt punkt 9,</w:t>
      </w:r>
    </w:p>
    <w:p w:rsidR="00DC20C0" w:rsidRPr="002A5E16" w:rsidP="00DC20C0" w14:paraId="4147F192" w14:textId="77777777">
      <w:pPr>
        <w:pStyle w:val="NormalHanging12a"/>
      </w:pPr>
      <w:r w:rsidRPr="002A5E16">
        <w:t>–</w:t>
      </w:r>
      <w:r w:rsidRPr="002A5E16">
        <w:tab/>
        <w:t>med beaktande av den europeiska pelaren för sociala rättigheter,</w:t>
      </w:r>
    </w:p>
    <w:p w:rsidR="00DC20C0" w:rsidRPr="002A5E16" w:rsidP="00DC20C0" w14:paraId="000B4F00" w14:textId="77777777">
      <w:pPr>
        <w:pStyle w:val="NormalHanging12a"/>
      </w:pPr>
      <w:r w:rsidRPr="002A5E16">
        <w:t>–</w:t>
      </w:r>
      <w:r w:rsidRPr="002A5E16">
        <w:tab/>
        <w:t>med beaktande av skrivelsen från utskottet för sysselsättning och sociala frågor,</w:t>
      </w:r>
    </w:p>
    <w:p w:rsidR="00DC20C0" w:rsidRPr="002A5E16" w:rsidP="00DC20C0" w14:paraId="4CE26820" w14:textId="77777777">
      <w:pPr>
        <w:pStyle w:val="NormalHanging12a"/>
      </w:pPr>
      <w:r w:rsidRPr="002A5E16">
        <w:t>–</w:t>
      </w:r>
      <w:r w:rsidRPr="002A5E16">
        <w:tab/>
        <w:t>med beaktande av betänkandet från budgetutskottet (A10-0149/2026), och av följande skäl:</w:t>
      </w:r>
    </w:p>
    <w:p w:rsidR="00DC20C0" w:rsidRPr="002A5E16" w:rsidP="00DC20C0" w14:paraId="24C16526" w14:textId="77777777">
      <w:pPr>
        <w:pStyle w:val="NormalHanging12a"/>
      </w:pPr>
      <w:r w:rsidRPr="002A5E16">
        <w:t>A.</w:t>
      </w:r>
      <w:r w:rsidRPr="002A5E16">
        <w:tab/>
        <w:t>Unionen har inrättat lagstiftnings- och budgetinstrument för att ge kompletterande stöd till arbetstagare som drabbas av effekterna av genomgripande strukturförändringar inom världshandeln och för att underlätta deras återinträde på arbetsmarknaden. Detta stöd ges i form av ekonomiskt stöd till arbetstagare. Att upprätthålla den europeiska industrins konkurrenskraft och stärka investeringarna i innovation och kompetens är avgörande för att förhindra ytterligare industriell tillbakagång och förlust av arbetstillfällen i hela unionen.</w:t>
      </w:r>
    </w:p>
    <w:p w:rsidR="00DC20C0" w:rsidRPr="002A5E16" w:rsidP="00DC20C0" w14:paraId="2A523BE5" w14:textId="77777777">
      <w:pPr>
        <w:pStyle w:val="NormalHanging12a"/>
      </w:pPr>
      <w:r w:rsidRPr="002A5E16">
        <w:t>B.</w:t>
      </w:r>
      <w:r w:rsidRPr="002A5E16">
        <w:tab/>
        <w:t>Belgien lämnade in ansökan EGF/2025/009 BE/</w:t>
      </w:r>
      <w:r w:rsidRPr="002A5E16">
        <w:t>Soliver</w:t>
      </w:r>
      <w:r w:rsidRPr="002A5E16">
        <w:t xml:space="preserve"> om ekonomiskt bidrag från EGF till följd av 803 uppsägningar</w:t>
      </w:r>
      <w:r>
        <w:rPr>
          <w:vertAlign w:val="superscript"/>
        </w:rPr>
        <w:footnoteReference w:id="7"/>
      </w:r>
      <w:r w:rsidRPr="002A5E16">
        <w:t xml:space="preserve"> vid </w:t>
      </w:r>
      <w:r w:rsidRPr="002A5E16">
        <w:t>Soliver</w:t>
      </w:r>
      <w:r w:rsidRPr="002A5E16">
        <w:t xml:space="preserve"> NV (</w:t>
      </w:r>
      <w:r w:rsidRPr="002A5E16">
        <w:t>Soliver</w:t>
      </w:r>
      <w:r w:rsidRPr="002A5E16">
        <w:t xml:space="preserve">) i Belgien inom den näringsgren som i </w:t>
      </w:r>
      <w:r w:rsidRPr="002A5E16">
        <w:t>Nace</w:t>
      </w:r>
      <w:r w:rsidRPr="002A5E16">
        <w:t xml:space="preserve"> rev. 2 klassificeras som huvudgrupp 46 (Parti- och provisionshandel) i regionerna </w:t>
      </w:r>
      <w:r w:rsidRPr="002A5E16">
        <w:t>Provincie</w:t>
      </w:r>
      <w:r w:rsidRPr="002A5E16">
        <w:t xml:space="preserve"> </w:t>
      </w:r>
      <w:r w:rsidRPr="002A5E16">
        <w:t>Oost-Vlaanderen</w:t>
      </w:r>
      <w:r w:rsidRPr="002A5E16">
        <w:t xml:space="preserve"> (BE23) och </w:t>
      </w:r>
      <w:r w:rsidRPr="002A5E16">
        <w:t>Provincie</w:t>
      </w:r>
      <w:r w:rsidRPr="002A5E16">
        <w:t xml:space="preserve"> West-</w:t>
      </w:r>
      <w:r w:rsidRPr="002A5E16">
        <w:t>Vlaanderen</w:t>
      </w:r>
      <w:r w:rsidRPr="002A5E16">
        <w:t xml:space="preserve"> (BE25), under referensperioden 1 juli 2025–1 november 2025.</w:t>
      </w:r>
    </w:p>
    <w:p w:rsidR="00DC20C0" w:rsidRPr="002A5E16" w:rsidP="00DC20C0" w14:paraId="2FD098E8" w14:textId="77777777">
      <w:pPr>
        <w:pStyle w:val="NormalHanging12a"/>
      </w:pPr>
      <w:r w:rsidRPr="002A5E16">
        <w:t>C.</w:t>
      </w:r>
      <w:r w:rsidRPr="002A5E16">
        <w:tab/>
        <w:t>Ansökan baseras på insatskriteriet i artikel 4.2 a i EGF-förordningen.</w:t>
      </w:r>
    </w:p>
    <w:p w:rsidR="00DC20C0" w:rsidRPr="002A5E16" w:rsidP="00DC20C0" w14:paraId="7086D884" w14:textId="77777777">
      <w:pPr>
        <w:pStyle w:val="NormalHanging12a"/>
        <w:rPr>
          <w:noProof/>
        </w:rPr>
      </w:pPr>
      <w:r w:rsidRPr="002A5E16">
        <w:t>D.</w:t>
      </w:r>
      <w:r w:rsidRPr="002A5E16">
        <w:tab/>
      </w:r>
      <w:r w:rsidRPr="002A5E16">
        <w:t>Soliver</w:t>
      </w:r>
      <w:r w:rsidRPr="002A5E16">
        <w:t xml:space="preserve"> ansökte om konkurs i december 2024. I Belgien har konkurserna ökat sedan 2022 och arbetslösheten drabbar flera regioner i Flandern hårt.</w:t>
      </w:r>
    </w:p>
    <w:p w:rsidR="00DC20C0" w:rsidRPr="002A5E16" w:rsidP="00DC20C0" w14:paraId="002D30CD" w14:textId="77777777">
      <w:pPr>
        <w:pStyle w:val="NormalHanging12a"/>
        <w:rPr>
          <w:bCs/>
          <w:iCs/>
          <w:noProof/>
        </w:rPr>
      </w:pPr>
      <w:r w:rsidRPr="002A5E16">
        <w:t>E.</w:t>
      </w:r>
      <w:r w:rsidRPr="002A5E16">
        <w:tab/>
        <w:t xml:space="preserve">Bland de arbetstagare som påverkas av nedläggningen av </w:t>
      </w:r>
      <w:r w:rsidRPr="002A5E16">
        <w:t>Soliver</w:t>
      </w:r>
      <w:r w:rsidRPr="002A5E16">
        <w:t xml:space="preserve"> finns en betydande andel äldre arbetstagare, som möter särskilda och sammansatta hinder för återinträde på arbetsmarknaden, bland annat åldersdiskriminering, kompetensglapp och begränsad tillgång till omskolningsmöjligheter. Riktade åtgärder måste vidtas för att ta itu med äldre arbetstagares särskilda behov, inbegripet åldersanpassade utbildningsformat, mentorskap och samarbete med arbetsgivare som åtar sig att rekrytera personer från olika åldersgrupper.</w:t>
      </w:r>
    </w:p>
    <w:p w:rsidR="00DC20C0" w:rsidRPr="002A5E16" w:rsidP="00DC20C0" w14:paraId="60B5CADD" w14:textId="77777777">
      <w:pPr>
        <w:pStyle w:val="NormalHanging12a"/>
      </w:pPr>
      <w:r w:rsidRPr="002A5E16">
        <w:t>F.</w:t>
      </w:r>
      <w:r w:rsidRPr="002A5E16">
        <w:tab/>
        <w:t>VDAB tillhandahåller den nationella förfinansieringen och medfinansieringen av åtgärderna.</w:t>
      </w:r>
    </w:p>
    <w:p w:rsidR="00DC20C0" w:rsidRPr="002A5E16" w:rsidP="00DC20C0" w14:paraId="39346870" w14:textId="77777777">
      <w:pPr>
        <w:pStyle w:val="NormalHanging12a"/>
      </w:pPr>
      <w:r w:rsidRPr="002A5E16">
        <w:t>G.</w:t>
      </w:r>
      <w:r w:rsidRPr="002A5E16">
        <w:tab/>
        <w:t>De krav som rör kollektiva uppsägningar i unionens lagstiftning och i den nationella lagstiftningen är uppfyllda.</w:t>
      </w:r>
    </w:p>
    <w:p w:rsidR="00DC20C0" w:rsidRPr="002A5E16" w:rsidP="00DC20C0" w14:paraId="2A9764FC" w14:textId="77777777">
      <w:pPr>
        <w:pStyle w:val="NormalHanging12a"/>
      </w:pPr>
      <w:r w:rsidRPr="002A5E16">
        <w:t>H.</w:t>
      </w:r>
      <w:r w:rsidRPr="002A5E16">
        <w:tab/>
        <w:t>Ekonomiskt stöd från EGF bör i första hand inriktas på aktiva arbetsmarknadsåtgärder och individanpassade tjänster som syftar till att varaktigt och med kvalitativa anställningsvillkor återintegrera stödmottagarna på arbetsmarknaden och samtidigt erbjuda dem kompetensutveckling för att underlätta deras återinträde på arbetsmarknaden.</w:t>
      </w:r>
    </w:p>
    <w:p w:rsidR="00DC20C0" w:rsidRPr="002A5E16" w:rsidP="00DC20C0" w14:paraId="0D09D84A" w14:textId="77777777">
      <w:pPr>
        <w:pStyle w:val="NormalHanging12a"/>
      </w:pPr>
      <w:r w:rsidRPr="002A5E16">
        <w:t>I.</w:t>
      </w:r>
      <w:r w:rsidRPr="002A5E16">
        <w:tab/>
        <w:t>EGF får inte överstiga ett årligt maximibelopp på 30 miljoner EUR (i 2018 års priser)</w:t>
      </w:r>
      <w:r>
        <w:rPr>
          <w:rStyle w:val="FootnoteReference"/>
        </w:rPr>
        <w:footnoteReference w:id="8"/>
      </w:r>
      <w:r w:rsidRPr="002A5E16">
        <w:t>.</w:t>
      </w:r>
    </w:p>
    <w:p w:rsidR="00DC20C0" w:rsidRPr="002A5E16" w:rsidP="00DC20C0" w14:paraId="4DBB3FF6" w14:textId="77777777">
      <w:pPr>
        <w:pStyle w:val="NormalHanging12a"/>
      </w:pPr>
      <w:r w:rsidRPr="002A5E16">
        <w:t>1.</w:t>
      </w:r>
      <w:r w:rsidRPr="002A5E16">
        <w:tab/>
        <w:t>Europaparlamentet delar kommissionens åsikt att villkoren i EGF-förordningen, särskilt artikel 4.2 a, är uppfyllda och att Belgien är berättigat till ekonomiskt stöd på 2 132 535 EUR enligt den förordningen, vilket utgör 85 % av de totala kostnaderna på 2 508 865 EUR, bestående av utgifter för individanpassade tjänster på 2 412 465 EUR och utgifter för förberedande åtgärder samt för förvaltning, information och marknadsföring, kontroll och rapportering på 96 400 EUR.</w:t>
      </w:r>
    </w:p>
    <w:p w:rsidR="00DC20C0" w:rsidRPr="002A5E16" w:rsidP="00DC20C0" w14:paraId="2391993C" w14:textId="77777777">
      <w:pPr>
        <w:pStyle w:val="NormalHanging12a"/>
      </w:pPr>
      <w:r w:rsidRPr="002A5E16">
        <w:t>2.</w:t>
      </w:r>
      <w:r w:rsidRPr="002A5E16">
        <w:tab/>
        <w:t>Europaparlamentet noterar att de belgiska myndigheterna lämnade in ansökan den 22 december 2025 och att kommissionen, efter att ha mottagit ytterligare uppgifter från Belgien, slutförde sin bedömning den 30 april 2026, nästan en månad före tidsfristen, och underrättade parlamentet samma dag. Parlamentet betonar vikten av att förkorta tiden mellan inlämnandet av en ansökan om stöd från EGF och finansieringsbeslutet, samtidigt som Europaparlamentets rättigheter i egenskap av den ena av budgetmyndighetens två parter skyddas fullt ut.</w:t>
      </w:r>
    </w:p>
    <w:p w:rsidR="00DC20C0" w:rsidRPr="002A5E16" w:rsidP="00DC20C0" w14:paraId="23B0569C" w14:textId="77777777">
      <w:pPr>
        <w:pStyle w:val="NormalHanging12a"/>
        <w:rPr>
          <w:noProof/>
        </w:rPr>
      </w:pPr>
      <w:r w:rsidRPr="002A5E16">
        <w:t>3.</w:t>
      </w:r>
      <w:r w:rsidRPr="002A5E16">
        <w:tab/>
        <w:t xml:space="preserve">Europaparlamentet noterar att ansökan gäller 803 berörda stödmottagare som blivit uppsagda av företaget </w:t>
      </w:r>
      <w:r w:rsidRPr="002A5E16">
        <w:t>Soliver</w:t>
      </w:r>
      <w:r w:rsidRPr="002A5E16">
        <w:t>.</w:t>
      </w:r>
    </w:p>
    <w:p w:rsidR="00DC20C0" w:rsidRPr="002A5E16" w:rsidP="00DC20C0" w14:paraId="3EF760E9" w14:textId="77777777">
      <w:pPr>
        <w:pStyle w:val="NormalHanging12a"/>
      </w:pPr>
      <w:r w:rsidRPr="002A5E16">
        <w:t>4.</w:t>
      </w:r>
      <w:r w:rsidRPr="002A5E16">
        <w:tab/>
        <w:t xml:space="preserve">Europaparlamentet noterar att </w:t>
      </w:r>
      <w:r w:rsidRPr="002A5E16">
        <w:t>Soliver</w:t>
      </w:r>
      <w:r w:rsidRPr="002A5E16">
        <w:t xml:space="preserve">, en tillverkare av glasprodukter för byggsektorn och fordonsindustrin, ändrade fokus till att uteslutande fokusera på högteknologiskt fordonsglas efter att ha köpts upp av </w:t>
      </w:r>
      <w:r w:rsidRPr="002A5E16">
        <w:t>American</w:t>
      </w:r>
      <w:r w:rsidRPr="002A5E16">
        <w:t xml:space="preserve"> Glass Products Holding (AGP) 2018. Parlamentet noterar att företaget började uppleva svårigheter som främst var kopplade till en nedgång i fordonsindustrin, till följd av försenad tillverkning av de bilmodeller som dess produkter var avsedda för, vilket i slutändan ledde till en kraftig minskning av lönsamheten och kulminerade i konkurs.</w:t>
      </w:r>
    </w:p>
    <w:p w:rsidR="00DC20C0" w:rsidRPr="002A5E16" w:rsidP="00DC20C0" w14:paraId="334D9400" w14:textId="77777777">
      <w:pPr>
        <w:pStyle w:val="NormalHanging12a"/>
        <w:rPr>
          <w:bCs/>
          <w:iCs/>
        </w:rPr>
      </w:pPr>
      <w:r w:rsidRPr="002A5E16">
        <w:t>5.</w:t>
      </w:r>
      <w:r w:rsidRPr="002A5E16">
        <w:tab/>
        <w:t>Europaparlamentet noterar att glasindustrin är en energiintensiv sektor som har drabbats hårt av ihållande höga energipriser, vilket avsevärt har undergrävt dess konkurrenskraft. Parlamentet betonar att uppnåendet av konkurrenskraftiga energipriser på lång sikt kräver en betydande ökning av tillförlitlig och överkomlig energiförsörjning, bland annat genom diversifiering av energikällor och försörjningsvägar, utveckling av inhemsk energiproduktion och ett fullständigt fullbordande av energiunionen.</w:t>
      </w:r>
    </w:p>
    <w:p w:rsidR="00DC20C0" w:rsidRPr="002A5E16" w:rsidP="00DC20C0" w14:paraId="4233972C" w14:textId="77777777">
      <w:pPr>
        <w:pStyle w:val="NormalHanging12a"/>
        <w:rPr>
          <w:bCs/>
          <w:iCs/>
        </w:rPr>
      </w:pPr>
      <w:r w:rsidRPr="002A5E16">
        <w:t>6.</w:t>
      </w:r>
      <w:r w:rsidRPr="002A5E16">
        <w:tab/>
        <w:t>Europaparlamentet noterar att även om arbetstagare med kunskaper inom teknik – eller de som är villiga att skola om sig – har de mest gynnsamma sysselsättningsutsikterna beror detta på att det råder brist på arbetstagare med tekniskt kunnande till följd av att få ungdomar deltar i yrkesutbildning och att arbetskraften åldras. Parlamentet betonar att återintegrering av uppsagda arbetstagare och säkerställande av lika tillgång till utbildningsmöjligheter av hög kvalitet är avgörande för en framtidssäkrad europeisk ekonomi med en stark industriell bas. Parlamentet understryker vikten av att stärka unionens industriella konkurrenskraft i detta sammanhang.</w:t>
      </w:r>
    </w:p>
    <w:p w:rsidR="00DC20C0" w:rsidRPr="002A5E16" w:rsidP="00DC20C0" w14:paraId="503B3E49" w14:textId="77777777">
      <w:pPr>
        <w:pStyle w:val="NormalHanging12a"/>
        <w:rPr>
          <w:noProof/>
        </w:rPr>
      </w:pPr>
      <w:r w:rsidRPr="002A5E16">
        <w:t>7.</w:t>
      </w:r>
      <w:r w:rsidRPr="002A5E16">
        <w:tab/>
        <w:t xml:space="preserve">Europaparlamentet beklagar att ökningen av konkurser under de senaste fem åren har haft en negativ inverkan på arbetslösheten i vissa regioner i Belgien, särskilt i regionen Flandern. Parlamentet betonar att äldre uppsagda arbetstagare i Flandern möter större hinder för återinträde på arbetsmarknaden. Parlamentet uppmanar de belgiska myndigheterna att tillhandahålla stöd som är skräddarsytt för att hjälpa arbetstagarna att utveckla nödvändiga färdigheter för att hitta nya jobb av hög kvalitet, samtidigt som </w:t>
      </w:r>
      <w:r w:rsidRPr="002A5E16">
        <w:t>åtgärder vidtas för att minska konkurserna och ta itu med de sociala skillnader som leder till utestängning av arbetskraft.</w:t>
      </w:r>
    </w:p>
    <w:p w:rsidR="00DC20C0" w:rsidRPr="002A5E16" w:rsidP="00DC20C0" w14:paraId="0BD1656B" w14:textId="77777777">
      <w:pPr>
        <w:pStyle w:val="NormalHanging12a"/>
      </w:pPr>
      <w:r w:rsidRPr="002A5E16">
        <w:t>8.</w:t>
      </w:r>
      <w:r w:rsidRPr="002A5E16">
        <w:tab/>
        <w:t>Europaparlamentet påminner om att de individanpassade tjänster som ska tillhandahållas arbetstagarna i samförstånd med experter och arbetsmarknadens parter består av följande åtgärder: en arbetsgrupp med erfarna konsulter och kontoförvaltare som tillhandahåller individanpassade rådgivningstjänster, omställningstjänster som ger individuell vägledning, stöd med att hitta arbete, stärkt stöd i arbetssökandet, utbildning och omskolning, inbegripet arbetsplatsförlagd utbildning, deltagande i jobbmässor. Parlamentet betonar vikten av att främja framtidsorienterade arbetstillfällen av hög kvalitet som stärker konkurrenskraften och stöder den digitala omställningen.</w:t>
      </w:r>
    </w:p>
    <w:p w:rsidR="00DC20C0" w:rsidRPr="002A5E16" w:rsidP="00DC20C0" w14:paraId="7B2C66C0" w14:textId="77777777">
      <w:pPr>
        <w:pStyle w:val="NormalHanging12a"/>
      </w:pPr>
      <w:r w:rsidRPr="002A5E16">
        <w:t>9.</w:t>
      </w:r>
      <w:r w:rsidRPr="002A5E16">
        <w:tab/>
        <w:t>Europaparlamentet påminner om att EGF är ett instrument för solidaritet och rättvis omställning, och även om EGF ger stöd efter förlust av arbetstillfällen kan den inte ersätta en proaktiv industripolitik. Parlamentet anser att utnyttjandet av EGF måste ingå i en bredare politisk insats på alla politiska nivåer för att säkerställa att de berörda arbetstagarna hittar lämpliga möjligheter i linje med sina kvalifikationer och färdigheter. Parlamentet betonar att unionens främsta uppgift måste vara att förhindra sådana nedläggningar genom att skapa förutsättningar för att se till att industriproduktionen förblir konkurrenskraftig och de sociala trygghetssystemen ekonomiskt hållbara, samtidigt som man investerar i kompetens för både högkvalificerade arbetstagare och industriarbetare. Parlamentet understryker behovet av att tillhandahålla särskilt stöd som är anpassat till arbetstagarnas profiler, samtidigt som åtgärder vidtas för att minska konkurser och vidta åtgärder mot sociala skillnader som leder till utestängning av arbetskraft. Parlamentet understryker att en minskning av onödiga regelbördor och administrativa bördor är avgörande för att stödja industrins konkurrenskraft, locka till sig investeringar och bevara arbetstillfällen av hög kvalitet i unionen.</w:t>
      </w:r>
    </w:p>
    <w:p w:rsidR="00DC20C0" w:rsidRPr="002A5E16" w:rsidP="00DC20C0" w14:paraId="716ECC62" w14:textId="77777777">
      <w:pPr>
        <w:pStyle w:val="NormalHanging12a"/>
        <w:rPr>
          <w:bCs/>
          <w:iCs/>
        </w:rPr>
      </w:pPr>
      <w:r w:rsidRPr="002A5E16">
        <w:t>10.</w:t>
      </w:r>
      <w:r w:rsidRPr="002A5E16">
        <w:tab/>
        <w:t>Europaparlamentet betonar att de belgiska myndigheterna ska säkerställa unionsfinansieringens synlighet och lyfta fram dess mervärde genom att tillhandahålla effektiv och riktad information till stödmottagare, regionala och lokala myndigheter, arbetsmarknadens parter och den bredare allmänheten.</w:t>
      </w:r>
    </w:p>
    <w:p w:rsidR="00DC20C0" w:rsidRPr="002A5E16" w:rsidP="00DC20C0" w14:paraId="42A3B686" w14:textId="77777777">
      <w:pPr>
        <w:pStyle w:val="NormalHanging12a"/>
      </w:pPr>
      <w:r w:rsidRPr="002A5E16">
        <w:t>11.</w:t>
      </w:r>
      <w:r w:rsidRPr="002A5E16">
        <w:tab/>
        <w:t>Europaparlamentet uppmanar kommissionen att säkerställa att instrumentet är lika synligt i alla medlemsstater och att främja dess mervärde genom att sprida riktad information till nationella myndigheter, som ytterligare bör vidarebefordra sådan information till företag som drabbats av uppsägningar, regionala och lokala myndigheter, arbetsmarknadens parter och den bredare allmänheten.</w:t>
      </w:r>
    </w:p>
    <w:p w:rsidR="00DC20C0" w:rsidRPr="002A5E16" w:rsidP="00DC20C0" w14:paraId="1D9E1450" w14:textId="77777777">
      <w:pPr>
        <w:pStyle w:val="NormalHanging12a"/>
        <w:rPr>
          <w:bCs/>
          <w:iCs/>
        </w:rPr>
      </w:pPr>
      <w:r w:rsidRPr="002A5E16">
        <w:t>12.</w:t>
      </w:r>
      <w:r w:rsidRPr="002A5E16">
        <w:tab/>
        <w:t xml:space="preserve">Europaparlamentet efterlyser en grundlig slutlig utvärdering tillsammans med arbetsmarknadens parter av de åtgärder som genomförts, inbegripet tydlig och transparent information om hur medlen har använts, återintegreringen av arbetstagare på arbetsmarknaden och huruvida </w:t>
      </w:r>
      <w:r w:rsidRPr="002A5E16">
        <w:t>EGF:s</w:t>
      </w:r>
      <w:r w:rsidRPr="002A5E16">
        <w:t xml:space="preserve"> mål har uppnåtts. Parlamentet betonar i detta sammanhang vikten av regelbunden övervakning av de åtgärder som finansieras av EGF för att bedöma deras effektivitet.</w:t>
      </w:r>
    </w:p>
    <w:p w:rsidR="00DC20C0" w:rsidRPr="002A5E16" w:rsidP="00DC20C0" w14:paraId="547E0E8A" w14:textId="77777777">
      <w:pPr>
        <w:pStyle w:val="NormalHanging12a"/>
      </w:pPr>
      <w:r w:rsidRPr="002A5E16">
        <w:t>13.</w:t>
      </w:r>
      <w:r w:rsidRPr="002A5E16">
        <w:tab/>
        <w:t>Europarlamentet noterar att Belgien började tillhandahålla individanpassade tjänster till de berörda stödmottagarna och ådrog sig administrativa utgifter för genomförandet av fonden den 11 juni 2025, och att perioden för berättigande till ekonomiskt bidrag från EGF därför kommer att löpa från och med detta datum till och med 24 månader respektive 31 månader efter den dag då finansieringsbeslutet träder i kraft.</w:t>
      </w:r>
    </w:p>
    <w:p w:rsidR="00DC20C0" w:rsidRPr="002A5E16" w:rsidP="00DC20C0" w14:paraId="030096EF" w14:textId="77777777">
      <w:pPr>
        <w:pStyle w:val="NormalHanging12a"/>
      </w:pPr>
      <w:r w:rsidRPr="002A5E16">
        <w:t>14.</w:t>
      </w:r>
      <w:r w:rsidRPr="002A5E16">
        <w:tab/>
        <w:t>Europaparlamentet noterar att de belgiska myndigheterna har bekräftat att principerna om likabehandling och icke-diskriminering kommer att respekteras när det gäller tillgången till de föreslagna åtgärderna och deras genomförande och att dubbelfinansiering kommer att förhindras.</w:t>
      </w:r>
    </w:p>
    <w:p w:rsidR="00DC20C0" w:rsidRPr="002A5E16" w:rsidP="00DC20C0" w14:paraId="48AAF749" w14:textId="77777777">
      <w:pPr>
        <w:pStyle w:val="NormalHanging12a"/>
      </w:pPr>
      <w:r w:rsidRPr="002A5E16">
        <w:t>15.</w:t>
      </w:r>
      <w:r w:rsidRPr="002A5E16">
        <w:tab/>
        <w:t>Europaparlamentet upprepar att bidrag från EGF inte får ersätta åtgärder som enligt nationell rätt eller kollektivavtal åligger offentliga myndigheter eller företag. Parlamentet påminner om att EGF är en begränsad, riktad och kompletterande mekanism.</w:t>
      </w:r>
    </w:p>
    <w:p w:rsidR="00DC20C0" w:rsidRPr="002A5E16" w:rsidP="00DC20C0" w14:paraId="61DD88A8" w14:textId="77777777">
      <w:pPr>
        <w:pStyle w:val="NormalHanging12a"/>
      </w:pPr>
      <w:r w:rsidRPr="002A5E16">
        <w:t>16.</w:t>
      </w:r>
      <w:r w:rsidRPr="002A5E16">
        <w:tab/>
        <w:t>Europaparlamentet godkänner det bifogade beslutet.</w:t>
      </w:r>
    </w:p>
    <w:p w:rsidR="00DC20C0" w:rsidRPr="002A5E16" w:rsidP="00DC20C0" w14:paraId="0AD07D69" w14:textId="77777777">
      <w:pPr>
        <w:pStyle w:val="NormalHanging12a"/>
      </w:pPr>
      <w:r w:rsidRPr="002A5E16">
        <w:t>17.</w:t>
      </w:r>
      <w:r w:rsidRPr="002A5E16">
        <w:tab/>
        <w:t xml:space="preserve">Europaparlamentet uppdrar åt talmannen att tillsammans med rådets ordförande underteckna beslutet och se till att det offentliggörs i </w:t>
      </w:r>
      <w:r w:rsidRPr="002A5E16">
        <w:rPr>
          <w:i/>
          <w:iCs/>
        </w:rPr>
        <w:t>Europeiska unionens officiella tidning</w:t>
      </w:r>
      <w:r w:rsidRPr="002A5E16">
        <w:t>.</w:t>
      </w:r>
    </w:p>
    <w:p w:rsidR="00DC20C0" w:rsidRPr="002A5E16" w:rsidP="00DC20C0" w14:paraId="7B67D997" w14:textId="77777777">
      <w:pPr>
        <w:pStyle w:val="NormalHanging12a"/>
      </w:pPr>
      <w:r w:rsidRPr="002A5E16">
        <w:t>18.</w:t>
      </w:r>
      <w:r w:rsidRPr="002A5E16">
        <w:tab/>
        <w:t>Europaparlamentet uppdrar åt talmannen att översända denna resolution med bilaga till rådet och kommissionen.</w:t>
      </w:r>
    </w:p>
    <w:p w:rsidR="00DC20C0" w:rsidRPr="002A5E16" w:rsidP="00DC20C0" w14:paraId="5A137BC0" w14:textId="77777777">
      <w:pPr>
        <w:pStyle w:val="NormalHanging12a"/>
      </w:pPr>
    </w:p>
    <w:p w:rsidR="00DC20C0" w:rsidRPr="002A5E16" w:rsidP="00DC20C0" w14:paraId="387F655E" w14:textId="77777777">
      <w:pPr>
        <w:rPr>
          <w:noProof/>
        </w:rPr>
      </w:pPr>
    </w:p>
    <w:p w:rsidR="00DC20C0" w:rsidRPr="002A5E16" w:rsidP="00DC20C0" w14:paraId="0A60A137" w14:textId="77777777">
      <w:pPr>
        <w:pStyle w:val="PageHeading"/>
        <w:rPr>
          <w:noProof/>
        </w:rPr>
        <w:sectPr w:rsidSect="002A5E16">
          <w:footerReference w:type="even" r:id="rId7"/>
          <w:footerReference w:type="first" r:id="rId8"/>
          <w:footnotePr>
            <w:numRestart w:val="eachSect"/>
          </w:footnotePr>
          <w:endnotePr>
            <w:numFmt w:val="decimal"/>
          </w:endnotePr>
          <w:pgSz w:w="11906" w:h="16838" w:code="9"/>
          <w:pgMar w:top="1134" w:right="1418" w:bottom="1418" w:left="1418" w:header="1134" w:footer="567" w:gutter="0"/>
          <w:cols w:space="720"/>
          <w:noEndnote/>
          <w:docGrid w:linePitch="326"/>
        </w:sectPr>
      </w:pPr>
    </w:p>
    <w:p w:rsidR="00755A3C" w:rsidRPr="00755A3C" w:rsidP="00DC20C0" w14:paraId="61D8646E" w14:textId="77777777">
      <w:pPr>
        <w:pStyle w:val="PageHeading"/>
        <w:rPr>
          <w:rFonts w:ascii="Times New Roman" w:hAnsi="Times New Roman" w:cs="Times New Roman"/>
        </w:rPr>
      </w:pPr>
      <w:bookmarkStart w:id="7" w:name="_Toc231460389"/>
      <w:bookmarkStart w:id="8" w:name="_Toc232154747"/>
      <w:r w:rsidRPr="00755A3C">
        <w:rPr>
          <w:rFonts w:ascii="Times New Roman" w:hAnsi="Times New Roman" w:cs="Times New Roman"/>
        </w:rPr>
        <w:t>BILAGA</w:t>
      </w:r>
    </w:p>
    <w:p w:rsidR="00DC20C0" w:rsidRPr="00755A3C" w:rsidP="00DC20C0" w14:paraId="38157B32" w14:textId="365B2648">
      <w:pPr>
        <w:pStyle w:val="PageHeading"/>
        <w:rPr>
          <w:rFonts w:ascii="Times New Roman" w:hAnsi="Times New Roman" w:cs="Times New Roman"/>
          <w:noProof/>
        </w:rPr>
      </w:pPr>
      <w:r w:rsidRPr="00755A3C">
        <w:rPr>
          <w:rFonts w:ascii="Times New Roman" w:hAnsi="Times New Roman" w:cs="Times New Roman"/>
        </w:rPr>
        <w:t>EUROPAPARLAMENTETS OCH RÅDETS BESLUT</w:t>
      </w:r>
      <w:bookmarkEnd w:id="7"/>
      <w:bookmarkEnd w:id="8"/>
    </w:p>
    <w:p w:rsidR="00DC20C0" w:rsidP="00755A3C" w14:paraId="2B23FA31" w14:textId="77777777">
      <w:pPr>
        <w:pStyle w:val="Titreobjet"/>
      </w:pPr>
      <w:r w:rsidRPr="002A5E16">
        <w:t>om utnyttjande av Europeiska fonden för justering för globaliseringseffekter för uppsagda arbetstagare efter en ansökan från Belgien – EGF/2025/009 BE/</w:t>
      </w:r>
      <w:r w:rsidRPr="002A5E16">
        <w:t>Soliver</w:t>
      </w:r>
    </w:p>
    <w:p w:rsidR="00755A3C" w:rsidRPr="00755A3C" w:rsidP="00755A3C" w14:paraId="74F2E1BF" w14:textId="27919F21">
      <w:pPr>
        <w:widowControl/>
        <w:jc w:val="both"/>
        <w:rPr>
          <w:rFonts w:eastAsia="Calibri"/>
          <w:i/>
          <w:szCs w:val="24"/>
          <w:lang w:eastAsia="en-US"/>
        </w:rPr>
      </w:pPr>
      <w:r w:rsidRPr="00755A3C">
        <w:rPr>
          <w:rFonts w:eastAsia="Calibri"/>
          <w:i/>
          <w:szCs w:val="24"/>
          <w:lang w:eastAsia="en-US"/>
        </w:rPr>
        <w:t>(Texten till denna bilaga återges inte här eftersom den motsvaras av den slutliga rättsakten, beslut</w:t>
      </w:r>
      <w:r>
        <w:rPr>
          <w:rFonts w:eastAsia="Calibri"/>
          <w:i/>
          <w:szCs w:val="24"/>
          <w:lang w:eastAsia="en-US"/>
        </w:rPr>
        <w:t xml:space="preserve"> </w:t>
      </w:r>
      <w:r w:rsidRPr="00755A3C">
        <w:rPr>
          <w:rFonts w:eastAsia="Calibri"/>
          <w:i/>
          <w:szCs w:val="24"/>
          <w:lang w:eastAsia="en-US"/>
        </w:rPr>
        <w:t xml:space="preserve">(EU) </w:t>
      </w:r>
      <w:r>
        <w:rPr>
          <w:rFonts w:eastAsia="Calibri"/>
          <w:i/>
          <w:szCs w:val="24"/>
          <w:lang w:eastAsia="en-US"/>
        </w:rPr>
        <w:t>2026</w:t>
      </w:r>
      <w:r w:rsidRPr="00755A3C">
        <w:rPr>
          <w:rFonts w:eastAsia="Calibri"/>
          <w:i/>
          <w:szCs w:val="24"/>
          <w:lang w:eastAsia="en-US"/>
        </w:rPr>
        <w:t>/</w:t>
      </w:r>
      <w:r>
        <w:rPr>
          <w:rFonts w:eastAsia="Calibri"/>
          <w:i/>
          <w:szCs w:val="24"/>
          <w:lang w:eastAsia="en-US"/>
        </w:rPr>
        <w:t>1543</w:t>
      </w:r>
      <w:r w:rsidRPr="00755A3C">
        <w:rPr>
          <w:rFonts w:eastAsia="Calibri"/>
          <w:i/>
          <w:szCs w:val="24"/>
          <w:lang w:eastAsia="en-US"/>
        </w:rPr>
        <w:t>.)</w:t>
      </w:r>
    </w:p>
    <w:p w:rsidR="00755A3C" w:rsidRPr="00755A3C" w:rsidP="00755A3C" w14:paraId="3FDACACA" w14:textId="77777777">
      <w:pPr>
        <w:rPr>
          <w:lang w:eastAsia="en-US"/>
        </w:rPr>
      </w:pPr>
    </w:p>
    <w:sectPr w:rsidSect="002A5E16">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20C0" w:rsidRPr="002A5E16" w:rsidP="00905609" w14:paraId="2702D7ED" w14:textId="77777777">
    <w:pPr>
      <w:pStyle w:val="EPFooter"/>
    </w:pPr>
    <w:r w:rsidRPr="002A5E16">
      <w:t>PE</w:t>
    </w:r>
    <w:r w:rsidRPr="002A5E16">
      <w:rPr>
        <w:rStyle w:val="HideTWBExt"/>
      </w:rPr>
      <w:t>&lt;</w:t>
    </w:r>
    <w:r w:rsidRPr="002A5E16">
      <w:rPr>
        <w:rStyle w:val="HideTWBExt"/>
      </w:rPr>
      <w:t>NoPE</w:t>
    </w:r>
    <w:r w:rsidRPr="002A5E16">
      <w:rPr>
        <w:rStyle w:val="HideTWBExt"/>
      </w:rPr>
      <w:t>&gt;</w:t>
    </w:r>
    <w:r w:rsidRPr="002A5E16">
      <w:t>787.923</w:t>
    </w:r>
    <w:r w:rsidRPr="002A5E16">
      <w:rPr>
        <w:rStyle w:val="HideTWBExt"/>
      </w:rPr>
      <w:t>&lt;/</w:t>
    </w:r>
    <w:r w:rsidRPr="002A5E16">
      <w:rPr>
        <w:rStyle w:val="HideTWBExt"/>
      </w:rPr>
      <w:t>NoPE</w:t>
    </w:r>
    <w:r w:rsidRPr="002A5E16">
      <w:rPr>
        <w:rStyle w:val="HideTWBExt"/>
      </w:rPr>
      <w:t>&gt;&lt;Version&gt;</w:t>
    </w:r>
    <w:r w:rsidRPr="002A5E16">
      <w:t>v02-00</w:t>
    </w:r>
    <w:r w:rsidRPr="002A5E16">
      <w:rPr>
        <w:rStyle w:val="HideTWBExt"/>
      </w:rPr>
      <w:t>&lt;/Version&gt;</w:t>
    </w:r>
    <w:r w:rsidRPr="002A5E16">
      <w:tab/>
    </w:r>
    <w:r w:rsidRPr="002A5E16">
      <w:fldChar w:fldCharType="begin"/>
    </w:r>
    <w:r w:rsidRPr="002A5E16">
      <w:instrText xml:space="preserve"> PAGE  \* MERGEFORMAT </w:instrText>
    </w:r>
    <w:r w:rsidRPr="002A5E16">
      <w:fldChar w:fldCharType="separate"/>
    </w:r>
    <w:r w:rsidRPr="002A5E16">
      <w:rPr>
        <w:noProof/>
      </w:rPr>
      <w:t>2</w:t>
    </w:r>
    <w:r w:rsidRPr="002A5E16">
      <w:fldChar w:fldCharType="end"/>
    </w:r>
    <w:r w:rsidRPr="002A5E16">
      <w:t>/</w:t>
    </w:r>
    <w:r>
      <w:fldChar w:fldCharType="begin"/>
    </w:r>
    <w:r>
      <w:instrText xml:space="preserve"> NUMPAGES  \* MERGEFORMAT </w:instrText>
    </w:r>
    <w:r>
      <w:fldChar w:fldCharType="separate"/>
    </w:r>
    <w:r w:rsidRPr="002A5E16">
      <w:rPr>
        <w:noProof/>
      </w:rPr>
      <w:t>15</w:t>
    </w:r>
    <w:r w:rsidRPr="002A5E16">
      <w:rPr>
        <w:noProof/>
      </w:rPr>
      <w:fldChar w:fldCharType="end"/>
    </w:r>
    <w:r w:rsidRPr="002A5E16">
      <w:tab/>
    </w:r>
    <w:r w:rsidRPr="002A5E16">
      <w:rPr>
        <w:rStyle w:val="HideTWBExt"/>
      </w:rPr>
      <w:t>&lt;PathFdR&gt;</w:t>
    </w:r>
    <w:r w:rsidRPr="002A5E16">
      <w:t>RR\1345097SV.docx</w:t>
    </w:r>
    <w:r w:rsidRPr="002A5E16">
      <w:rPr>
        <w:rStyle w:val="HideTWBExt"/>
      </w:rPr>
      <w:t>&lt;/</w:t>
    </w:r>
    <w:r w:rsidRPr="002A5E16">
      <w:rPr>
        <w:rStyle w:val="HideTWBExt"/>
      </w:rPr>
      <w:t>PathFdR</w:t>
    </w:r>
    <w:r w:rsidRPr="002A5E16">
      <w:rPr>
        <w:rStyle w:val="HideTWBExt"/>
      </w:rPr>
      <w:t>&gt;</w:t>
    </w:r>
  </w:p>
  <w:p w:rsidR="00DC20C0" w:rsidRPr="002A5E16" w:rsidP="00905609" w14:paraId="33226202" w14:textId="77777777">
    <w:pPr>
      <w:pStyle w:val="EPFooter2"/>
    </w:pPr>
    <w:r w:rsidRPr="002A5E16">
      <w:t>SV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C20C0" w:rsidRPr="002A5E16" w:rsidP="00905609" w14:paraId="5E59769F" w14:textId="77777777">
    <w:pPr>
      <w:pStyle w:val="EPFooter"/>
    </w:pPr>
    <w:r w:rsidRPr="002A5E16">
      <w:rPr>
        <w:rStyle w:val="HideTWBExt"/>
      </w:rPr>
      <w:t>&lt;PathFdR&gt;</w:t>
    </w:r>
    <w:r w:rsidRPr="002A5E16">
      <w:t>RR\1345097SV.docx</w:t>
    </w:r>
    <w:r w:rsidRPr="002A5E16">
      <w:rPr>
        <w:rStyle w:val="HideTWBExt"/>
      </w:rPr>
      <w:t>&lt;/</w:t>
    </w:r>
    <w:r w:rsidRPr="002A5E16">
      <w:rPr>
        <w:rStyle w:val="HideTWBExt"/>
      </w:rPr>
      <w:t>PathFdR</w:t>
    </w:r>
    <w:r w:rsidRPr="002A5E16">
      <w:rPr>
        <w:rStyle w:val="HideTWBExt"/>
      </w:rPr>
      <w:t>&gt;</w:t>
    </w:r>
    <w:r w:rsidRPr="002A5E16">
      <w:tab/>
    </w:r>
    <w:r w:rsidRPr="002A5E16">
      <w:tab/>
      <w:t>PE</w:t>
    </w:r>
    <w:r w:rsidRPr="002A5E16">
      <w:rPr>
        <w:rStyle w:val="HideTWBExt"/>
      </w:rPr>
      <w:t>&lt;</w:t>
    </w:r>
    <w:r w:rsidRPr="002A5E16">
      <w:rPr>
        <w:rStyle w:val="HideTWBExt"/>
      </w:rPr>
      <w:t>NoPE</w:t>
    </w:r>
    <w:r w:rsidRPr="002A5E16">
      <w:rPr>
        <w:rStyle w:val="HideTWBExt"/>
      </w:rPr>
      <w:t>&gt;</w:t>
    </w:r>
    <w:r w:rsidRPr="002A5E16">
      <w:t>787.923</w:t>
    </w:r>
    <w:r w:rsidRPr="002A5E16">
      <w:rPr>
        <w:rStyle w:val="HideTWBExt"/>
      </w:rPr>
      <w:t>&lt;/</w:t>
    </w:r>
    <w:r w:rsidRPr="002A5E16">
      <w:rPr>
        <w:rStyle w:val="HideTWBExt"/>
      </w:rPr>
      <w:t>NoPE</w:t>
    </w:r>
    <w:r w:rsidRPr="002A5E16">
      <w:rPr>
        <w:rStyle w:val="HideTWBExt"/>
      </w:rPr>
      <w:t>&gt;&lt;Version&gt;</w:t>
    </w:r>
    <w:r w:rsidRPr="002A5E16">
      <w:t>v02-00</w:t>
    </w:r>
    <w:r w:rsidRPr="002A5E16">
      <w:rPr>
        <w:rStyle w:val="HideTWBExt"/>
      </w:rPr>
      <w:t>&lt;/Version&gt;</w:t>
    </w:r>
  </w:p>
  <w:p w:rsidR="00DC20C0" w:rsidRPr="002A5E16" w:rsidP="00905609" w14:paraId="2928A53A" w14:textId="77777777">
    <w:pPr>
      <w:pStyle w:val="EPFooter2"/>
    </w:pPr>
    <w:r w:rsidRPr="002A5E16">
      <w:t>SV</w:t>
    </w:r>
    <w:r w:rsidRPr="002A5E16">
      <w:tab/>
    </w:r>
    <w:r w:rsidRPr="002A5E16">
      <w:rPr>
        <w:b w:val="0"/>
        <w:i/>
        <w:color w:val="C0C0C0"/>
        <w:sz w:val="22"/>
      </w:rPr>
      <w:t>Förenade i mångfalden</w:t>
    </w:r>
    <w:r w:rsidRPr="002A5E16">
      <w:tab/>
      <w:t>SV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5E16" w14:paraId="7C41D4FA" w14:textId="77777777"/>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5E16" w14:paraId="50293C60"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5E16" w14:paraId="31996CFB"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802D3C" w:rsidRPr="002A5E16" w14:paraId="01CD8F47" w14:textId="77777777">
      <w:r w:rsidRPr="002A5E16">
        <w:separator/>
      </w:r>
    </w:p>
  </w:footnote>
  <w:footnote w:type="continuationSeparator" w:id="1">
    <w:p w:rsidR="00802D3C" w:rsidRPr="002A5E16" w14:paraId="48D2BAF6" w14:textId="77777777">
      <w:r w:rsidRPr="002A5E16">
        <w:continuationSeparator/>
      </w:r>
    </w:p>
  </w:footnote>
  <w:footnote w:id="2">
    <w:p w:rsidR="00DC20C0" w:rsidRPr="007B1C91" w:rsidP="002A5E16" w14:paraId="64B0CD54" w14:textId="54EE3842">
      <w:pPr>
        <w:pStyle w:val="FootnoteText"/>
        <w:ind w:left="567" w:hanging="567"/>
        <w:rPr>
          <w:sz w:val="24"/>
          <w:lang w:val="fi-FI"/>
        </w:rPr>
      </w:pPr>
      <w:r w:rsidRPr="002A5E16">
        <w:rPr>
          <w:rStyle w:val="FootnoteReference"/>
          <w:sz w:val="24"/>
          <w:lang w:val="sv-SE"/>
        </w:rPr>
        <w:footnoteRef/>
      </w:r>
      <w:r w:rsidRPr="007B1C91" w:rsidR="002A5E16">
        <w:rPr>
          <w:sz w:val="24"/>
          <w:lang w:val="fi-FI"/>
        </w:rPr>
        <w:t xml:space="preserve"> </w:t>
      </w:r>
      <w:r w:rsidRPr="007B1C91" w:rsidR="002A5E16">
        <w:rPr>
          <w:sz w:val="24"/>
          <w:lang w:val="fi-FI"/>
        </w:rPr>
        <w:tab/>
      </w:r>
      <w:r w:rsidRPr="007B1C91">
        <w:rPr>
          <w:sz w:val="24"/>
          <w:lang w:val="fi-FI"/>
        </w:rPr>
        <w:t xml:space="preserve">EUT L 153, 3.5.2021, s. 48, ELI: </w:t>
      </w:r>
      <w:hyperlink r:id="rId1" w:history="1">
        <w:r w:rsidRPr="007B1C91">
          <w:rPr>
            <w:rStyle w:val="Hyperlink"/>
            <w:sz w:val="24"/>
            <w:lang w:val="fi-FI"/>
          </w:rPr>
          <w:t>http://data.europa.eu/eli/reg/2021/691/oj</w:t>
        </w:r>
      </w:hyperlink>
      <w:r w:rsidRPr="007B1C91">
        <w:rPr>
          <w:sz w:val="24"/>
          <w:lang w:val="fi-FI"/>
        </w:rPr>
        <w:t>.</w:t>
      </w:r>
    </w:p>
  </w:footnote>
  <w:footnote w:id="3">
    <w:p w:rsidR="00DC20C0" w:rsidRPr="007B1C91" w:rsidP="002A5E16" w14:paraId="6DC1EF7F" w14:textId="1FDBF535">
      <w:pPr>
        <w:pStyle w:val="FootnoteText"/>
        <w:ind w:left="567" w:hanging="567"/>
        <w:rPr>
          <w:sz w:val="24"/>
          <w:lang w:val="fr-BE"/>
        </w:rPr>
      </w:pPr>
      <w:r w:rsidRPr="002A5E16">
        <w:rPr>
          <w:rStyle w:val="FootnoteReference"/>
          <w:sz w:val="24"/>
          <w:lang w:val="sv-SE"/>
        </w:rPr>
        <w:footnoteRef/>
      </w:r>
      <w:r w:rsidRPr="007B1C91" w:rsidR="002A5E16">
        <w:rPr>
          <w:sz w:val="24"/>
          <w:lang w:val="fr-BE"/>
        </w:rPr>
        <w:t xml:space="preserve"> </w:t>
      </w:r>
      <w:r w:rsidRPr="007B1C91" w:rsidR="002A5E16">
        <w:rPr>
          <w:sz w:val="24"/>
          <w:lang w:val="fr-BE"/>
        </w:rPr>
        <w:tab/>
      </w:r>
      <w:r w:rsidRPr="007B1C91">
        <w:rPr>
          <w:sz w:val="24"/>
          <w:lang w:val="fr-BE"/>
        </w:rPr>
        <w:t>EUT L</w:t>
      </w:r>
      <w:r w:rsidRPr="007B1C91" w:rsidR="00801BCA">
        <w:rPr>
          <w:sz w:val="24"/>
          <w:lang w:val="fr-BE"/>
        </w:rPr>
        <w:t>,</w:t>
      </w:r>
      <w:r w:rsidRPr="007B1C91">
        <w:rPr>
          <w:sz w:val="24"/>
          <w:lang w:val="fr-BE"/>
        </w:rPr>
        <w:t xml:space="preserve"> </w:t>
      </w:r>
      <w:r w:rsidRPr="007B1C91" w:rsidR="00801BCA">
        <w:rPr>
          <w:sz w:val="24"/>
          <w:lang w:val="fr-BE"/>
        </w:rPr>
        <w:t>2026/1139, 20.5.2026</w:t>
      </w:r>
      <w:r w:rsidRPr="007B1C91">
        <w:rPr>
          <w:sz w:val="24"/>
          <w:lang w:val="fr-BE"/>
        </w:rPr>
        <w:t xml:space="preserve">, </w:t>
      </w:r>
      <w:r w:rsidRPr="007B1C91">
        <w:rPr>
          <w:sz w:val="24"/>
          <w:lang w:val="fr-BE"/>
        </w:rPr>
        <w:t>ELI:</w:t>
      </w:r>
      <w:r w:rsidRPr="007B1C91">
        <w:rPr>
          <w:sz w:val="24"/>
          <w:lang w:val="fr-BE"/>
        </w:rPr>
        <w:t> </w:t>
      </w:r>
      <w:hyperlink r:id="rId2" w:tgtFrame="_blank" w:tooltip="Ger tillgång till detta dokument via dess ELI-URI." w:history="1">
        <w:r w:rsidRPr="007B1C91">
          <w:rPr>
            <w:rStyle w:val="Hyperlink"/>
            <w:color w:val="0070C0"/>
            <w:sz w:val="24"/>
            <w:lang w:val="fr-BE"/>
          </w:rPr>
          <w:t>http://data.europa.eu/eli/reg/2026/1139/oj</w:t>
        </w:r>
      </w:hyperlink>
      <w:r w:rsidRPr="007B1C91">
        <w:rPr>
          <w:color w:val="0070C0"/>
          <w:sz w:val="24"/>
          <w:lang w:val="fr-BE"/>
        </w:rPr>
        <w:t>.</w:t>
      </w:r>
    </w:p>
  </w:footnote>
  <w:footnote w:id="4">
    <w:p w:rsidR="00DC20C0" w:rsidRPr="007B1C91" w:rsidP="002A5E16" w14:paraId="440DCF20" w14:textId="31CC4A9E">
      <w:pPr>
        <w:pStyle w:val="FootnoteText"/>
        <w:ind w:left="567" w:hanging="567"/>
        <w:rPr>
          <w:sz w:val="24"/>
          <w:lang w:val="fi-FI"/>
        </w:rPr>
      </w:pPr>
      <w:r w:rsidRPr="002A5E16">
        <w:rPr>
          <w:rStyle w:val="FootnoteReference"/>
          <w:sz w:val="24"/>
          <w:lang w:val="sv-SE"/>
        </w:rPr>
        <w:footnoteRef/>
      </w:r>
      <w:r w:rsidRPr="007B1C91" w:rsidR="002A5E16">
        <w:rPr>
          <w:sz w:val="24"/>
          <w:lang w:val="fi-FI"/>
        </w:rPr>
        <w:t xml:space="preserve"> </w:t>
      </w:r>
      <w:r w:rsidRPr="007B1C91" w:rsidR="002A5E16">
        <w:rPr>
          <w:sz w:val="24"/>
          <w:lang w:val="fi-FI"/>
        </w:rPr>
        <w:tab/>
      </w:r>
      <w:r w:rsidRPr="007B1C91">
        <w:rPr>
          <w:sz w:val="24"/>
          <w:lang w:val="fi-FI"/>
        </w:rPr>
        <w:t xml:space="preserve">EUT L 433 I, 22.12.2020, s. 11, ELI: </w:t>
      </w:r>
      <w:hyperlink r:id="rId3" w:history="1">
        <w:r w:rsidRPr="007B1C91">
          <w:rPr>
            <w:rStyle w:val="Hyperlink"/>
            <w:sz w:val="24"/>
            <w:lang w:val="fi-FI"/>
          </w:rPr>
          <w:t>http://data.europa.eu/eli/reg/2020/2093/oj</w:t>
        </w:r>
      </w:hyperlink>
      <w:r w:rsidRPr="007B1C91">
        <w:rPr>
          <w:sz w:val="24"/>
          <w:lang w:val="fi-FI"/>
        </w:rPr>
        <w:t>.</w:t>
      </w:r>
    </w:p>
  </w:footnote>
  <w:footnote w:id="5">
    <w:p w:rsidR="00DC20C0" w:rsidRPr="002A5E16" w:rsidP="002A5E16" w14:paraId="60CFDF5B" w14:textId="3A0A7A96">
      <w:pPr>
        <w:pStyle w:val="FootnoteText"/>
        <w:ind w:left="567" w:hanging="567"/>
        <w:rPr>
          <w:sz w:val="24"/>
          <w:lang w:val="sv-SE"/>
        </w:rPr>
      </w:pPr>
      <w:r w:rsidRPr="002A5E16">
        <w:rPr>
          <w:rStyle w:val="FootnoteReference"/>
          <w:sz w:val="24"/>
          <w:lang w:val="sv-SE"/>
        </w:rPr>
        <w:footnoteRef/>
      </w:r>
      <w:r w:rsidRPr="002A5E16" w:rsidR="002A5E16">
        <w:rPr>
          <w:sz w:val="24"/>
          <w:shd w:val="clear" w:color="auto" w:fill="FFFFFF"/>
          <w:lang w:val="sv-SE"/>
        </w:rPr>
        <w:t xml:space="preserve"> </w:t>
      </w:r>
      <w:r w:rsidRPr="002A5E16" w:rsidR="002A5E16">
        <w:rPr>
          <w:sz w:val="24"/>
          <w:shd w:val="clear" w:color="auto" w:fill="FFFFFF"/>
          <w:lang w:val="sv-SE"/>
        </w:rPr>
        <w:tab/>
      </w:r>
      <w:r w:rsidRPr="002A5E16">
        <w:rPr>
          <w:sz w:val="24"/>
          <w:shd w:val="clear" w:color="auto" w:fill="FFFFFF"/>
          <w:lang w:val="sv-SE"/>
        </w:rPr>
        <w:t>Rådets förordning (EU, Euratom) 2024/765 av den 29 februari 2024 om ändring av förordning (EU, Euratom) 2020/2093 om den fleråriga budgetramen 2021–2027 (EUT L</w:t>
      </w:r>
      <w:r w:rsidR="00755A3C">
        <w:rPr>
          <w:sz w:val="24"/>
          <w:shd w:val="clear" w:color="auto" w:fill="FFFFFF"/>
          <w:lang w:val="sv-SE"/>
        </w:rPr>
        <w:t>,</w:t>
      </w:r>
      <w:r w:rsidRPr="002A5E16">
        <w:rPr>
          <w:sz w:val="24"/>
          <w:shd w:val="clear" w:color="auto" w:fill="FFFFFF"/>
          <w:lang w:val="sv-SE"/>
        </w:rPr>
        <w:t> 2024/765, 29.2.2024, ELI:</w:t>
      </w:r>
      <w:r w:rsidRPr="002A5E16">
        <w:rPr>
          <w:color w:val="333333"/>
          <w:sz w:val="24"/>
          <w:shd w:val="clear" w:color="auto" w:fill="FFFFFF"/>
          <w:lang w:val="sv-SE"/>
        </w:rPr>
        <w:t xml:space="preserve"> </w:t>
      </w:r>
      <w:hyperlink r:id="rId4" w:history="1">
        <w:r w:rsidRPr="002A5E16">
          <w:rPr>
            <w:rStyle w:val="Hyperlink"/>
            <w:sz w:val="24"/>
            <w:shd w:val="clear" w:color="auto" w:fill="FFFFFF"/>
            <w:lang w:val="sv-SE"/>
          </w:rPr>
          <w:t>http://data.europa.eu/eli/reg/2024/765/oj</w:t>
        </w:r>
      </w:hyperlink>
      <w:r w:rsidRPr="002A5E16">
        <w:rPr>
          <w:i/>
          <w:color w:val="333333"/>
          <w:sz w:val="24"/>
          <w:shd w:val="clear" w:color="auto" w:fill="FFFFFF"/>
          <w:lang w:val="sv-SE"/>
        </w:rPr>
        <w:t>).</w:t>
      </w:r>
    </w:p>
  </w:footnote>
  <w:footnote w:id="6">
    <w:p w:rsidR="00DC20C0" w:rsidRPr="007B1C91" w:rsidP="002A5E16" w14:paraId="21B89302" w14:textId="37F28FC9">
      <w:pPr>
        <w:pStyle w:val="FootnoteText"/>
        <w:ind w:left="567" w:hanging="567"/>
        <w:rPr>
          <w:sz w:val="24"/>
          <w:lang w:val="fi-FI"/>
        </w:rPr>
      </w:pPr>
      <w:r w:rsidRPr="002A5E16">
        <w:rPr>
          <w:rStyle w:val="FootnoteReference"/>
          <w:sz w:val="24"/>
          <w:lang w:val="sv-SE"/>
        </w:rPr>
        <w:footnoteRef/>
      </w:r>
      <w:r w:rsidRPr="007B1C91" w:rsidR="002A5E16">
        <w:rPr>
          <w:sz w:val="24"/>
          <w:lang w:val="fi-FI"/>
        </w:rPr>
        <w:t xml:space="preserve"> </w:t>
      </w:r>
      <w:r w:rsidRPr="007B1C91" w:rsidR="002A5E16">
        <w:rPr>
          <w:sz w:val="24"/>
          <w:lang w:val="fi-FI"/>
        </w:rPr>
        <w:tab/>
      </w:r>
      <w:r w:rsidRPr="007B1C91">
        <w:rPr>
          <w:sz w:val="24"/>
          <w:lang w:val="fi-FI"/>
        </w:rPr>
        <w:t xml:space="preserve">EUT L 433 I, 22.12.2020, s. 28, ELI: </w:t>
      </w:r>
      <w:hyperlink r:id="rId5" w:history="1">
        <w:r w:rsidRPr="007B1C91">
          <w:rPr>
            <w:rStyle w:val="Hyperlink"/>
            <w:sz w:val="24"/>
            <w:lang w:val="fi-FI"/>
          </w:rPr>
          <w:t>http://data.europa.eu/eli/agree_interinstit/2020/1222/oj</w:t>
        </w:r>
      </w:hyperlink>
      <w:r w:rsidRPr="007B1C91">
        <w:rPr>
          <w:sz w:val="24"/>
          <w:lang w:val="fi-FI"/>
        </w:rPr>
        <w:t>.</w:t>
      </w:r>
    </w:p>
  </w:footnote>
  <w:footnote w:id="7">
    <w:p w:rsidR="00DC20C0" w:rsidRPr="002A5E16" w:rsidP="002A5E16" w14:paraId="40EC6B40" w14:textId="089A16E5">
      <w:pPr>
        <w:pStyle w:val="FootnoteText"/>
        <w:ind w:left="567" w:hanging="567"/>
        <w:rPr>
          <w:sz w:val="24"/>
          <w:lang w:val="sv-SE"/>
        </w:rPr>
      </w:pPr>
      <w:r w:rsidRPr="002A5E16">
        <w:rPr>
          <w:rStyle w:val="FootnoteReference"/>
          <w:sz w:val="24"/>
          <w:lang w:val="sv-SE"/>
        </w:rPr>
        <w:footnoteRef/>
      </w:r>
      <w:r w:rsidRPr="002A5E16" w:rsidR="002A5E16">
        <w:rPr>
          <w:sz w:val="24"/>
          <w:lang w:val="sv-SE"/>
        </w:rPr>
        <w:t xml:space="preserve"> </w:t>
      </w:r>
      <w:r w:rsidRPr="002A5E16" w:rsidR="002A5E16">
        <w:rPr>
          <w:sz w:val="24"/>
          <w:lang w:val="sv-SE"/>
        </w:rPr>
        <w:tab/>
      </w:r>
      <w:r w:rsidRPr="002A5E16">
        <w:rPr>
          <w:sz w:val="24"/>
          <w:lang w:val="sv-SE"/>
        </w:rPr>
        <w:t>I den mening som avses i artikel 3 i EGF-förordningen.</w:t>
      </w:r>
    </w:p>
  </w:footnote>
  <w:footnote w:id="8">
    <w:p w:rsidR="00DC20C0" w:rsidRPr="002A5E16" w:rsidP="002A5E16" w14:paraId="48DB4094" w14:textId="659B8E4E">
      <w:pPr>
        <w:pStyle w:val="FootnoteText"/>
        <w:ind w:left="567" w:hanging="567"/>
        <w:rPr>
          <w:sz w:val="24"/>
          <w:lang w:val="sv-SE"/>
        </w:rPr>
      </w:pPr>
      <w:r w:rsidRPr="002A5E16">
        <w:rPr>
          <w:rStyle w:val="FootnoteReference"/>
          <w:sz w:val="24"/>
          <w:lang w:val="sv-SE"/>
        </w:rPr>
        <w:footnoteRef/>
      </w:r>
      <w:r w:rsidRPr="002A5E16" w:rsidR="002A5E16">
        <w:rPr>
          <w:sz w:val="24"/>
          <w:lang w:val="sv-SE"/>
        </w:rPr>
        <w:t xml:space="preserve"> </w:t>
      </w:r>
      <w:r w:rsidRPr="002A5E16" w:rsidR="002A5E16">
        <w:rPr>
          <w:sz w:val="24"/>
          <w:lang w:val="sv-SE"/>
        </w:rPr>
        <w:tab/>
      </w:r>
      <w:r w:rsidRPr="002A5E16">
        <w:rPr>
          <w:sz w:val="24"/>
          <w:lang w:val="sv-SE"/>
        </w:rPr>
        <w:t>Artikel 8 i förordningen om den fleråriga budgetramen.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5E16" w14:paraId="585234F6"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5E16" w14:paraId="33A461C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2A5E16" w14:paraId="2647B32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80858983">
    <w:abstractNumId w:val="9"/>
  </w:num>
  <w:num w:numId="2" w16cid:durableId="940530282">
    <w:abstractNumId w:val="9"/>
  </w:num>
  <w:num w:numId="3" w16cid:durableId="928737570">
    <w:abstractNumId w:val="7"/>
  </w:num>
  <w:num w:numId="4" w16cid:durableId="1832863209">
    <w:abstractNumId w:val="7"/>
  </w:num>
  <w:num w:numId="5" w16cid:durableId="1783375674">
    <w:abstractNumId w:val="6"/>
  </w:num>
  <w:num w:numId="6" w16cid:durableId="1896113989">
    <w:abstractNumId w:val="6"/>
  </w:num>
  <w:num w:numId="7" w16cid:durableId="1325935931">
    <w:abstractNumId w:val="5"/>
  </w:num>
  <w:num w:numId="8" w16cid:durableId="1494252893">
    <w:abstractNumId w:val="5"/>
  </w:num>
  <w:num w:numId="9" w16cid:durableId="1091849108">
    <w:abstractNumId w:val="4"/>
  </w:num>
  <w:num w:numId="10" w16cid:durableId="332610006">
    <w:abstractNumId w:val="4"/>
  </w:num>
  <w:num w:numId="11" w16cid:durableId="184904851">
    <w:abstractNumId w:val="8"/>
  </w:num>
  <w:num w:numId="12" w16cid:durableId="797451340">
    <w:abstractNumId w:val="8"/>
  </w:num>
  <w:num w:numId="13" w16cid:durableId="648943408">
    <w:abstractNumId w:val="3"/>
  </w:num>
  <w:num w:numId="14" w16cid:durableId="505247526">
    <w:abstractNumId w:val="3"/>
  </w:num>
  <w:num w:numId="15" w16cid:durableId="725178940">
    <w:abstractNumId w:val="2"/>
  </w:num>
  <w:num w:numId="16" w16cid:durableId="976105667">
    <w:abstractNumId w:val="2"/>
  </w:num>
  <w:num w:numId="17" w16cid:durableId="1991983949">
    <w:abstractNumId w:val="1"/>
  </w:num>
  <w:num w:numId="18" w16cid:durableId="1344018683">
    <w:abstractNumId w:val="1"/>
  </w:num>
  <w:num w:numId="19" w16cid:durableId="111171184">
    <w:abstractNumId w:val="0"/>
  </w:num>
  <w:num w:numId="20" w16cid:durableId="152182455">
    <w:abstractNumId w:val="0"/>
  </w:num>
  <w:num w:numId="21" w16cid:durableId="665211350">
    <w:abstractNumId w:val="9"/>
  </w:num>
  <w:num w:numId="22" w16cid:durableId="348681842">
    <w:abstractNumId w:val="7"/>
  </w:num>
  <w:num w:numId="23" w16cid:durableId="1903175584">
    <w:abstractNumId w:val="6"/>
  </w:num>
  <w:num w:numId="24" w16cid:durableId="1304891723">
    <w:abstractNumId w:val="5"/>
  </w:num>
  <w:num w:numId="25" w16cid:durableId="2068457191">
    <w:abstractNumId w:val="4"/>
  </w:num>
  <w:num w:numId="26" w16cid:durableId="139925423">
    <w:abstractNumId w:val="8"/>
  </w:num>
  <w:num w:numId="27" w16cid:durableId="1023359657">
    <w:abstractNumId w:val="3"/>
  </w:num>
  <w:num w:numId="28" w16cid:durableId="213348633">
    <w:abstractNumId w:val="2"/>
  </w:num>
  <w:num w:numId="29" w16cid:durableId="332269178">
    <w:abstractNumId w:val="1"/>
  </w:num>
  <w:num w:numId="30" w16cid:durableId="289408998">
    <w:abstractNumId w:val="0"/>
  </w:num>
  <w:num w:numId="31" w16cid:durableId="625889386">
    <w:abstractNumId w:val="9"/>
  </w:num>
  <w:num w:numId="32" w16cid:durableId="1931817752">
    <w:abstractNumId w:val="7"/>
  </w:num>
  <w:num w:numId="33" w16cid:durableId="1105004203">
    <w:abstractNumId w:val="6"/>
  </w:num>
  <w:num w:numId="34" w16cid:durableId="1874924119">
    <w:abstractNumId w:val="5"/>
  </w:num>
  <w:num w:numId="35" w16cid:durableId="1813523160">
    <w:abstractNumId w:val="4"/>
  </w:num>
  <w:num w:numId="36" w16cid:durableId="1965886636">
    <w:abstractNumId w:val="8"/>
  </w:num>
  <w:num w:numId="37" w16cid:durableId="1148521426">
    <w:abstractNumId w:val="3"/>
  </w:num>
  <w:num w:numId="38" w16cid:durableId="884565943">
    <w:abstractNumId w:val="2"/>
  </w:num>
  <w:num w:numId="39" w16cid:durableId="1464426717">
    <w:abstractNumId w:val="1"/>
  </w:num>
  <w:num w:numId="40" w16cid:durableId="929049548">
    <w:abstractNumId w:val="0"/>
  </w:num>
  <w:num w:numId="41" w16cid:durableId="715740939">
    <w:abstractNumId w:val="10"/>
  </w:num>
  <w:num w:numId="42" w16cid:durableId="652178136">
    <w:abstractNumId w:val="10"/>
  </w:num>
  <w:num w:numId="43" w16cid:durableId="420376967">
    <w:abstractNumId w:val="10"/>
  </w:num>
  <w:num w:numId="44" w16cid:durableId="191569594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2D3C"/>
    <w:rsid w:val="00002272"/>
    <w:rsid w:val="00064002"/>
    <w:rsid w:val="000677B9"/>
    <w:rsid w:val="000831BA"/>
    <w:rsid w:val="000A42CC"/>
    <w:rsid w:val="000E7DD9"/>
    <w:rsid w:val="0010095E"/>
    <w:rsid w:val="00125B37"/>
    <w:rsid w:val="00187494"/>
    <w:rsid w:val="001F32AE"/>
    <w:rsid w:val="002767FF"/>
    <w:rsid w:val="0028128F"/>
    <w:rsid w:val="002A5E16"/>
    <w:rsid w:val="002B18FE"/>
    <w:rsid w:val="002B5493"/>
    <w:rsid w:val="002D77C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63CE"/>
    <w:rsid w:val="00560270"/>
    <w:rsid w:val="005C2568"/>
    <w:rsid w:val="005F1B17"/>
    <w:rsid w:val="006037C0"/>
    <w:rsid w:val="006631B6"/>
    <w:rsid w:val="00680577"/>
    <w:rsid w:val="006F74FA"/>
    <w:rsid w:val="00731ADD"/>
    <w:rsid w:val="00734777"/>
    <w:rsid w:val="00747932"/>
    <w:rsid w:val="00751A4A"/>
    <w:rsid w:val="00755A3C"/>
    <w:rsid w:val="00756632"/>
    <w:rsid w:val="00762C74"/>
    <w:rsid w:val="00786EC0"/>
    <w:rsid w:val="007B1C91"/>
    <w:rsid w:val="007D1690"/>
    <w:rsid w:val="007E22AD"/>
    <w:rsid w:val="00801BCA"/>
    <w:rsid w:val="00802D3C"/>
    <w:rsid w:val="00817416"/>
    <w:rsid w:val="00842779"/>
    <w:rsid w:val="00865F67"/>
    <w:rsid w:val="00881A7B"/>
    <w:rsid w:val="008840E5"/>
    <w:rsid w:val="00887B3E"/>
    <w:rsid w:val="008C2AC6"/>
    <w:rsid w:val="008D1632"/>
    <w:rsid w:val="008E060C"/>
    <w:rsid w:val="00905609"/>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03D1"/>
    <w:rsid w:val="00D52B1E"/>
    <w:rsid w:val="00D56C11"/>
    <w:rsid w:val="00D834A0"/>
    <w:rsid w:val="00D872DF"/>
    <w:rsid w:val="00D91E21"/>
    <w:rsid w:val="00DA7FCD"/>
    <w:rsid w:val="00DC20C0"/>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49/2026"/>
    <w:docVar w:name="dvlangue" w:val="SV"/>
    <w:docVar w:name="dvnumam" w:val="0"/>
    <w:docVar w:name="dvpe" w:val="787.923"/>
    <w:docVar w:name="dvrapporteur" w:val="Föredragande: "/>
    <w:docVar w:name="dvtitre" w:val="Europaparlamentets resolution av den xx xx 2026 om förslaget till Europaparlamentets och rådets beslut om utnyttjande av Europeiska fonden för justering för globaliseringseffekter för uppsagda arbetstagare efter en ansökan från Belgien – EGF/2025/009 BE/Soliver (COM(2026)0050 – C10-0111/2026 – 2026/0097(BU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1F9BCB"/>
  <w15:chartTrackingRefBased/>
  <w15:docId w15:val="{F428FEC6-6C9B-4ED3-AD8D-721EAA2E8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Footnote,Footnote Reference Number,Footnote Reference Superscript,Footnote Reference_LVL6,Footnote Reference_LVL61,Footnote Reference_LVL62,Footnote Reference_LVL63,Footnote symbol,Superscript 6 Point"/>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DC20C0"/>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link w:val="PageHeadingChar"/>
    <w:rsid w:val="00DC20C0"/>
    <w:pPr>
      <w:keepNext/>
      <w:spacing w:after="480"/>
      <w:jc w:val="center"/>
    </w:pPr>
    <w:rPr>
      <w:rFonts w:ascii="Arial" w:hAnsi="Arial" w:cs="Arial"/>
      <w:b/>
    </w:rPr>
  </w:style>
  <w:style w:type="paragraph" w:customStyle="1" w:styleId="NormalHanging12a">
    <w:name w:val="NormalHanging12a"/>
    <w:basedOn w:val="Normal"/>
    <w:link w:val="NormalHanging12aChar"/>
    <w:rsid w:val="00DC20C0"/>
    <w:pPr>
      <w:spacing w:after="240"/>
      <w:ind w:left="567" w:hanging="567"/>
    </w:pPr>
  </w:style>
  <w:style w:type="paragraph" w:styleId="Header">
    <w:name w:val="header"/>
    <w:basedOn w:val="Normal"/>
    <w:link w:val="HeaderChar"/>
    <w:rsid w:val="00DC20C0"/>
    <w:pPr>
      <w:tabs>
        <w:tab w:val="center" w:pos="4513"/>
        <w:tab w:val="right" w:pos="9026"/>
      </w:tabs>
    </w:pPr>
  </w:style>
  <w:style w:type="character" w:customStyle="1" w:styleId="HeaderChar">
    <w:name w:val="Header Char"/>
    <w:basedOn w:val="DefaultParagraphFont"/>
    <w:link w:val="Header"/>
    <w:rsid w:val="00DC20C0"/>
    <w:rPr>
      <w:sz w:val="24"/>
      <w:lang w:val="sv-SE"/>
    </w:rPr>
  </w:style>
  <w:style w:type="paragraph" w:customStyle="1" w:styleId="EPFooter">
    <w:name w:val="EPFooter"/>
    <w:basedOn w:val="Normal"/>
    <w:rsid w:val="00DC20C0"/>
    <w:pPr>
      <w:tabs>
        <w:tab w:val="center" w:pos="4535"/>
        <w:tab w:val="right" w:pos="9071"/>
      </w:tabs>
      <w:spacing w:before="240" w:after="240"/>
    </w:pPr>
    <w:rPr>
      <w:color w:val="010000"/>
      <w:sz w:val="22"/>
    </w:rPr>
  </w:style>
  <w:style w:type="paragraph" w:customStyle="1" w:styleId="EPComma">
    <w:name w:val="EPComma"/>
    <w:basedOn w:val="Normal"/>
    <w:rsid w:val="00DC20C0"/>
    <w:pPr>
      <w:spacing w:before="480" w:after="240"/>
    </w:pPr>
  </w:style>
  <w:style w:type="character" w:styleId="Hyperlink">
    <w:name w:val="Hyperlink"/>
    <w:basedOn w:val="DefaultParagraphFont"/>
    <w:uiPriority w:val="99"/>
    <w:rsid w:val="00DC20C0"/>
    <w:rPr>
      <w:color w:val="0563C1" w:themeColor="hyperlink"/>
      <w:u w:val="single"/>
    </w:rPr>
  </w:style>
  <w:style w:type="character" w:customStyle="1" w:styleId="NormalHanging12aChar">
    <w:name w:val="NormalHanging12a Char"/>
    <w:basedOn w:val="DefaultParagraphFont"/>
    <w:link w:val="NormalHanging12a"/>
    <w:locked/>
    <w:rsid w:val="00DC20C0"/>
    <w:rPr>
      <w:sz w:val="24"/>
      <w:lang w:val="sv-SE"/>
    </w:rPr>
  </w:style>
  <w:style w:type="paragraph" w:customStyle="1" w:styleId="Titreobjet">
    <w:name w:val="Titre objet"/>
    <w:basedOn w:val="Normal"/>
    <w:next w:val="Normal"/>
    <w:rsid w:val="00DC20C0"/>
    <w:pPr>
      <w:widowControl/>
      <w:spacing w:before="360" w:after="360"/>
      <w:jc w:val="center"/>
    </w:pPr>
    <w:rPr>
      <w:rFonts w:eastAsiaTheme="minorHAnsi"/>
      <w:b/>
      <w:szCs w:val="22"/>
      <w:lang w:eastAsia="en-US"/>
    </w:rPr>
  </w:style>
  <w:style w:type="paragraph" w:customStyle="1" w:styleId="Personnequisigne">
    <w:name w:val="Personne qui signe"/>
    <w:basedOn w:val="Normal"/>
    <w:next w:val="Institutionquisigne"/>
    <w:rsid w:val="00DC20C0"/>
    <w:pPr>
      <w:widowControl/>
      <w:tabs>
        <w:tab w:val="left" w:pos="4252"/>
      </w:tabs>
    </w:pPr>
    <w:rPr>
      <w:rFonts w:eastAsiaTheme="minorHAnsi"/>
      <w:i/>
      <w:szCs w:val="22"/>
      <w:lang w:eastAsia="en-US"/>
    </w:rPr>
  </w:style>
  <w:style w:type="paragraph" w:customStyle="1" w:styleId="Institutionquisigne">
    <w:name w:val="Institution qui signe"/>
    <w:basedOn w:val="Normal"/>
    <w:next w:val="Personnequisigne"/>
    <w:rsid w:val="00DC20C0"/>
    <w:pPr>
      <w:keepNext/>
      <w:widowControl/>
      <w:tabs>
        <w:tab w:val="left" w:pos="4252"/>
      </w:tabs>
      <w:spacing w:before="720"/>
      <w:jc w:val="both"/>
    </w:pPr>
    <w:rPr>
      <w:rFonts w:eastAsiaTheme="minorHAnsi"/>
      <w:i/>
      <w:szCs w:val="22"/>
      <w:lang w:eastAsia="en-US"/>
    </w:rPr>
  </w:style>
  <w:style w:type="character" w:customStyle="1" w:styleId="PageHeadingChar">
    <w:name w:val="PageHeading Char"/>
    <w:basedOn w:val="DefaultParagraphFont"/>
    <w:link w:val="PageHeading"/>
    <w:locked/>
    <w:rsid w:val="00DC20C0"/>
    <w:rPr>
      <w:rFonts w:ascii="Arial" w:hAnsi="Arial" w:cs="Arial"/>
      <w:b/>
      <w:sz w:val="24"/>
      <w:lang w:val="sv-SE"/>
    </w:rPr>
  </w:style>
  <w:style w:type="paragraph" w:styleId="Revision">
    <w:name w:val="Revision"/>
    <w:hidden/>
    <w:uiPriority w:val="99"/>
    <w:semiHidden/>
    <w:rsid w:val="00D103D1"/>
    <w:rPr>
      <w:sz w:val="24"/>
      <w:lang w:val="sv-SE"/>
    </w:rPr>
  </w:style>
  <w:style w:type="character" w:styleId="FollowedHyperlink">
    <w:name w:val="FollowedHyperlink"/>
    <w:basedOn w:val="DefaultParagraphFont"/>
    <w:rsid w:val="00801BC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2.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header" Target="header3.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21/691/oj" TargetMode="External" /><Relationship Id="rId2" Type="http://schemas.openxmlformats.org/officeDocument/2006/relationships/hyperlink" Target="http://data.europa.eu/eli/reg/2026/1139/oj" TargetMode="External" /><Relationship Id="rId3" Type="http://schemas.openxmlformats.org/officeDocument/2006/relationships/hyperlink" Target="http://data.europa.eu/eli/reg/2020/2093/oj" TargetMode="External" /><Relationship Id="rId4" Type="http://schemas.openxmlformats.org/officeDocument/2006/relationships/hyperlink" Target="http://data.europa.eu/eli/reg/2024/765/oj" TargetMode="External" /><Relationship Id="rId5" Type="http://schemas.openxmlformats.org/officeDocument/2006/relationships/hyperlink" Target="http://data.europa.eu/eli/agree_interinstit/2020/122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1617</Words>
  <Characters>10781</Characters>
  <Application>Microsoft Office Word</Application>
  <DocSecurity>0</DocSecurity>
  <Lines>89</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2026-08-31T15:03:00Z</dcterms:created>
  <dcterms:modified xsi:type="dcterms:W3CDTF">2026-08-31T15:03:00Z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P10_TA(2026)0201_</vt:lpwstr>
  </property>
  <property fmtid="{D5CDD505-2E9C-101B-9397-08002B2CF9AE}" pid="4" name="&lt;Type&gt;">
    <vt:lpwstr>RR</vt:lpwstr>
  </property>
</Properties>
</file>