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42FBCF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3067F" w:rsidP="0010095E" w14:paraId="7ABB6B5B" w14:textId="4B79E001">
            <w:pPr>
              <w:pStyle w:val="EPName"/>
            </w:pPr>
            <w:r w:rsidRPr="0033067F">
              <w:t>Европейски</w:t>
            </w:r>
            <w:r w:rsidRPr="0033067F" w:rsidR="0056427F">
              <w:t xml:space="preserve"> парламент</w:t>
            </w:r>
          </w:p>
          <w:p w:rsidR="00751A4A" w:rsidRPr="0033067F" w:rsidP="005F1B17" w14:paraId="031288B5" w14:textId="29DF116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3067F">
              <w:t>2024</w:t>
            </w:r>
            <w:r w:rsidR="00520883">
              <w:t> – </w:t>
            </w:r>
            <w:r w:rsidRPr="0033067F" w:rsidR="00817416">
              <w:t>202</w:t>
            </w:r>
            <w:r w:rsidRPr="0033067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3067F" w:rsidP="0010095E" w14:paraId="79134AF6" w14:textId="77777777">
            <w:pPr>
              <w:pStyle w:val="EPLogo"/>
            </w:pPr>
            <w:r w:rsidRPr="0033067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3067F" w:rsidP="004C5D52" w14:paraId="66709150" w14:textId="77777777">
      <w:pPr>
        <w:pStyle w:val="LineTop"/>
      </w:pPr>
    </w:p>
    <w:p w:rsidR="00680577" w:rsidRPr="0033067F" w:rsidP="00680577" w14:paraId="07839E94" w14:textId="77777777">
      <w:pPr>
        <w:pStyle w:val="EPBodyTA1"/>
      </w:pPr>
      <w:r w:rsidRPr="0033067F">
        <w:t>ПРИЕТИ ТЕКСТОВЕ</w:t>
      </w:r>
    </w:p>
    <w:p w:rsidR="00D058B8" w:rsidRPr="0033067F" w:rsidP="00D058B8" w14:paraId="5F67588C" w14:textId="77777777">
      <w:pPr>
        <w:pStyle w:val="LineBottom"/>
      </w:pPr>
    </w:p>
    <w:p w:rsidR="0056427F" w:rsidRPr="0033067F" w:rsidP="0056427F" w14:paraId="1ABCE953" w14:textId="63EBBBED">
      <w:pPr>
        <w:pStyle w:val="ATHeading1"/>
      </w:pPr>
      <w:bookmarkStart w:id="0" w:name="TANumber"/>
      <w:r w:rsidRPr="0033067F">
        <w:t>P10_TA(2026)0</w:t>
      </w:r>
      <w:r w:rsidR="00241AA4">
        <w:t>202</w:t>
      </w:r>
      <w:bookmarkEnd w:id="0"/>
    </w:p>
    <w:p w:rsidR="0056427F" w:rsidRPr="0033067F" w:rsidP="0056427F" w14:paraId="5C4FCF4C" w14:textId="77777777">
      <w:pPr>
        <w:pStyle w:val="ATHeading2"/>
      </w:pPr>
      <w:bookmarkStart w:id="1" w:name="title"/>
      <w:r w:rsidRPr="0033067F">
        <w:t>Европейски политически партии и фондации – доклад за 2026 г. относно прилагането на Регламент (ЕС, Евратом) 2025/2445 и относно финансираните дейности</w:t>
      </w:r>
      <w:bookmarkEnd w:id="1"/>
    </w:p>
    <w:p w:rsidR="0056427F" w:rsidRPr="0033067F" w:rsidP="0056427F" w14:paraId="7CD06EA6" w14:textId="77777777">
      <w:pPr>
        <w:rPr>
          <w:i/>
          <w:vanish/>
        </w:rPr>
      </w:pPr>
      <w:r>
        <w:rPr>
          <w:i/>
        </w:rPr>
        <w:fldChar w:fldCharType="begin"/>
      </w:r>
      <w:r w:rsidRPr="0033067F">
        <w:rPr>
          <w:i/>
        </w:rPr>
        <w:instrText xml:space="preserve"> TC"(</w:instrText>
      </w:r>
      <w:bookmarkStart w:id="2" w:name="DocNumber"/>
      <w:r w:rsidRPr="0033067F">
        <w:rPr>
          <w:i/>
        </w:rPr>
        <w:instrText>A10-0145/2026</w:instrText>
      </w:r>
      <w:bookmarkEnd w:id="2"/>
      <w:r w:rsidRPr="0033067F">
        <w:rPr>
          <w:i/>
        </w:rPr>
        <w:instrText xml:space="preserve"> - Докладчици: Лорант Винце, Шарл Гьоренс)"\l3 \n&gt; \* MERGEFORMAT </w:instrText>
      </w:r>
      <w:r>
        <w:rPr>
          <w:i/>
        </w:rPr>
        <w:fldChar w:fldCharType="end"/>
      </w:r>
    </w:p>
    <w:p w:rsidR="0056427F" w:rsidRPr="0033067F" w:rsidP="0056427F" w14:paraId="6331C08D" w14:textId="77777777">
      <w:pPr>
        <w:rPr>
          <w:vanish/>
        </w:rPr>
      </w:pPr>
      <w:bookmarkStart w:id="3" w:name="Commission"/>
      <w:r w:rsidRPr="0033067F">
        <w:rPr>
          <w:vanish/>
        </w:rPr>
        <w:t>Комисия по конституционни въпроси</w:t>
      </w:r>
      <w:bookmarkEnd w:id="3"/>
    </w:p>
    <w:p w:rsidR="0056427F" w:rsidRPr="0033067F" w:rsidP="0056427F" w14:paraId="06B4D0F2" w14:textId="77777777">
      <w:pPr>
        <w:rPr>
          <w:vanish/>
        </w:rPr>
      </w:pPr>
      <w:bookmarkStart w:id="4" w:name="PE"/>
      <w:r w:rsidRPr="0033067F">
        <w:rPr>
          <w:vanish/>
        </w:rPr>
        <w:t>PE784.388</w:t>
      </w:r>
      <w:bookmarkEnd w:id="4"/>
    </w:p>
    <w:p w:rsidR="0056427F" w:rsidRPr="0033067F" w:rsidP="0056427F" w14:paraId="61C080B8" w14:textId="2B978298">
      <w:pPr>
        <w:pStyle w:val="ATHeading3"/>
      </w:pPr>
      <w:bookmarkStart w:id="5" w:name="Sujet"/>
      <w:r w:rsidRPr="0033067F">
        <w:t xml:space="preserve">Резолюция на Европейския парламент от </w:t>
      </w:r>
      <w:r w:rsidR="00241AA4">
        <w:t>16</w:t>
      </w:r>
      <w:r w:rsidR="00520883">
        <w:t xml:space="preserve"> юни</w:t>
      </w:r>
      <w:r w:rsidRPr="0033067F" w:rsidR="00520883">
        <w:t xml:space="preserve"> </w:t>
      </w:r>
      <w:r w:rsidRPr="0033067F">
        <w:t xml:space="preserve">2026 г. </w:t>
      </w:r>
      <w:r w:rsidR="00520883">
        <w:t>относно е</w:t>
      </w:r>
      <w:r w:rsidRPr="0033067F">
        <w:t>вропейски политически партии и фондации – доклад за 2026 г. относно прилагането на Регламент (ЕС, Евратом) 2025/2445 и относно финансираните дейности</w:t>
      </w:r>
      <w:bookmarkEnd w:id="5"/>
      <w:r w:rsidRPr="0033067F">
        <w:t xml:space="preserve"> </w:t>
      </w:r>
      <w:bookmarkStart w:id="6" w:name="References"/>
      <w:r w:rsidRPr="0033067F">
        <w:t>(2026/2013(INI))</w:t>
      </w:r>
      <w:bookmarkEnd w:id="6"/>
    </w:p>
    <w:p w:rsidR="00891388" w:rsidRPr="00465B59" w:rsidP="00520883" w14:paraId="51DE662B" w14:textId="77777777">
      <w:pPr>
        <w:pStyle w:val="Normal12"/>
        <w:spacing w:before="480"/>
        <w:rPr>
          <w:i/>
          <w:iCs/>
        </w:rPr>
      </w:pPr>
      <w:r w:rsidRPr="00465B59">
        <w:rPr>
          <w:i/>
          <w:iCs/>
        </w:rPr>
        <w:t>Европейският парламент,</w:t>
      </w:r>
    </w:p>
    <w:p w:rsidR="00891388" w:rsidRPr="0033067F" w:rsidP="00891388" w14:paraId="5C025E8E" w14:textId="77777777">
      <w:pPr>
        <w:pStyle w:val="NormalHanging"/>
      </w:pPr>
      <w:r w:rsidRPr="0033067F">
        <w:t>–</w:t>
      </w:r>
      <w:r w:rsidRPr="0033067F">
        <w:tab/>
        <w:t>като взе предвид член 2 и член 10, параграф 4 от Договора за Европейския съюз и член 12, параграф 2 от Хартата на основните права на Европейския съюз,</w:t>
      </w:r>
    </w:p>
    <w:p w:rsidR="00891388" w:rsidRPr="0033067F" w:rsidP="00891388" w14:paraId="61F24CBE" w14:textId="77777777">
      <w:pPr>
        <w:pStyle w:val="NormalHanging"/>
      </w:pPr>
      <w:r w:rsidRPr="0033067F">
        <w:t>–</w:t>
      </w:r>
      <w:r w:rsidRPr="0033067F">
        <w:tab/>
        <w:t>като взе предвид членове 224 и 325 от Договора за функционирането на Европейския съюз,</w:t>
      </w:r>
    </w:p>
    <w:p w:rsidR="00891388" w:rsidRPr="0033067F" w:rsidP="00891388" w14:paraId="27770917" w14:textId="08006A81">
      <w:pPr>
        <w:pStyle w:val="NormalHanging"/>
      </w:pPr>
      <w:r w:rsidRPr="0033067F">
        <w:t>–</w:t>
      </w:r>
      <w:r w:rsidRPr="0033067F">
        <w:tab/>
        <w:t>като взе предвид Регламент (ЕС, Евратом) 2025/2445 на Европейския парламент и на Съвета от 26 ноември 2025 г. относно статута и финансирането на европейските политически партии и на европейските политически фондации</w:t>
      </w:r>
      <w:r>
        <w:rPr>
          <w:rStyle w:val="FootnoteReference"/>
        </w:rPr>
        <w:footnoteReference w:id="2"/>
      </w:r>
      <w:r w:rsidRPr="0033067F">
        <w:t xml:space="preserve"> (наричан по-долу „Регламента“),</w:t>
      </w:r>
    </w:p>
    <w:p w:rsidR="00891388" w:rsidRPr="0033067F" w:rsidP="00891388" w14:paraId="1CA478B2" w14:textId="215E2E20">
      <w:pPr>
        <w:pStyle w:val="NormalHanging"/>
      </w:pPr>
      <w:r w:rsidRPr="0033067F">
        <w:t>–</w:t>
      </w:r>
      <w:r w:rsidRPr="0033067F">
        <w:tab/>
        <w:t>като взе предвид Регламент (ЕС, Евратом) 2024/2509 на Европейския парламент и на Съвета от 23 септември 2024 г. за финансовите правила, приложими за общия бюджет на Съюза</w:t>
      </w:r>
      <w:r>
        <w:rPr>
          <w:rStyle w:val="FootnoteReference"/>
        </w:rPr>
        <w:footnoteReference w:id="3"/>
      </w:r>
      <w:r w:rsidRPr="0033067F">
        <w:t xml:space="preserve"> („Финансовия регламент“),</w:t>
      </w:r>
    </w:p>
    <w:p w:rsidR="00891388" w:rsidRPr="0033067F" w:rsidP="00891388" w14:paraId="6CB70720" w14:textId="0B9BE021">
      <w:pPr>
        <w:pStyle w:val="NormalHanging"/>
      </w:pPr>
      <w:r w:rsidRPr="0033067F">
        <w:t>–</w:t>
      </w:r>
      <w:r w:rsidRPr="0033067F">
        <w:tab/>
        <w:t>като взе предвид своята резолюция от 11 ноември 2021 г. относно прилагането на Регламент (ЕС, Евратом) № 1141/2014 относно статута и финансирането на европейските политически партии и на европейските политически фондации</w:t>
      </w:r>
      <w:r>
        <w:rPr>
          <w:rStyle w:val="FootnoteReference"/>
        </w:rPr>
        <w:footnoteReference w:id="4"/>
      </w:r>
      <w:r w:rsidRPr="0033067F">
        <w:t>,</w:t>
      </w:r>
    </w:p>
    <w:p w:rsidR="00891388" w:rsidRPr="0033067F" w:rsidP="00891388" w14:paraId="449934E3" w14:textId="77777777">
      <w:pPr>
        <w:pStyle w:val="NormalHanging"/>
      </w:pPr>
      <w:r w:rsidRPr="0033067F">
        <w:t>–</w:t>
      </w:r>
      <w:r w:rsidRPr="0033067F">
        <w:tab/>
        <w:t>като взе предвид консултациите с Органа за европейските политически партии и европейските политически фондации (наричан по-долу „Органа“) и неговите годишни отчети за дейността,</w:t>
      </w:r>
    </w:p>
    <w:p w:rsidR="00891388" w:rsidRPr="0033067F" w:rsidP="00891388" w14:paraId="448EAF6C" w14:textId="77777777">
      <w:pPr>
        <w:pStyle w:val="NormalHanging"/>
      </w:pPr>
      <w:r w:rsidRPr="0033067F">
        <w:t>–</w:t>
      </w:r>
      <w:r w:rsidRPr="0033067F">
        <w:tab/>
        <w:t xml:space="preserve">като взе предвид размяната на мнения с европейските политически фондации и институционалните заинтересовани страни, проведена на 18 март 2026 г. от </w:t>
      </w:r>
      <w:r w:rsidRPr="0033067F">
        <w:t>комисията по конституционни въпроси,</w:t>
      </w:r>
    </w:p>
    <w:p w:rsidR="00891388" w:rsidRPr="0033067F" w:rsidP="00891388" w14:paraId="30EC9C99" w14:textId="77777777">
      <w:pPr>
        <w:pStyle w:val="NormalHanging"/>
      </w:pPr>
      <w:r w:rsidRPr="0033067F">
        <w:t>–</w:t>
      </w:r>
      <w:r w:rsidRPr="0033067F">
        <w:tab/>
        <w:t>като взе предвид член 55 от своя Правилник за дейността,</w:t>
      </w:r>
    </w:p>
    <w:p w:rsidR="00891388" w:rsidRPr="0033067F" w:rsidP="00891388" w14:paraId="004075AC" w14:textId="77777777">
      <w:pPr>
        <w:pStyle w:val="NormalHanging"/>
      </w:pPr>
      <w:r w:rsidRPr="0033067F">
        <w:t>–</w:t>
      </w:r>
      <w:r w:rsidRPr="0033067F">
        <w:tab/>
        <w:t>като взе предвид доклада на комисията по конституционни въпроси (A10-0145/2026),</w:t>
      </w:r>
    </w:p>
    <w:p w:rsidR="00891388" w:rsidRPr="0033067F" w:rsidP="00891388" w14:paraId="43EF0407" w14:textId="77777777">
      <w:pPr>
        <w:pStyle w:val="NormalHanging"/>
      </w:pPr>
      <w:r w:rsidRPr="0033067F">
        <w:t>А.</w:t>
      </w:r>
      <w:r w:rsidRPr="0033067F">
        <w:tab/>
        <w:t>като има предвид, че силните политически партии и фондации на равнището на ЕС са от съществено значение за развитието на една истинска европейска обществена сфера;</w:t>
      </w:r>
    </w:p>
    <w:p w:rsidR="00891388" w:rsidRPr="0033067F" w:rsidP="00891388" w14:paraId="437A5164" w14:textId="77777777">
      <w:pPr>
        <w:pStyle w:val="NormalHanging"/>
      </w:pPr>
      <w:r w:rsidRPr="0033067F">
        <w:t>Б.</w:t>
      </w:r>
      <w:r w:rsidRPr="0033067F">
        <w:tab/>
        <w:t>като има предвид, че европейските политически партии и европейските политически фондации следва да играят по-централна роля в процеса на европейските избори и да допринасят за формирането на политическо съзнание в ЕС и за изразяването на волята на гражданите на ЕС; като има предвид, че политическото многообразие е от съществено значение за обществения дебат и за изразяването на избора на гражданите;</w:t>
      </w:r>
    </w:p>
    <w:p w:rsidR="00891388" w:rsidRPr="0033067F" w:rsidP="00891388" w14:paraId="4691512E" w14:textId="77777777">
      <w:pPr>
        <w:pStyle w:val="NormalHanging"/>
      </w:pPr>
      <w:r w:rsidRPr="0033067F">
        <w:t>В.</w:t>
      </w:r>
      <w:r w:rsidRPr="0033067F">
        <w:tab/>
        <w:t>като има предвид, че европейските политически партии и фондации следва да си сътрудничат с националните партии, които са техни членове и партньори, за да ги подкрепят при доближаването на ЕС и неговите политики до гражданите и да повишават демократичната легитимност;</w:t>
      </w:r>
    </w:p>
    <w:p w:rsidR="00891388" w:rsidRPr="0033067F" w:rsidP="00891388" w14:paraId="4FE4221C" w14:textId="77777777">
      <w:pPr>
        <w:pStyle w:val="NormalHanging"/>
      </w:pPr>
      <w:r w:rsidRPr="0033067F">
        <w:t>Г.</w:t>
      </w:r>
      <w:r w:rsidRPr="0033067F">
        <w:tab/>
        <w:t>като има предвид, че през 2025 г. в Органа бяха регистрирани още две фондации, което означава, че към 31 декември 2025 г. 12 европейски политически партии и 12 свързани с тях европейски политически фондации бяха финансирани от бюджета на ЕС;</w:t>
      </w:r>
    </w:p>
    <w:p w:rsidR="00891388" w:rsidRPr="0033067F" w:rsidP="00891388" w14:paraId="7DFD6230" w14:textId="77777777">
      <w:pPr>
        <w:pStyle w:val="NormalHanging"/>
      </w:pPr>
      <w:r w:rsidRPr="0033067F">
        <w:t>Д.</w:t>
      </w:r>
      <w:r w:rsidRPr="0033067F">
        <w:tab/>
        <w:t>като има предвид, че преработеният регламент влезе в сила на 28 декември 2025 г. и въведе редица важни иновации, включително по-ясни правила относно съвместните европейски политически дейности, по-голяма прозрачност и задължения за докладване, по-строги изисквания за надлежна проверка на даренията и изрично признаване на самостоятелно генерираните ресурси като категория приходи;</w:t>
      </w:r>
    </w:p>
    <w:p w:rsidR="00891388" w:rsidRPr="0033067F" w:rsidP="00891388" w14:paraId="7CACB95B" w14:textId="77777777">
      <w:pPr>
        <w:pStyle w:val="NormalHanging"/>
      </w:pPr>
      <w:r w:rsidRPr="0033067F">
        <w:t>Е.</w:t>
      </w:r>
      <w:r w:rsidRPr="0033067F">
        <w:tab/>
        <w:t>като има предвид, че регламентът е в сила от кратко време; като има предвид съответно, че данните и опитът във връзка с прилагането на регламента все още са ограничени; като има предвид, че една всеобхватната оценка на прилагането и въздействието на регламента изисква достатъчно време и доказателства; като има предвид обаче, че непосредствено след влизането в сила на регламента възникнаха непредвидени предизвикателства пред политиката, по-специално по отношение на финансирането на политическите фондации, които изискват спешни действия;</w:t>
      </w:r>
    </w:p>
    <w:p w:rsidR="00891388" w:rsidRPr="0033067F" w:rsidP="00891388" w14:paraId="094FC3E2" w14:textId="77777777">
      <w:pPr>
        <w:pStyle w:val="NormalHanging"/>
      </w:pPr>
      <w:r w:rsidRPr="0033067F">
        <w:t>Ж.</w:t>
      </w:r>
      <w:r w:rsidRPr="0033067F">
        <w:tab/>
        <w:t>като има предвид, че в съответствие с преработения регламент Парламентът трябва да публикува доклад до 29 юни 2026 г. относно прилагането на регламента и относно финансираните дейности; като има предвид, че след публикуването на доклада на Парламента Комисията ще разполага с една година, за да представи доклад относно прилагането на регламента, придружен, ако е целесъобразно, от предложение за неговото изменение;</w:t>
      </w:r>
    </w:p>
    <w:p w:rsidR="00891388" w:rsidRPr="0033067F" w:rsidP="00891388" w14:paraId="541A7743" w14:textId="77777777">
      <w:pPr>
        <w:pStyle w:val="NormalHanging"/>
      </w:pPr>
      <w:r w:rsidRPr="0033067F">
        <w:t>З.</w:t>
      </w:r>
      <w:r w:rsidRPr="0033067F">
        <w:tab/>
        <w:t xml:space="preserve">като има предвид, че в доклада на Комисията следва да се обърне специално внимание на въздействието на регламента върху положението на малките </w:t>
      </w:r>
      <w:r w:rsidRPr="0033067F">
        <w:t>европейски политически партии и европейски политически фондации и върху правилата, уреждащи финансирането на европейските политически фондации;</w:t>
      </w:r>
    </w:p>
    <w:p w:rsidR="00891388" w:rsidRPr="0033067F" w:rsidP="00891388" w14:paraId="165E2E18" w14:textId="77777777">
      <w:pPr>
        <w:pStyle w:val="NormalHanging"/>
      </w:pPr>
      <w:r w:rsidRPr="0033067F">
        <w:t>И.</w:t>
      </w:r>
      <w:r w:rsidRPr="0033067F">
        <w:tab/>
        <w:t>като има предвид, че европейските политически фондации представляват неразделна част от демократичната структура на ЕС, като подкрепят политическия дебат, разработването на политики, научните изследвания, обучението и гражданската ангажираност на равнището на ЕС и на национално равнище;</w:t>
      </w:r>
    </w:p>
    <w:p w:rsidR="00891388" w:rsidRPr="0033067F" w:rsidP="00891388" w14:paraId="361AFFA6" w14:textId="77777777">
      <w:pPr>
        <w:pStyle w:val="NormalHanging"/>
      </w:pPr>
      <w:r w:rsidRPr="0033067F">
        <w:t>Й.</w:t>
      </w:r>
      <w:r w:rsidRPr="0033067F">
        <w:tab/>
        <w:t>като има предвид, че мандатът на европейските политически фондации включва повишаване на политическата осведоменост и принос към дебата по въпросите на политиката на ЕС и процеса на европейска интеграция, както и предоставяне на услуги, които не са насочени изключително към членовете или гласоподавателите на дадена партия, а са отворени за всички участници, при равни условия;</w:t>
      </w:r>
    </w:p>
    <w:p w:rsidR="00891388" w:rsidRPr="0033067F" w:rsidP="00891388" w14:paraId="44CE4E3C" w14:textId="77777777">
      <w:pPr>
        <w:pStyle w:val="NormalHanging"/>
      </w:pPr>
      <w:r w:rsidRPr="0033067F">
        <w:t>К.</w:t>
      </w:r>
      <w:r w:rsidRPr="0033067F">
        <w:tab/>
        <w:t>като има предвид, че прилагането на регламента се извършва в контекста на дълбока геополитическа нестабилност, характеризираща се със засилена стратегическа конкуренция, хибридни заплахи, дезинформация, технологични смущения, изменение на климата и дългосрочни социално-икономически трансформации;</w:t>
      </w:r>
    </w:p>
    <w:p w:rsidR="00891388" w:rsidRPr="0033067F" w:rsidP="00891388" w14:paraId="399C1FDA" w14:textId="77777777">
      <w:pPr>
        <w:pStyle w:val="NormalHanging"/>
      </w:pPr>
      <w:r w:rsidRPr="0033067F">
        <w:t>Л.</w:t>
      </w:r>
      <w:r w:rsidRPr="0033067F">
        <w:tab/>
        <w:t>като има предвид, че това развитие изисква ЕС да укрепи капацитета си за стратегическо прогнозиране, изпреварващо управление и дългосрочно планиране на политиките, за да се подготви ефективно за предизвикателствата в периода до 2040 г. и след това;</w:t>
      </w:r>
    </w:p>
    <w:p w:rsidR="00891388" w:rsidRPr="0033067F" w:rsidP="00891388" w14:paraId="357EAFAF" w14:textId="77777777">
      <w:pPr>
        <w:pStyle w:val="NormalHanging"/>
      </w:pPr>
      <w:r w:rsidRPr="0033067F">
        <w:t>М.</w:t>
      </w:r>
      <w:r w:rsidRPr="0033067F">
        <w:tab/>
        <w:t>като има предвид, че европейските политически фондации са в уникална позиция да допринесат за тези усилия чрез дългосрочни научни изследвания, сравнителен анализ, транснационален диалог, политическо образование и изграждане на капацитет;</w:t>
      </w:r>
    </w:p>
    <w:p w:rsidR="00891388" w:rsidRPr="0033067F" w:rsidP="00891388" w14:paraId="58269CF9" w14:textId="77777777">
      <w:pPr>
        <w:pStyle w:val="NormalHanging"/>
      </w:pPr>
      <w:r w:rsidRPr="0033067F">
        <w:t>Н.</w:t>
      </w:r>
      <w:r w:rsidRPr="0033067F">
        <w:tab/>
        <w:t>като има предвид, че настоящото равнище и структура на финансирането от ЕС, което се предоставя на европейските политически фондации, вече не са съизмерими с обхвата, стратегическото значение и нарастващата сложност на техните задачи;</w:t>
      </w:r>
    </w:p>
    <w:p w:rsidR="00891388" w:rsidRPr="0033067F" w:rsidP="00891388" w14:paraId="5C60D279" w14:textId="77777777">
      <w:pPr>
        <w:pStyle w:val="NormalHanging"/>
      </w:pPr>
      <w:r w:rsidRPr="0033067F">
        <w:t>О.</w:t>
      </w:r>
      <w:r w:rsidRPr="0033067F">
        <w:tab/>
        <w:t>като има предвид, че политическите фондации докладваха за непропорционална регулаторна тежест и призоваха за опростяване на регулаторните изисквания, по-специално по отношение на задълженията за докладване и прозрачност, както и за възможността за възстановяване на корективните мерки, необходими за гарантиране на правилното функциониране на процеса на финансиране;</w:t>
      </w:r>
    </w:p>
    <w:p w:rsidR="00891388" w:rsidRPr="0033067F" w:rsidP="00891388" w14:paraId="097759E1" w14:textId="77777777">
      <w:pPr>
        <w:pStyle w:val="Normal12a"/>
      </w:pPr>
      <w:r w:rsidRPr="0033067F">
        <w:rPr>
          <w:b/>
          <w:i/>
        </w:rPr>
        <w:t>Обща оценка на преработения регламент</w:t>
      </w:r>
    </w:p>
    <w:p w:rsidR="00891388" w:rsidRPr="0033067F" w:rsidP="00891388" w14:paraId="42BFD21F" w14:textId="77777777">
      <w:pPr>
        <w:pStyle w:val="NormalHanging12a"/>
      </w:pPr>
      <w:r w:rsidRPr="0033067F">
        <w:t>1.</w:t>
      </w:r>
      <w:r w:rsidRPr="0033067F">
        <w:tab/>
        <w:t>приветства приемането на преработения регламент, като важна стъпка към модернизиране на правната рамка за европейските политически партии и фондации и укрепване на демократичния интегритет на равнището на ЕС;</w:t>
      </w:r>
    </w:p>
    <w:p w:rsidR="00891388" w:rsidRPr="0033067F" w:rsidP="00891388" w14:paraId="53ECD0BE" w14:textId="77777777">
      <w:pPr>
        <w:pStyle w:val="NormalHanging12a"/>
      </w:pPr>
      <w:r w:rsidRPr="0033067F">
        <w:t>2.</w:t>
      </w:r>
      <w:r w:rsidRPr="0033067F">
        <w:tab/>
        <w:t>отбелязва, че регламентът е подобрил правната яснота в няколко области, по-специално по отношение на съвместните европейски политически дейности, изискванията за прозрачност и гаранциите срещу външна намеса;</w:t>
      </w:r>
    </w:p>
    <w:p w:rsidR="00891388" w:rsidRPr="0033067F" w:rsidP="00891388" w14:paraId="3F10EEED" w14:textId="77777777">
      <w:pPr>
        <w:pStyle w:val="NormalHanging12a"/>
      </w:pPr>
      <w:r w:rsidRPr="0033067F">
        <w:t>3.</w:t>
      </w:r>
      <w:r w:rsidRPr="0033067F">
        <w:tab/>
        <w:t>подчертава обаче, че към днешна дата опитът и данните относно прилагането на преработения регламент остават ограничени и че едва на по-късен етап може да бъде извършена по-задълбочена и хоризонтална оценка; посочва, че възникналите непосредствено след влизането в сила на регламента непредвидени предизвикателства пред политиката, по-специално по отношение на финансирането на политическите фондации, все пак изискват спешни действия;</w:t>
      </w:r>
    </w:p>
    <w:p w:rsidR="00891388" w:rsidRPr="0033067F" w:rsidP="00891388" w14:paraId="07AAD524" w14:textId="77777777">
      <w:pPr>
        <w:pStyle w:val="NormalHanging12a"/>
      </w:pPr>
      <w:r w:rsidRPr="0033067F">
        <w:t>4.</w:t>
      </w:r>
      <w:r w:rsidRPr="0033067F">
        <w:tab/>
        <w:t>отбелязва със загриженост, че според фондациите регулаторната тежест е непропорционално голяма, и се ангажира да проучи допълнително този въпрос и да предприеме последващи действия във връзка с него при предстоящата си систематична оценка; подчертава в този контекст значението на ефективните и пропорционални корективни мерки, като инструмент за гарантиране на спазването на регламента, и се ангажира да преразгледа използването на тези мерки в настоящата практика;</w:t>
      </w:r>
    </w:p>
    <w:p w:rsidR="00891388" w:rsidRPr="0033067F" w:rsidP="00891388" w14:paraId="3FBF6DCA" w14:textId="77777777">
      <w:pPr>
        <w:pStyle w:val="NormalHanging12a"/>
      </w:pPr>
      <w:r w:rsidRPr="0033067F">
        <w:t>5.</w:t>
      </w:r>
      <w:r w:rsidRPr="0033067F">
        <w:tab/>
        <w:t>отбелязва правната несигурност и оперативните ограничения, пред които все още са изправени европейските политически фондации, особено по отношение на класификацията на допустимите разходи, и счита, че тези въпроси се нуждаят от своевременно изясняване;</w:t>
      </w:r>
    </w:p>
    <w:p w:rsidR="00891388" w:rsidRPr="0033067F" w:rsidP="00891388" w14:paraId="2DE3C290" w14:textId="77777777">
      <w:pPr>
        <w:pStyle w:val="Normal12a"/>
      </w:pPr>
      <w:r w:rsidRPr="0033067F">
        <w:rPr>
          <w:b/>
          <w:i/>
        </w:rPr>
        <w:t>Роля на европейските политически фондации</w:t>
      </w:r>
    </w:p>
    <w:p w:rsidR="00891388" w:rsidRPr="0033067F" w:rsidP="00891388" w14:paraId="15ABE289" w14:textId="77777777">
      <w:pPr>
        <w:pStyle w:val="NormalHanging12a"/>
      </w:pPr>
      <w:r w:rsidRPr="0033067F">
        <w:t>6.</w:t>
      </w:r>
      <w:r w:rsidRPr="0033067F">
        <w:tab/>
        <w:t>отново заявява, че европейските политически фондации изпълняват отчетлива институционална роля съгласно Договорите, като насърчават европейското политическо съзнание, подкрепят основаното на факти създаване на политики и укрепват демократичната култура и гражданската ангажираност в целия ЕС;</w:t>
      </w:r>
    </w:p>
    <w:p w:rsidR="00891388" w:rsidRPr="0033067F" w:rsidP="00891388" w14:paraId="7E1E5B89" w14:textId="46835E42">
      <w:pPr>
        <w:pStyle w:val="NormalHanging12a"/>
      </w:pPr>
      <w:r w:rsidRPr="0033067F">
        <w:t>7.</w:t>
      </w:r>
      <w:r w:rsidRPr="0033067F">
        <w:tab/>
        <w:t>обръща внимание на факта, че геополитическата и технологичната среда става все по-нестабилна след публикуването на предложението на Комисията от 2021 г. за преработване на Регламент (ЕС, Евратом) № 1141/2014</w:t>
      </w:r>
      <w:r>
        <w:rPr>
          <w:rStyle w:val="FootnoteReference"/>
        </w:rPr>
        <w:footnoteReference w:id="5"/>
      </w:r>
      <w:r w:rsidRPr="0033067F">
        <w:t>, и че тя е белязана от повишено напрежение в областта на сигурността, външна намеса в демократичните процеси и ускорена социално-икономическа трансформация; подчертава, че това развитие засилва значението на дългосрочното планиране на политиките, демократичното образование и трансграничния диалог, за които европейските политически фондации имат специален принос;</w:t>
      </w:r>
    </w:p>
    <w:p w:rsidR="00891388" w:rsidRPr="0033067F" w:rsidP="00891388" w14:paraId="6DAA98B1" w14:textId="77777777">
      <w:pPr>
        <w:pStyle w:val="NormalHanging12a"/>
      </w:pPr>
      <w:r w:rsidRPr="0033067F">
        <w:t>8.</w:t>
      </w:r>
      <w:r w:rsidRPr="0033067F">
        <w:tab/>
        <w:t>отбелязва, че с оглед на техните разширяващи се отговорности, европейските политически фондации се нуждаят от необходимите финансови инструменти и подходящи и стабилни ресурси, за да изпълняват изцяло институционалната си роля, като се основават на подобренията, въведени с регламента;</w:t>
      </w:r>
    </w:p>
    <w:p w:rsidR="00891388" w:rsidRPr="0033067F" w:rsidP="00891388" w14:paraId="44B0BD4E" w14:textId="77777777">
      <w:pPr>
        <w:pStyle w:val="Normal12a"/>
      </w:pPr>
      <w:r w:rsidRPr="0033067F">
        <w:rPr>
          <w:b/>
          <w:i/>
        </w:rPr>
        <w:t>Предложения за подобрения</w:t>
      </w:r>
    </w:p>
    <w:p w:rsidR="00891388" w:rsidRPr="0033067F" w:rsidP="00891388" w14:paraId="4B5B2EAE" w14:textId="77777777">
      <w:pPr>
        <w:pStyle w:val="NormalHanging12a"/>
      </w:pPr>
      <w:r w:rsidRPr="0033067F">
        <w:t>9.</w:t>
      </w:r>
      <w:r w:rsidRPr="0033067F">
        <w:tab/>
        <w:t xml:space="preserve">подчертава необходимостта да се гарантира, че европейските политически фондации разполагат със стабилна правна рамка и финансова сигурност; поема ангажимент да работи заедно с фондациите за предоставяне на тази сигурност, доколкото това е възможно при съществуващата рамка, по-специално чрез преразглеждане на начина, по който фондациите получават финансова подкрепа </w:t>
      </w:r>
      <w:r w:rsidRPr="0033067F">
        <w:t>от членуващите в тях организации; посочва, че регламентът не забранява прилагането на гъвкав и основан на участието модел на членски внос, чрез който членуващите организации да допринасят пропорционално на степента им на участие в съвместните дейности; подчертава, че самите съвместни дейности следва да останат неутрални по отношение на бюджета и не следва да генерират приходи за фондациите, които да надвишават действително направените разходи;</w:t>
      </w:r>
    </w:p>
    <w:p w:rsidR="00891388" w:rsidRPr="0033067F" w:rsidP="00891388" w14:paraId="041A9EC8" w14:textId="77777777">
      <w:pPr>
        <w:pStyle w:val="NormalHanging12a"/>
      </w:pPr>
      <w:r w:rsidRPr="0033067F">
        <w:t>10.</w:t>
      </w:r>
      <w:r w:rsidRPr="0033067F">
        <w:tab/>
        <w:t>насърчава европейските политически фондации да се възползват максимално от финансовите възможности, предлагани съгласно съществуващата уредба; изтъква, че финансирането на европейските политически фондации чрез собствените ресурси на европейските политически партии понастоящем е разрешено съгласно член 2, точка 10 от действащия регламент; призовава европейските политически партии и фондации да сключат помежду си споразумения за сътрудничество, съгласно които фондациите да получават обезщетение за своя принос към съвместни дейности, като се вземат предвид съответните им различни роли съгласно Договорите;</w:t>
      </w:r>
    </w:p>
    <w:p w:rsidR="00891388" w:rsidRPr="0033067F" w:rsidP="00891388" w14:paraId="0C4A22C5" w14:textId="77777777">
      <w:pPr>
        <w:pStyle w:val="NormalHanging12a"/>
      </w:pPr>
      <w:r w:rsidRPr="0033067F">
        <w:t>11.</w:t>
      </w:r>
      <w:r w:rsidRPr="0033067F">
        <w:tab/>
        <w:t>подчертава освен това, че регламентът не забранява на националните фондации, различни от политическите фондации, да стават членове и да плащат членски внос на европейските политически фондации;</w:t>
      </w:r>
    </w:p>
    <w:p w:rsidR="00891388" w:rsidRPr="0033067F" w:rsidP="00891388" w14:paraId="13249751" w14:textId="77777777">
      <w:pPr>
        <w:pStyle w:val="NormalHanging12a"/>
      </w:pPr>
      <w:r w:rsidRPr="0033067F">
        <w:t>12.</w:t>
      </w:r>
      <w:r w:rsidRPr="0033067F">
        <w:tab/>
        <w:t>счита, че член 25 от настоящия регламент би могъл да бъде пояснен, като се потвърди изрично, че таксите за участие могат да се начисляват на организациите членки за участието им в дейности, организирани от европейска политическа фондация;</w:t>
      </w:r>
    </w:p>
    <w:p w:rsidR="00891388" w:rsidRPr="0033067F" w:rsidP="00891388" w14:paraId="7DCDB74B" w14:textId="77777777">
      <w:pPr>
        <w:pStyle w:val="NormalHanging12a"/>
      </w:pPr>
      <w:r w:rsidRPr="0033067F">
        <w:t>13.</w:t>
      </w:r>
      <w:r w:rsidRPr="0033067F">
        <w:tab/>
        <w:t>отбелязва, че строгото прилагане на определението за вноските на членовете, финансовият и административният натиск за допълване на безвъзмездните средства от бюджета на ЕС със самостоятелно генерирани ресурси, правилата, приложими за съвместните европейски политически дейности с членуващи фондации, и общото равнище на финансиране от ЕС ограничават финансовата автономност и устойчивостта на европейските политически фондации, особено с оглед на техните нарастващи отговорности, и подчертава, че устойчивата рамка за финансиране е от съществено значение за запазване на тяхната независимост и предотвратяване на неправомерно частно влияние;</w:t>
      </w:r>
    </w:p>
    <w:p w:rsidR="00891388" w:rsidRPr="0033067F" w:rsidP="00891388" w14:paraId="57FDB347" w14:textId="77777777">
      <w:pPr>
        <w:pStyle w:val="NormalHanging12a"/>
      </w:pPr>
      <w:r w:rsidRPr="0033067F">
        <w:t>14.</w:t>
      </w:r>
      <w:r w:rsidRPr="0033067F">
        <w:tab/>
        <w:t>подчертава, че като част от диверсификацията на собствените ресурси, европейските политически фондации имат право да получават дарения от физически или юридически лица, с максимален годишен размер от 18 000 EUR за всеки дарител; счита, че таванът за тези дарения може да се увеличи, за да се осигури по-голяма гъвкавост за европейските политически фондации;</w:t>
      </w:r>
    </w:p>
    <w:p w:rsidR="00891388" w:rsidRPr="0033067F" w:rsidP="00891388" w14:paraId="3AD38E86" w14:textId="77777777">
      <w:pPr>
        <w:pStyle w:val="NormalHanging12a"/>
      </w:pPr>
      <w:r w:rsidRPr="0033067F">
        <w:t>15.</w:t>
      </w:r>
      <w:r w:rsidRPr="0033067F">
        <w:tab/>
        <w:t>насърчава Органа, в сътрудничество с Комисията, да продължи и да доразвие диалога си с националните компетентни органи с цел повишаване на осведомеността относно въздействието на националните рамки за финансиране върху функционирането на европейските политически фондации и набелязване на практически решения, насочени към избягване на нежелани ограничения върху тяхната финансова устойчивост;</w:t>
      </w:r>
    </w:p>
    <w:p w:rsidR="00891388" w:rsidRPr="0033067F" w:rsidP="00891388" w14:paraId="610F7B73" w14:textId="77777777">
      <w:pPr>
        <w:pStyle w:val="NormalHanging12a"/>
      </w:pPr>
      <w:r w:rsidRPr="0033067F">
        <w:t>16.</w:t>
      </w:r>
      <w:r w:rsidRPr="0033067F">
        <w:tab/>
        <w:t xml:space="preserve">предлага да се създаде единна онлайн система за докладване и оповестяване на финансиране, дарения и вноски от ЕС за европейските политически фондации, за да се осигури подходяща прозрачност за гражданите, да се подобри мониторингът </w:t>
      </w:r>
      <w:r w:rsidRPr="0033067F">
        <w:t>на съответствието и да се намали административната тежест и тежестта, свързана със спазването на изискванията, за докладващите субекти;</w:t>
      </w:r>
    </w:p>
    <w:p w:rsidR="00891388" w:rsidRPr="0033067F" w:rsidP="00891388" w14:paraId="29FFE3A3" w14:textId="77777777">
      <w:pPr>
        <w:pStyle w:val="NormalHanging12a"/>
      </w:pPr>
      <w:r w:rsidRPr="0033067F">
        <w:t>17.</w:t>
      </w:r>
      <w:r w:rsidRPr="0033067F">
        <w:tab/>
        <w:t>отчита усилията на европейските политически фондации да диверсифицират и стабилизират своите източници на финансиране в контекста на съществуващата регулаторна рамка и насърчава непрекъснатото балансирано и прозрачно използване на наличните механизми за собствените ресурси;</w:t>
      </w:r>
    </w:p>
    <w:p w:rsidR="00891388" w:rsidRPr="0033067F" w:rsidP="00891388" w14:paraId="58CCBD87" w14:textId="77777777">
      <w:pPr>
        <w:pStyle w:val="Normal12a"/>
      </w:pPr>
      <w:r w:rsidRPr="0033067F">
        <w:rPr>
          <w:b/>
          <w:i/>
        </w:rPr>
        <w:t>Заключителни съображения</w:t>
      </w:r>
    </w:p>
    <w:p w:rsidR="00891388" w:rsidRPr="0033067F" w:rsidP="00891388" w14:paraId="418FD1AA" w14:textId="77777777">
      <w:pPr>
        <w:pStyle w:val="NormalHanging12a"/>
      </w:pPr>
      <w:r w:rsidRPr="0033067F">
        <w:t>18.</w:t>
      </w:r>
      <w:r w:rsidRPr="0033067F">
        <w:tab/>
        <w:t>призовава Комисията да извърши целенасочен преглед на разпоредбите за финансиране, приложими за европейските политически фондации съгласно регламента, като се основава на констатациите от този доклад и на опита, натрупан след влизането в сила на преработения регламент;</w:t>
      </w:r>
    </w:p>
    <w:p w:rsidR="00891388" w:rsidRPr="0033067F" w:rsidP="00891388" w14:paraId="456B36A2" w14:textId="77777777">
      <w:pPr>
        <w:pStyle w:val="NormalHanging12a"/>
      </w:pPr>
      <w:r w:rsidRPr="0033067F">
        <w:t>19.</w:t>
      </w:r>
      <w:r w:rsidRPr="0033067F">
        <w:tab/>
        <w:t>призовава Комисията да проучи дали някои национални регулаторни или политически разпоредби забраняват или възпрепятстват плащането на вноски от национални субекти, включително и политически фондации, на европейски политически фондации и да предприеме необходимите последващи действия;</w:t>
      </w:r>
    </w:p>
    <w:p w:rsidR="00891388" w:rsidRPr="0033067F" w:rsidP="00891388" w14:paraId="3D1BB074" w14:textId="77777777">
      <w:pPr>
        <w:pStyle w:val="NormalHanging12a"/>
      </w:pPr>
      <w:r w:rsidRPr="0033067F">
        <w:t>20.</w:t>
      </w:r>
      <w:r w:rsidRPr="0033067F">
        <w:tab/>
        <w:t>призовава Комисията да представи преработено законодателно предложение за преразглеждане на правилата за финансиране на европейските политически фондации, включително изменение на член 22, параграф 4 от регламента, за да се увеличи таванът на финансовите вноски или безвъзмездните средства от общия бюджет на ЕС на 100% от допустимите разходи, извършвани от дадена европейска политическа фондация; освен това призовава Комисията да включи в това предложение изменение на член 25 с цел увеличаване на тавана за даренията за европейските политически фондации, като по този начин се осигурява по-голяма гъвкавост и диверсификация на източниците на финансиране;</w:t>
      </w:r>
    </w:p>
    <w:p w:rsidR="00891388" w:rsidRPr="0033067F" w:rsidP="00891388" w14:paraId="6A4D368B" w14:textId="77777777">
      <w:pPr>
        <w:pStyle w:val="NormalHanging12a"/>
      </w:pPr>
      <w:r w:rsidRPr="0033067F">
        <w:t>21.</w:t>
      </w:r>
      <w:r w:rsidRPr="0033067F">
        <w:tab/>
        <w:t>поема ангажимент да увеличи общото равнище на финансиране от ЕС за политическите фондации в предстоящата многогодишна финансова рамка за периода 2028 – 2034 г., да вземе предвид липсата на бюджетна индексация през последните години, както и нарастващата инфлация и увеличаващите се оперативни разходи, за да се гарантират подходящи, стабилни и предвидими финансови средства, да се осигури възможност за фондациите да участват в дългосрочни дейности за стратегическо прогнозиране и изграждане на капацитет и да се поддържат високи стандарти за прозрачност, отчетност и независимост, както и да се гарантира пропорционалност между задълженията за спазване на правилата и наличното финансиране;</w:t>
      </w:r>
    </w:p>
    <w:p w:rsidR="00891388" w:rsidP="00465B59" w14:paraId="08F45C19" w14:textId="0E727B40">
      <w:pPr>
        <w:pStyle w:val="NormalHanging12a"/>
      </w:pPr>
      <w:r w:rsidRPr="0033067F">
        <w:t>22.</w:t>
      </w:r>
      <w:r w:rsidRPr="0033067F">
        <w:tab/>
        <w:t>в заключение заявява, че предоставянето на подходящо финансиране на европейските политически фондации представлява стратегическа инвестиция в демократичната устойчивост и капацитета за дългосрочно управление на ЕС;</w:t>
      </w:r>
    </w:p>
    <w:p w:rsidR="00465B59" w:rsidP="00465B59" w14:paraId="61E0F266" w14:textId="0DC01032">
      <w:pPr>
        <w:pStyle w:val="NormalHanging12a"/>
        <w:ind w:left="0" w:firstLine="0"/>
        <w:jc w:val="center"/>
      </w:pPr>
      <w:r>
        <w:t>°</w:t>
      </w:r>
    </w:p>
    <w:p w:rsidR="00465B59" w:rsidP="00465B59" w14:paraId="7718F0DC" w14:textId="12DD2CFF">
      <w:pPr>
        <w:pStyle w:val="NormalHanging12a"/>
        <w:ind w:left="0" w:firstLine="0"/>
        <w:jc w:val="center"/>
      </w:pPr>
      <w:r>
        <w:t>°     °</w:t>
      </w:r>
    </w:p>
    <w:p w:rsidR="0033067F" w:rsidRPr="0033067F" w:rsidP="0033067F" w14:paraId="217DD2A5" w14:textId="48E5F56E">
      <w:pPr>
        <w:pStyle w:val="NormalHanging12a"/>
      </w:pPr>
      <w:r w:rsidRPr="0033067F">
        <w:t>23.</w:t>
      </w:r>
      <w:r w:rsidRPr="0033067F">
        <w:tab/>
        <w:t>възлага на своя председател да предаде настоящата резолюция съответно на Съвета и на Комисията.</w:t>
      </w:r>
    </w:p>
    <w:p w:rsidR="00E365E1" w:rsidRPr="0033067F" w:rsidP="0056427F" w14:paraId="4A9A1E82" w14:textId="390960CE"/>
    <w:sectPr w:rsidSect="0033067F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6427F" w:rsidRPr="0033067F" w14:paraId="6994F139" w14:textId="77777777">
      <w:r w:rsidRPr="0033067F">
        <w:separator/>
      </w:r>
    </w:p>
  </w:footnote>
  <w:footnote w:type="continuationSeparator" w:id="1">
    <w:p w:rsidR="0056427F" w:rsidRPr="0033067F" w14:paraId="4FA21436" w14:textId="77777777">
      <w:r w:rsidRPr="0033067F">
        <w:continuationSeparator/>
      </w:r>
    </w:p>
  </w:footnote>
  <w:footnote w:id="2">
    <w:p w:rsidR="00465B59" w:rsidRPr="0033067F" w:rsidP="0033067F" w14:paraId="4A939C3F" w14:textId="390AC56B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33067F">
        <w:rPr>
          <w:sz w:val="24"/>
          <w:lang w:val="bg-BG"/>
        </w:rPr>
        <w:t xml:space="preserve"> </w:t>
      </w:r>
      <w:r w:rsidRPr="0033067F">
        <w:rPr>
          <w:sz w:val="24"/>
          <w:lang w:val="bg-BG"/>
        </w:rPr>
        <w:tab/>
        <w:t xml:space="preserve">ОВ L, 2025/2445, 8.12.2025 г., ELI: </w:t>
      </w:r>
      <w:hyperlink r:id="rId1" w:tgtFrame="http://data.europa.eu/eli/reg/2025/2445/oj" w:history="1">
        <w:r w:rsidRPr="0033067F">
          <w:rPr>
            <w:rStyle w:val="Hyperlink"/>
            <w:sz w:val="24"/>
            <w:lang w:val="bg-BG"/>
          </w:rPr>
          <w:t>http://data.europa.eu/eli/reg/2025/2445/oj</w:t>
        </w:r>
      </w:hyperlink>
      <w:r w:rsidRPr="0033067F">
        <w:rPr>
          <w:sz w:val="24"/>
          <w:lang w:val="bg-BG"/>
        </w:rPr>
        <w:t>.</w:t>
      </w:r>
    </w:p>
  </w:footnote>
  <w:footnote w:id="3">
    <w:p w:rsidR="00465B59" w:rsidRPr="0033067F" w:rsidP="0033067F" w14:paraId="10943912" w14:textId="16C93123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33067F">
        <w:rPr>
          <w:sz w:val="24"/>
          <w:lang w:val="bg-BG"/>
        </w:rPr>
        <w:t xml:space="preserve"> </w:t>
      </w:r>
      <w:r w:rsidRPr="0033067F">
        <w:rPr>
          <w:sz w:val="24"/>
          <w:lang w:val="bg-BG"/>
        </w:rPr>
        <w:tab/>
        <w:t xml:space="preserve">ОВ L, 2024/2509, 26.9.2024 г., ELI: </w:t>
      </w:r>
      <w:hyperlink r:id="rId2" w:tgtFrame="http://data.europa.eu/eli/reg/2024/2509/oj" w:history="1">
        <w:r w:rsidRPr="0033067F">
          <w:rPr>
            <w:rStyle w:val="Hyperlink"/>
            <w:sz w:val="24"/>
            <w:lang w:val="bg-BG"/>
          </w:rPr>
          <w:t>http://data.europa.eu/eli/reg/2024/2509/oj</w:t>
        </w:r>
      </w:hyperlink>
      <w:r w:rsidRPr="0033067F">
        <w:rPr>
          <w:sz w:val="24"/>
          <w:lang w:val="bg-BG"/>
        </w:rPr>
        <w:t>.</w:t>
      </w:r>
    </w:p>
  </w:footnote>
  <w:footnote w:id="4">
    <w:p w:rsidR="00465B59" w:rsidRPr="0033067F" w:rsidP="0033067F" w14:paraId="36B65306" w14:textId="6DAA5123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33067F">
        <w:rPr>
          <w:sz w:val="24"/>
          <w:lang w:val="bg-BG"/>
        </w:rPr>
        <w:t xml:space="preserve"> </w:t>
      </w:r>
      <w:r w:rsidRPr="0033067F">
        <w:rPr>
          <w:sz w:val="24"/>
          <w:lang w:val="bg-BG"/>
        </w:rPr>
        <w:tab/>
        <w:t>ОВ С 205, 20.5.2022 г</w:t>
      </w:r>
      <w:r w:rsidR="00520883">
        <w:rPr>
          <w:sz w:val="24"/>
          <w:lang w:val="bg-BG"/>
        </w:rPr>
        <w:t>.</w:t>
      </w:r>
      <w:r w:rsidRPr="0033067F">
        <w:rPr>
          <w:sz w:val="24"/>
          <w:lang w:val="bg-BG"/>
        </w:rPr>
        <w:t>, стр. 37.</w:t>
      </w:r>
    </w:p>
  </w:footnote>
  <w:footnote w:id="5">
    <w:p w:rsidR="00465B59" w:rsidRPr="0033067F" w:rsidP="0033067F" w14:paraId="4330E9BA" w14:textId="50775E89">
      <w:pPr>
        <w:pStyle w:val="FootnoteText"/>
        <w:ind w:left="567" w:hanging="567"/>
        <w:rPr>
          <w:sz w:val="24"/>
          <w:lang w:val="bg-BG"/>
        </w:rPr>
      </w:pPr>
      <w:r>
        <w:rPr>
          <w:rStyle w:val="FootnoteReference"/>
        </w:rPr>
        <w:footnoteRef/>
      </w:r>
      <w:r w:rsidRPr="0033067F">
        <w:rPr>
          <w:sz w:val="24"/>
          <w:lang w:val="bg-BG"/>
        </w:rPr>
        <w:t xml:space="preserve"> </w:t>
      </w:r>
      <w:r w:rsidRPr="0033067F">
        <w:rPr>
          <w:sz w:val="24"/>
          <w:lang w:val="bg-BG"/>
        </w:rPr>
        <w:tab/>
        <w:t>Предложение на Комисията от 25 ноември 2021 г. за Регламент на Европейския парламент и на Съвета относно статута и финансирането на европейските политически партии и на европейските политически фондации (преработен текст) (COM(2021)0734).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2619170">
    <w:abstractNumId w:val="9"/>
  </w:num>
  <w:num w:numId="2" w16cid:durableId="873495673">
    <w:abstractNumId w:val="9"/>
  </w:num>
  <w:num w:numId="3" w16cid:durableId="989943254">
    <w:abstractNumId w:val="7"/>
  </w:num>
  <w:num w:numId="4" w16cid:durableId="351959666">
    <w:abstractNumId w:val="7"/>
  </w:num>
  <w:num w:numId="5" w16cid:durableId="846334172">
    <w:abstractNumId w:val="6"/>
  </w:num>
  <w:num w:numId="6" w16cid:durableId="1532649811">
    <w:abstractNumId w:val="6"/>
  </w:num>
  <w:num w:numId="7" w16cid:durableId="1094742328">
    <w:abstractNumId w:val="5"/>
  </w:num>
  <w:num w:numId="8" w16cid:durableId="818884953">
    <w:abstractNumId w:val="5"/>
  </w:num>
  <w:num w:numId="9" w16cid:durableId="312682345">
    <w:abstractNumId w:val="4"/>
  </w:num>
  <w:num w:numId="10" w16cid:durableId="614824971">
    <w:abstractNumId w:val="4"/>
  </w:num>
  <w:num w:numId="11" w16cid:durableId="1038895368">
    <w:abstractNumId w:val="8"/>
  </w:num>
  <w:num w:numId="12" w16cid:durableId="1285504383">
    <w:abstractNumId w:val="8"/>
  </w:num>
  <w:num w:numId="13" w16cid:durableId="957952404">
    <w:abstractNumId w:val="3"/>
  </w:num>
  <w:num w:numId="14" w16cid:durableId="170685226">
    <w:abstractNumId w:val="3"/>
  </w:num>
  <w:num w:numId="15" w16cid:durableId="162819628">
    <w:abstractNumId w:val="2"/>
  </w:num>
  <w:num w:numId="16" w16cid:durableId="158353073">
    <w:abstractNumId w:val="2"/>
  </w:num>
  <w:num w:numId="17" w16cid:durableId="1348405598">
    <w:abstractNumId w:val="1"/>
  </w:num>
  <w:num w:numId="18" w16cid:durableId="4290933">
    <w:abstractNumId w:val="1"/>
  </w:num>
  <w:num w:numId="19" w16cid:durableId="1182862883">
    <w:abstractNumId w:val="0"/>
  </w:num>
  <w:num w:numId="20" w16cid:durableId="632901812">
    <w:abstractNumId w:val="0"/>
  </w:num>
  <w:num w:numId="21" w16cid:durableId="1592425997">
    <w:abstractNumId w:val="9"/>
  </w:num>
  <w:num w:numId="22" w16cid:durableId="1668434695">
    <w:abstractNumId w:val="7"/>
  </w:num>
  <w:num w:numId="23" w16cid:durableId="1277444995">
    <w:abstractNumId w:val="6"/>
  </w:num>
  <w:num w:numId="24" w16cid:durableId="1631520919">
    <w:abstractNumId w:val="5"/>
  </w:num>
  <w:num w:numId="25" w16cid:durableId="1117718607">
    <w:abstractNumId w:val="4"/>
  </w:num>
  <w:num w:numId="26" w16cid:durableId="6635577">
    <w:abstractNumId w:val="8"/>
  </w:num>
  <w:num w:numId="27" w16cid:durableId="1011295695">
    <w:abstractNumId w:val="3"/>
  </w:num>
  <w:num w:numId="28" w16cid:durableId="63112118">
    <w:abstractNumId w:val="2"/>
  </w:num>
  <w:num w:numId="29" w16cid:durableId="2008089918">
    <w:abstractNumId w:val="1"/>
  </w:num>
  <w:num w:numId="30" w16cid:durableId="2025472992">
    <w:abstractNumId w:val="0"/>
  </w:num>
  <w:num w:numId="31" w16cid:durableId="1952855736">
    <w:abstractNumId w:val="9"/>
  </w:num>
  <w:num w:numId="32" w16cid:durableId="2096169689">
    <w:abstractNumId w:val="7"/>
  </w:num>
  <w:num w:numId="33" w16cid:durableId="1905414071">
    <w:abstractNumId w:val="6"/>
  </w:num>
  <w:num w:numId="34" w16cid:durableId="2016494799">
    <w:abstractNumId w:val="5"/>
  </w:num>
  <w:num w:numId="35" w16cid:durableId="619143595">
    <w:abstractNumId w:val="4"/>
  </w:num>
  <w:num w:numId="36" w16cid:durableId="392237799">
    <w:abstractNumId w:val="8"/>
  </w:num>
  <w:num w:numId="37" w16cid:durableId="347677721">
    <w:abstractNumId w:val="3"/>
  </w:num>
  <w:num w:numId="38" w16cid:durableId="1781146724">
    <w:abstractNumId w:val="2"/>
  </w:num>
  <w:num w:numId="39" w16cid:durableId="1918131486">
    <w:abstractNumId w:val="1"/>
  </w:num>
  <w:num w:numId="40" w16cid:durableId="1364940975">
    <w:abstractNumId w:val="0"/>
  </w:num>
  <w:num w:numId="41" w16cid:durableId="1615867788">
    <w:abstractNumId w:val="10"/>
  </w:num>
  <w:num w:numId="42" w16cid:durableId="194007968">
    <w:abstractNumId w:val="10"/>
  </w:num>
  <w:num w:numId="43" w16cid:durableId="277296966">
    <w:abstractNumId w:val="10"/>
  </w:num>
  <w:num w:numId="44" w16cid:durableId="4778906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27F"/>
    <w:rsid w:val="00002272"/>
    <w:rsid w:val="0004708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AA4"/>
    <w:rsid w:val="002767FF"/>
    <w:rsid w:val="002B18FE"/>
    <w:rsid w:val="002B5493"/>
    <w:rsid w:val="0033067F"/>
    <w:rsid w:val="00343214"/>
    <w:rsid w:val="00352E08"/>
    <w:rsid w:val="00361C00"/>
    <w:rsid w:val="00395FA1"/>
    <w:rsid w:val="003E15D4"/>
    <w:rsid w:val="00411CCE"/>
    <w:rsid w:val="0041666E"/>
    <w:rsid w:val="00421060"/>
    <w:rsid w:val="00465B59"/>
    <w:rsid w:val="00471C19"/>
    <w:rsid w:val="004867E3"/>
    <w:rsid w:val="00494A28"/>
    <w:rsid w:val="004C0004"/>
    <w:rsid w:val="004C5D52"/>
    <w:rsid w:val="00502EFC"/>
    <w:rsid w:val="0050519A"/>
    <w:rsid w:val="005072A1"/>
    <w:rsid w:val="00514517"/>
    <w:rsid w:val="00520883"/>
    <w:rsid w:val="00545827"/>
    <w:rsid w:val="00560270"/>
    <w:rsid w:val="0056427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388"/>
    <w:rsid w:val="008C2AC6"/>
    <w:rsid w:val="00930C23"/>
    <w:rsid w:val="0093193B"/>
    <w:rsid w:val="009509D8"/>
    <w:rsid w:val="00950B64"/>
    <w:rsid w:val="00981893"/>
    <w:rsid w:val="009C0EC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4F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5/2026"/>
    <w:docVar w:name="dvlangue" w:val="BG"/>
    <w:docVar w:name="dvnumam" w:val="0"/>
    <w:docVar w:name="dvpe" w:val="784.388"/>
    <w:docVar w:name="dvrapporteur" w:val="Докладчици: "/>
    <w:docVar w:name="dvtitre" w:val="Резолюция на Европейския парламент от ... 2026 г. Европейски политически партии и фондации – доклад за 2026 г. относно прилагането на Регламент (ЕС, Евратом) 2025/2445 и относно финансираните дейности(2026/20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4D7AB18"/>
  <w15:chartTrackingRefBased/>
  <w15:docId w15:val="{83F8198B-8C31-4714-AEA0-18E1B93B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9138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89138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91388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91388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9138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91388"/>
    <w:rPr>
      <w:color w:val="0000FF"/>
      <w:u w:val="single"/>
    </w:rPr>
  </w:style>
  <w:style w:type="paragraph" w:styleId="Revision">
    <w:name w:val="Revision"/>
    <w:hidden/>
    <w:uiPriority w:val="99"/>
    <w:semiHidden/>
    <w:rsid w:val="00520883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445/oj" TargetMode="External" /><Relationship Id="rId2" Type="http://schemas.openxmlformats.org/officeDocument/2006/relationships/hyperlink" Target="http://data.europa.eu/eli/reg/2024/250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2149</Words>
  <Characters>13750</Characters>
  <Application>Microsoft Office Word</Application>
  <DocSecurity>0</DocSecurity>
  <Lines>550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2026-07-14T06:14:00Z</dcterms:created>
  <dcterms:modified xsi:type="dcterms:W3CDTF">2026-07-14T06:14:00Z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A10-0145/2026</vt:lpwstr>
  </property>
  <property fmtid="{D5CDD505-2E9C-101B-9397-08002B2CF9AE}" pid="4" name="&lt;Type&gt;">
    <vt:lpwstr>RR</vt:lpwstr>
  </property>
</Properties>
</file>