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1C07D9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A36FE" w:rsidP="0010095E" w14:paraId="46A3D467" w14:textId="77777777">
            <w:pPr>
              <w:pStyle w:val="EPName"/>
            </w:pPr>
            <w:r w:rsidRPr="000A36FE">
              <w:t>Evropský parlament</w:t>
            </w:r>
          </w:p>
          <w:p w:rsidR="00751A4A" w:rsidRPr="000A36FE" w:rsidP="005F1B17" w14:paraId="16185C6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36FE">
              <w:t>2024</w:t>
            </w:r>
            <w:r w:rsidRPr="000A36FE" w:rsidR="00817416">
              <w:t>-202</w:t>
            </w:r>
            <w:r w:rsidRPr="000A36F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A36FE" w:rsidP="0010095E" w14:paraId="3F9D5486" w14:textId="77777777">
            <w:pPr>
              <w:pStyle w:val="EPLogo"/>
            </w:pPr>
            <w:r w:rsidRPr="000A36F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A36FE" w:rsidP="004C5D52" w14:paraId="209F96DA" w14:textId="77777777">
      <w:pPr>
        <w:pStyle w:val="LineTop"/>
      </w:pPr>
    </w:p>
    <w:p w:rsidR="00680577" w:rsidRPr="000A36FE" w:rsidP="00680577" w14:paraId="256AE01F" w14:textId="77777777">
      <w:pPr>
        <w:pStyle w:val="EPBodyTA1"/>
      </w:pPr>
      <w:r w:rsidRPr="000A36FE">
        <w:t>PŘIJATÉ TEXTY</w:t>
      </w:r>
    </w:p>
    <w:p w:rsidR="00D058B8" w:rsidRPr="000A36FE" w:rsidP="00D058B8" w14:paraId="1024BE36" w14:textId="77777777">
      <w:pPr>
        <w:pStyle w:val="LineBottom"/>
      </w:pPr>
    </w:p>
    <w:p w:rsidR="008B551E" w:rsidRPr="000A36FE" w:rsidP="008B551E" w14:paraId="6CA1D2E4" w14:textId="22D6C34C">
      <w:pPr>
        <w:pStyle w:val="ATHeading1"/>
      </w:pPr>
      <w:bookmarkStart w:id="0" w:name="TANumber"/>
      <w:r w:rsidRPr="000A36FE">
        <w:t>P10_TA(2026)0</w:t>
      </w:r>
      <w:bookmarkEnd w:id="0"/>
      <w:r w:rsidR="006B6566">
        <w:t>202</w:t>
      </w:r>
    </w:p>
    <w:p w:rsidR="008B551E" w:rsidRPr="000A36FE" w:rsidP="008B551E" w14:paraId="1724544A" w14:textId="43896227">
      <w:pPr>
        <w:pStyle w:val="ATHeading2"/>
      </w:pPr>
      <w:bookmarkStart w:id="1" w:name="title"/>
      <w:r w:rsidRPr="000A36FE">
        <w:t>Evropské politické strany a nadace – zpráva za rok 2026 o uplatňování nařízení (EU, Euratom)</w:t>
      </w:r>
      <w:r w:rsidR="008B3904">
        <w:t xml:space="preserve"> </w:t>
      </w:r>
      <w:r w:rsidRPr="000A36FE">
        <w:t>2025/2445 a o financovaných činnostech</w:t>
      </w:r>
      <w:bookmarkEnd w:id="1"/>
    </w:p>
    <w:p w:rsidR="008B551E" w:rsidRPr="000A36FE" w:rsidP="008B551E" w14:paraId="67C25E3E" w14:textId="77777777">
      <w:pPr>
        <w:rPr>
          <w:i/>
          <w:vanish/>
        </w:rPr>
      </w:pPr>
      <w:r>
        <w:rPr>
          <w:i/>
        </w:rPr>
        <w:fldChar w:fldCharType="begin"/>
      </w:r>
      <w:r w:rsidRPr="000A36FE">
        <w:rPr>
          <w:i/>
        </w:rPr>
        <w:instrText xml:space="preserve"> TC"(</w:instrText>
      </w:r>
      <w:bookmarkStart w:id="2" w:name="DocNumber"/>
      <w:r w:rsidRPr="000A36FE">
        <w:rPr>
          <w:i/>
        </w:rPr>
        <w:instrText>A10-0145/2026</w:instrText>
      </w:r>
      <w:bookmarkEnd w:id="2"/>
      <w:r w:rsidRPr="000A36FE">
        <w:rPr>
          <w:i/>
        </w:rPr>
        <w:instrText xml:space="preserve"> - Zpravodajové: Loránt Vincze, Charles Goerens)"\l3 \n&gt; \* MERGEFORMAT </w:instrText>
      </w:r>
      <w:r>
        <w:rPr>
          <w:i/>
        </w:rPr>
        <w:fldChar w:fldCharType="end"/>
      </w:r>
    </w:p>
    <w:p w:rsidR="008B551E" w:rsidRPr="000A36FE" w:rsidP="008B551E" w14:paraId="26A655AE" w14:textId="77777777">
      <w:pPr>
        <w:rPr>
          <w:vanish/>
        </w:rPr>
      </w:pPr>
      <w:bookmarkStart w:id="3" w:name="Commission"/>
      <w:r w:rsidRPr="000A36FE">
        <w:rPr>
          <w:vanish/>
        </w:rPr>
        <w:t>Výbor pro ústavní záležitosti</w:t>
      </w:r>
      <w:bookmarkEnd w:id="3"/>
    </w:p>
    <w:p w:rsidR="008B551E" w:rsidRPr="000A36FE" w:rsidP="008B551E" w14:paraId="5631AFEE" w14:textId="77777777">
      <w:pPr>
        <w:rPr>
          <w:vanish/>
        </w:rPr>
      </w:pPr>
      <w:bookmarkStart w:id="4" w:name="PE"/>
      <w:r w:rsidRPr="000A36FE">
        <w:rPr>
          <w:vanish/>
        </w:rPr>
        <w:t>PE784.388</w:t>
      </w:r>
      <w:bookmarkEnd w:id="4"/>
    </w:p>
    <w:p w:rsidR="008B551E" w:rsidRPr="000A36FE" w:rsidP="008B551E" w14:paraId="4B370E62" w14:textId="77334B53">
      <w:pPr>
        <w:pStyle w:val="ATHeading3"/>
      </w:pPr>
      <w:bookmarkStart w:id="5" w:name="Sujet"/>
      <w:r w:rsidRPr="000A36FE">
        <w:t>Usnesení Evropského parlamentu ze dne</w:t>
      </w:r>
      <w:r w:rsidR="003A276C">
        <w:t xml:space="preserve"> </w:t>
      </w:r>
      <w:r w:rsidR="00DF21F0">
        <w:t>16</w:t>
      </w:r>
      <w:r w:rsidR="003A276C">
        <w:t>. června</w:t>
      </w:r>
      <w:r w:rsidRPr="000A36FE">
        <w:t xml:space="preserve"> 2026 Evropské politické strany a nadace – zpráva za rok 2026 o uplatňování nařízení (EU, Euratom) 2025/2445 a o financovaných činnostech</w:t>
      </w:r>
      <w:bookmarkEnd w:id="5"/>
      <w:r w:rsidRPr="000A36FE">
        <w:t xml:space="preserve"> </w:t>
      </w:r>
      <w:bookmarkStart w:id="6" w:name="References"/>
      <w:r w:rsidRPr="000A36FE">
        <w:t>(2026/2013(INI))</w:t>
      </w:r>
      <w:bookmarkEnd w:id="6"/>
    </w:p>
    <w:p w:rsidR="00347FBE" w:rsidRPr="000A36FE" w:rsidP="003A276C" w14:paraId="44C5829C" w14:textId="77777777">
      <w:pPr>
        <w:pStyle w:val="Normal12"/>
        <w:spacing w:before="360"/>
      </w:pPr>
      <w:r w:rsidRPr="003A276C">
        <w:rPr>
          <w:i/>
          <w:iCs/>
        </w:rPr>
        <w:t>Evropský parlament</w:t>
      </w:r>
      <w:r w:rsidRPr="000A36FE">
        <w:t>,</w:t>
      </w:r>
    </w:p>
    <w:p w:rsidR="00347FBE" w:rsidRPr="000A36FE" w:rsidP="00347FBE" w14:paraId="68307675" w14:textId="77777777">
      <w:pPr>
        <w:pStyle w:val="NormalHanging"/>
      </w:pPr>
      <w:r w:rsidRPr="000A36FE">
        <w:t>–</w:t>
      </w:r>
      <w:r w:rsidRPr="000A36FE">
        <w:tab/>
        <w:t>s ohledem na článek 2 a čl. 10 odst. 4 Smlouvy o Evropské unii a na čl. 12 odst. 2 Listiny základních práv Evropské unie,</w:t>
      </w:r>
    </w:p>
    <w:p w:rsidR="00347FBE" w:rsidRPr="000A36FE" w:rsidP="00347FBE" w14:paraId="263D53E7" w14:textId="77777777">
      <w:pPr>
        <w:pStyle w:val="NormalHanging"/>
      </w:pPr>
      <w:r w:rsidRPr="000A36FE">
        <w:t>–</w:t>
      </w:r>
      <w:r w:rsidRPr="000A36FE">
        <w:tab/>
        <w:t>s ohledem na články 224 a 325 Smlouvy o fungování Evropské unie,</w:t>
      </w:r>
    </w:p>
    <w:p w:rsidR="00347FBE" w:rsidRPr="000A36FE" w:rsidP="00347FBE" w14:paraId="19C87FE4" w14:textId="77777777">
      <w:pPr>
        <w:pStyle w:val="NormalHanging"/>
      </w:pPr>
      <w:r w:rsidRPr="000A36FE">
        <w:t>–</w:t>
      </w:r>
      <w:r w:rsidRPr="000A36FE">
        <w:tab/>
        <w:t>s ohledem na nařízení Evropského parlamentu a Rady (EU, Euratom) 2025/2445 ze dne 26. listopadu 2025 o statusu a financování evropských politických stran a evropských politických nadací</w:t>
      </w:r>
      <w:r>
        <w:rPr>
          <w:rStyle w:val="FootnoteReference"/>
        </w:rPr>
        <w:footnoteReference w:customMarkFollows="1" w:id="2"/>
        <w:t xml:space="preserve">1</w:t>
      </w:r>
      <w:r w:rsidRPr="000A36FE">
        <w:t xml:space="preserve"> (dále jen „nařízení“),</w:t>
      </w:r>
    </w:p>
    <w:p w:rsidR="00347FBE" w:rsidRPr="000A36FE" w:rsidP="00347FBE" w14:paraId="3BDEFF6E" w14:textId="77777777">
      <w:pPr>
        <w:pStyle w:val="NormalHanging"/>
      </w:pPr>
      <w:r w:rsidRPr="000A36FE">
        <w:t>–</w:t>
      </w:r>
      <w:r w:rsidRPr="000A36FE">
        <w:tab/>
        <w:t>s ohledem na nařízení Evropského parlamentu a Rady (EU, Euratom) 2024/2509 ze dne 23. září 2024, kterým se stanoví finanční pravidla pro souhrnný rozpočet Unie</w:t>
      </w:r>
      <w:r>
        <w:rPr>
          <w:rStyle w:val="FootnoteReference"/>
        </w:rPr>
        <w:footnoteReference w:customMarkFollows="1" w:id="3"/>
        <w:t xml:space="preserve">2</w:t>
      </w:r>
      <w:r w:rsidRPr="000A36FE">
        <w:t xml:space="preserve"> (finanční nařízení),</w:t>
      </w:r>
    </w:p>
    <w:p w:rsidR="00347FBE" w:rsidRPr="000A36FE" w:rsidP="00347FBE" w14:paraId="74FA023D" w14:textId="77777777">
      <w:pPr>
        <w:pStyle w:val="NormalHanging"/>
      </w:pPr>
      <w:r w:rsidRPr="000A36FE">
        <w:t>–</w:t>
      </w:r>
      <w:r w:rsidRPr="000A36FE">
        <w:tab/>
        <w:t>s ohledem na své usnesení ze dne 11. listopadu 2021 o uplatňování nařízení (EU, Euratom) č. 1141/2014 o statusu a financování evropských politických stran a evropských politických nadací</w:t>
      </w:r>
      <w:r>
        <w:rPr>
          <w:rStyle w:val="FootnoteReference"/>
        </w:rPr>
        <w:footnoteReference w:customMarkFollows="1" w:id="4"/>
        <w:t xml:space="preserve">3</w:t>
      </w:r>
      <w:r w:rsidRPr="000A36FE">
        <w:t>,</w:t>
      </w:r>
    </w:p>
    <w:p w:rsidR="00347FBE" w:rsidRPr="000A36FE" w:rsidP="00347FBE" w14:paraId="3634D1DA" w14:textId="77777777">
      <w:pPr>
        <w:pStyle w:val="NormalHanging"/>
      </w:pPr>
      <w:r w:rsidRPr="000A36FE">
        <w:t>–</w:t>
      </w:r>
      <w:r w:rsidRPr="000A36FE">
        <w:tab/>
        <w:t>s ohledem na konzultace s Úřadem pro evropské politické strany a evropské politické nadace (dále jen „úřad“) a s ohledem na jeho výroční zprávy o činnosti,</w:t>
      </w:r>
    </w:p>
    <w:p w:rsidR="00347FBE" w:rsidRPr="000A36FE" w:rsidP="00347FBE" w14:paraId="23635D0E" w14:textId="77777777">
      <w:pPr>
        <w:pStyle w:val="NormalHanging"/>
      </w:pPr>
      <w:r w:rsidRPr="000A36FE">
        <w:t>–</w:t>
      </w:r>
      <w:r w:rsidRPr="000A36FE">
        <w:tab/>
        <w:t>s ohledem na výměnu názorů s evropskými politickými nadacemi a institucionálními aktéry ze dne 18. března 2026, kterou uspořádal Výbor pro ústavní záležitosti,</w:t>
      </w:r>
    </w:p>
    <w:p w:rsidR="00347FBE" w:rsidRPr="000A36FE" w:rsidP="00347FBE" w14:paraId="35F5B927" w14:textId="77777777">
      <w:pPr>
        <w:pStyle w:val="NormalHanging"/>
      </w:pPr>
      <w:r w:rsidRPr="000A36FE">
        <w:t>–</w:t>
      </w:r>
      <w:r w:rsidRPr="000A36FE">
        <w:tab/>
        <w:t>s ohledem na článek 55 jednacího řádu,</w:t>
      </w:r>
    </w:p>
    <w:p w:rsidR="00347FBE" w:rsidRPr="000A36FE" w:rsidP="00347FBE" w14:paraId="2ECCE98E" w14:textId="77777777">
      <w:pPr>
        <w:pStyle w:val="NormalHanging"/>
      </w:pPr>
      <w:r w:rsidRPr="000A36FE">
        <w:t>–</w:t>
      </w:r>
      <w:r w:rsidRPr="000A36FE">
        <w:tab/>
        <w:t>s ohledem na zprávu Výboru pro ústavní záležitosti (A10-0145/2026),</w:t>
      </w:r>
    </w:p>
    <w:p w:rsidR="00347FBE" w:rsidRPr="000A36FE" w:rsidP="00347FBE" w14:paraId="0628C501" w14:textId="77777777">
      <w:pPr>
        <w:pStyle w:val="NormalHanging"/>
      </w:pPr>
      <w:r w:rsidRPr="000A36FE">
        <w:t>A.</w:t>
      </w:r>
      <w:r w:rsidRPr="000A36FE">
        <w:tab/>
        <w:t xml:space="preserve">vzhledem k tomu, že silné politické strany a nadace na evropské úrovni mají zásadní </w:t>
      </w:r>
      <w:r w:rsidRPr="000A36FE">
        <w:t>význam pro rozvoj skutečně unijní veřejné sféry;</w:t>
      </w:r>
    </w:p>
    <w:p w:rsidR="00347FBE" w:rsidRPr="000A36FE" w:rsidP="00347FBE" w14:paraId="651A77BA" w14:textId="77777777">
      <w:pPr>
        <w:pStyle w:val="NormalHanging"/>
      </w:pPr>
      <w:r w:rsidRPr="000A36FE">
        <w:t>B.</w:t>
      </w:r>
      <w:r w:rsidRPr="000A36FE">
        <w:tab/>
        <w:t>vzhledem k tomu, že evropské politické strany a evropské politické nadace by měly hrát v rámci evropských voleb zásadnější úlohu a měly by přispívat k vytváření unijního politického povědomí a vyjádření vůle občanů EU; vzhledem k tomu, že z hlediska veřejného diskurzu a toho, aby mohli občané vyjádřit svou volbu, má zásadní význam politická rozmanitost;</w:t>
      </w:r>
    </w:p>
    <w:p w:rsidR="00347FBE" w:rsidRPr="000A36FE" w:rsidP="00347FBE" w14:paraId="436FF589" w14:textId="77777777">
      <w:pPr>
        <w:pStyle w:val="NormalHanging"/>
      </w:pPr>
      <w:r w:rsidRPr="000A36FE">
        <w:t>C.</w:t>
      </w:r>
      <w:r w:rsidRPr="000A36FE">
        <w:tab/>
        <w:t>vzhledem k tomu, že evropské politické strany a nadace by měly spolupracovat se svými vnitrostátními členskými stranami a partnery, aby je podpořily v úsilí o přiblížení EU a její politiky občanům a o zvýšení demokratické legitimity;</w:t>
      </w:r>
    </w:p>
    <w:p w:rsidR="00347FBE" w:rsidRPr="000A36FE" w:rsidP="00347FBE" w14:paraId="392B4FE1" w14:textId="77777777">
      <w:pPr>
        <w:pStyle w:val="NormalHanging"/>
      </w:pPr>
      <w:r w:rsidRPr="000A36FE">
        <w:t>D.</w:t>
      </w:r>
      <w:r w:rsidRPr="000A36FE">
        <w:tab/>
        <w:t>vzhledem k tomu, že v roce 2025 byly u úřadu zaregistrovány další dvě nadace, což znamená, že k 31. prosinci 2025 bylo z rozpočtu EU financováno 12 evropských politických stran a 12 přidružených evropských politických nadací;</w:t>
      </w:r>
    </w:p>
    <w:p w:rsidR="00347FBE" w:rsidRPr="000A36FE" w:rsidP="00347FBE" w14:paraId="4DA42CAD" w14:textId="77777777">
      <w:pPr>
        <w:pStyle w:val="NormalHanging"/>
      </w:pPr>
      <w:r w:rsidRPr="000A36FE">
        <w:t>E.</w:t>
      </w:r>
      <w:r w:rsidRPr="000A36FE">
        <w:tab/>
        <w:t>vzhledem k tomu, že přepracované nařízení vstoupilo v platnost dne 28. prosince 2025 a zavedlo řadu důležitých novinek, včetně jasnějších pravidel pro společné evropské politické činnosti, zvýšené transparentnosti a povinnosti podávat zprávy, zpřísněných požadavků na náležitou péči u darů a výslovného uznání zdrojů vytvořených vlastní činností jako kategorie příjmů;</w:t>
      </w:r>
    </w:p>
    <w:p w:rsidR="00347FBE" w:rsidRPr="000A36FE" w:rsidP="00347FBE" w14:paraId="2E52BCB2" w14:textId="77777777">
      <w:pPr>
        <w:pStyle w:val="NormalHanging"/>
      </w:pPr>
      <w:r w:rsidRPr="000A36FE">
        <w:t>F.</w:t>
      </w:r>
      <w:r w:rsidRPr="000A36FE">
        <w:tab/>
        <w:t>vzhledem k tomu, že nařízení je v platnosti teprve krátce; vzhledem k tomu, že údaje a zkušenosti ohledně provádění nařízení jsou zatím omezené; vzhledem k tomu, že komplexní posouzení provádění nařízení i dopadu vyžaduje dostatek času a důkazů; vzhledem k tomu, že se však bezprostředně po vstupu nařízení v platnost objevily nepředvídané politické problémy, zejména v oblasti financování politických nadací, které vyžadují naléhavá opatření;</w:t>
      </w:r>
    </w:p>
    <w:p w:rsidR="00347FBE" w:rsidRPr="000A36FE" w:rsidP="00347FBE" w14:paraId="371DB5F5" w14:textId="77777777">
      <w:pPr>
        <w:pStyle w:val="NormalHanging"/>
      </w:pPr>
      <w:r w:rsidRPr="000A36FE">
        <w:t>G.</w:t>
      </w:r>
      <w:r w:rsidRPr="000A36FE">
        <w:tab/>
        <w:t>vzhledem k tomu, že v souladu s přepracovaným nařízením má Evropský parlament do 29. června 2026 zveřejnit zprávu o uplatňování nařízení a o financovaných činnostech; vzhledem k tomu, že po zveřejnění zprávy Evropského parlamentu bude mít Komise jeden rok na to, aby předložila zprávu o uplatňování nařízení, případně spolu s návrhem na jeho změnu;</w:t>
      </w:r>
    </w:p>
    <w:p w:rsidR="00347FBE" w:rsidRPr="000A36FE" w:rsidP="00347FBE" w14:paraId="09DA41D0" w14:textId="77777777">
      <w:pPr>
        <w:pStyle w:val="NormalHanging"/>
      </w:pPr>
      <w:r w:rsidRPr="000A36FE">
        <w:t>H.</w:t>
      </w:r>
      <w:r w:rsidRPr="000A36FE">
        <w:tab/>
        <w:t>vzhledem k tomu, že zpráva Komise by měla věnovat zvláštní pozornost důsledkům tohoto nařízení pro postavení malých evropských politických stran a evropských politických nadací a pro pravidla financování evropských politických nadací;</w:t>
      </w:r>
    </w:p>
    <w:p w:rsidR="00347FBE" w:rsidRPr="000A36FE" w:rsidP="00347FBE" w14:paraId="151B78D2" w14:textId="77777777">
      <w:pPr>
        <w:pStyle w:val="NormalHanging"/>
      </w:pPr>
      <w:r w:rsidRPr="000A36FE">
        <w:t>I.</w:t>
      </w:r>
      <w:r w:rsidRPr="000A36FE">
        <w:tab/>
        <w:t>vzhledem k tomu, že evropské politické nadace jsou nedílnou součástí demokratické struktury EU, neboť podporují politickou diskusi, rozvoj politik, výzkum, vzdělávání a občanskou angažovanost na unijní i vnitrostátní úrovni;</w:t>
      </w:r>
    </w:p>
    <w:p w:rsidR="00347FBE" w:rsidRPr="000A36FE" w:rsidP="00347FBE" w14:paraId="59F6C2DD" w14:textId="77777777">
      <w:pPr>
        <w:pStyle w:val="NormalHanging"/>
      </w:pPr>
      <w:r w:rsidRPr="000A36FE">
        <w:t>J.</w:t>
      </w:r>
      <w:r w:rsidRPr="000A36FE">
        <w:tab/>
        <w:t>vzhledem k tomu, že mandát evropských politických nadací zahrnuje zvyšování politického povědomí o otázkách politiky EU a procesu evropské integrace a přispívání k nim a dále poskytování služeb, které nejsou určeny výhradně členům nebo voličům určité strany, ale jsou otevřeny všem za stejných podmínek;</w:t>
      </w:r>
    </w:p>
    <w:p w:rsidR="00347FBE" w:rsidRPr="000A36FE" w:rsidP="00347FBE" w14:paraId="6A9E896D" w14:textId="77777777">
      <w:pPr>
        <w:pStyle w:val="NormalHanging"/>
      </w:pPr>
      <w:r w:rsidRPr="000A36FE">
        <w:t>K.</w:t>
      </w:r>
      <w:r w:rsidRPr="000A36FE">
        <w:tab/>
        <w:t>vzhledem k tomu, že provádění nařízení probíhá v kontextu hluboké geopolitické nestability, která se vyznačuje zvýšenou strategickou konkurencí, hybridními hrozbami, dezinformacemi, technologickými přelomy, změnou klimatu a dlouhodobými socioekonomickými změnami;</w:t>
      </w:r>
    </w:p>
    <w:p w:rsidR="00347FBE" w:rsidRPr="000A36FE" w:rsidP="00347FBE" w14:paraId="5F0AFF13" w14:textId="77777777">
      <w:pPr>
        <w:pStyle w:val="NormalHanging"/>
      </w:pPr>
      <w:r w:rsidRPr="000A36FE">
        <w:t>L.</w:t>
      </w:r>
      <w:r w:rsidRPr="000A36FE">
        <w:tab/>
        <w:t>vzhledem k tomu, že tento vývoj vyžaduje, aby EU posílila svou schopnost strategického výhledu, předvídavého řízení a dlouhodobého politického plánování, aby se mohla účinně připravit na výzvy v období do roku 2040 a po něm;</w:t>
      </w:r>
    </w:p>
    <w:p w:rsidR="00347FBE" w:rsidRPr="000A36FE" w:rsidP="00347FBE" w14:paraId="43E86BFF" w14:textId="77777777">
      <w:pPr>
        <w:pStyle w:val="NormalHanging"/>
      </w:pPr>
      <w:r w:rsidRPr="000A36FE">
        <w:t>M.</w:t>
      </w:r>
      <w:r w:rsidRPr="000A36FE">
        <w:tab/>
        <w:t>vzhledem k tomu, že evropské politické nadace mají jedinečnou možnost přispět k tomuto úsilí prostřednictvím dlouhodobého výzkumu, srovnávací analýzy, nadnárodního dialogu, politického vzdělávání a budování kapacit;</w:t>
      </w:r>
    </w:p>
    <w:p w:rsidR="00347FBE" w:rsidRPr="000A36FE" w:rsidP="00347FBE" w14:paraId="4683E549" w14:textId="77777777">
      <w:pPr>
        <w:pStyle w:val="NormalHanging"/>
      </w:pPr>
      <w:r w:rsidRPr="000A36FE">
        <w:t>N.</w:t>
      </w:r>
      <w:r w:rsidRPr="000A36FE">
        <w:tab/>
        <w:t>vzhledem k tomu, že současná výše a struktura finančních prostředků EU, které mají evropské politické nadace k dispozici, již neodpovídá rozsahu, strategickému významu a rostoucí složitosti jejich úkolů;</w:t>
      </w:r>
    </w:p>
    <w:p w:rsidR="00347FBE" w:rsidRPr="000A36FE" w:rsidP="00347FBE" w14:paraId="4CFFFE94" w14:textId="77777777">
      <w:pPr>
        <w:pStyle w:val="NormalHanging"/>
      </w:pPr>
      <w:r w:rsidRPr="000A36FE">
        <w:t>O.</w:t>
      </w:r>
      <w:r w:rsidRPr="000A36FE">
        <w:tab/>
        <w:t>vzhledem k tomu, že politické nadace informovaly o nepřiměřené regulační zátěži a vyzvaly ke zjednodušení regulačních požadavků, zejména pokud jde o povinnosti týkající se podávání zpráv a transparentnosti, jakož i k možnosti obnovit nápravná opatření, jež jsou nezbytná k zajištění řádného fungování procesu financování;</w:t>
      </w:r>
    </w:p>
    <w:p w:rsidR="00347FBE" w:rsidRPr="000A36FE" w:rsidP="00347FBE" w14:paraId="13D66489" w14:textId="77777777">
      <w:pPr>
        <w:pStyle w:val="Normal12a"/>
      </w:pPr>
      <w:r w:rsidRPr="000A36FE">
        <w:rPr>
          <w:b/>
          <w:i/>
        </w:rPr>
        <w:t>Obecné hodnocení přepracovaného nařízení</w:t>
      </w:r>
    </w:p>
    <w:p w:rsidR="00347FBE" w:rsidRPr="000A36FE" w:rsidP="00347FBE" w14:paraId="22DB9D69" w14:textId="77777777">
      <w:pPr>
        <w:pStyle w:val="NormalHanging12a"/>
      </w:pPr>
      <w:r w:rsidRPr="000A36FE">
        <w:t>1.</w:t>
      </w:r>
      <w:r w:rsidRPr="000A36FE">
        <w:tab/>
        <w:t>vítá přijetí přepracovaného nařízení jako důležitý krok k modernizaci právního rámce pro evropské politické strany a nadace a k posílení demokratické integrity na úrovni EU;</w:t>
      </w:r>
    </w:p>
    <w:p w:rsidR="00347FBE" w:rsidRPr="000A36FE" w:rsidP="00347FBE" w14:paraId="5E327D1D" w14:textId="77777777">
      <w:pPr>
        <w:pStyle w:val="NormalHanging12a"/>
      </w:pPr>
      <w:r w:rsidRPr="000A36FE">
        <w:t>2.</w:t>
      </w:r>
      <w:r w:rsidRPr="000A36FE">
        <w:tab/>
        <w:t>konstatuje, že nařízení zlepšilo právní jasnost v několika oblastech, zejména pokud jde o společné evropské politické činnosti, požadavky na transparentnost a záruky proti zahraničnímu vměšování;</w:t>
      </w:r>
    </w:p>
    <w:p w:rsidR="00347FBE" w:rsidRPr="000A36FE" w:rsidP="00347FBE" w14:paraId="51F6B5AC" w14:textId="77777777">
      <w:pPr>
        <w:pStyle w:val="NormalHanging12a"/>
      </w:pPr>
      <w:r w:rsidRPr="000A36FE">
        <w:t>3.</w:t>
      </w:r>
      <w:r w:rsidRPr="000A36FE">
        <w:tab/>
        <w:t>zdůrazňuje však, že dosavadní zkušenosti a údaje ohledně provádění přepracovaného nařízení jsou stále omezené a že hloubkové a horizontální hodnocení bude možné provést až v pozdější fázi; poukazuje nicméně na to, že nepředvídané politické problémy, které se objevily bezprostředně po vstupu nařízení v platnost, zejména v oblasti financování politických nadací, vyžadují naléhavá opatření;</w:t>
      </w:r>
    </w:p>
    <w:p w:rsidR="00347FBE" w:rsidRPr="000A36FE" w:rsidP="00347FBE" w14:paraId="00A47628" w14:textId="77777777">
      <w:pPr>
        <w:pStyle w:val="NormalHanging12a"/>
      </w:pPr>
      <w:r w:rsidRPr="000A36FE">
        <w:t>4.</w:t>
      </w:r>
      <w:r w:rsidRPr="000A36FE">
        <w:tab/>
        <w:t>se znepokojením vnímá zprávy nadací o nepřiměřené regulační zátěži a zavazuje se, že bude ve svém nadcházejícím systematickém hodnocení provádět v této věci další šetření a následná opatření; v této souvislosti zdůrazňuje význam účinných a přiměřených nápravných opatření jako nástroje k zajištění souladu s nařízením a zavazuje se, že přezkoumá využívání těchto opatření v aktuální praxi;</w:t>
      </w:r>
    </w:p>
    <w:p w:rsidR="00347FBE" w:rsidRPr="000A36FE" w:rsidP="00347FBE" w14:paraId="40559ADF" w14:textId="77777777">
      <w:pPr>
        <w:pStyle w:val="NormalHanging12a"/>
      </w:pPr>
      <w:r w:rsidRPr="000A36FE">
        <w:t>5.</w:t>
      </w:r>
      <w:r w:rsidRPr="000A36FE">
        <w:tab/>
        <w:t>bere na vědomí právní nejistotu a provozní omezení, kterým evropské politické nadace stále čelí, zejména pokud jde o klasifikaci způsobilých nákladů, a domnívá se, že tyto otázky je třeba včas vyjasnit;</w:t>
      </w:r>
    </w:p>
    <w:p w:rsidR="00347FBE" w:rsidRPr="000A36FE" w:rsidP="00347FBE" w14:paraId="2F233BA6" w14:textId="77777777">
      <w:pPr>
        <w:pStyle w:val="Normal12a"/>
      </w:pPr>
      <w:r w:rsidRPr="000A36FE">
        <w:rPr>
          <w:b/>
          <w:i/>
        </w:rPr>
        <w:t>Úloha evropských politických nadací</w:t>
      </w:r>
    </w:p>
    <w:p w:rsidR="00347FBE" w:rsidRPr="000A36FE" w:rsidP="00347FBE" w14:paraId="75B41E0D" w14:textId="77777777">
      <w:pPr>
        <w:pStyle w:val="NormalHanging12a"/>
      </w:pPr>
      <w:r w:rsidRPr="000A36FE">
        <w:t>6.</w:t>
      </w:r>
      <w:r w:rsidRPr="000A36FE">
        <w:tab/>
        <w:t>opakuje, že evropské politické nadace hrají podle Smluv zvláštní institucionální úlohu tím, že posilují evropské politické povědomí, podporují tvorbu politiky založenou na faktech a posilují demokratickou kulturu a občanskou angažovanost v celé EU;</w:t>
      </w:r>
    </w:p>
    <w:p w:rsidR="00347FBE" w:rsidRPr="000A36FE" w:rsidP="00347FBE" w14:paraId="19F1D542" w14:textId="77777777">
      <w:pPr>
        <w:pStyle w:val="NormalHanging12a"/>
      </w:pPr>
      <w:r w:rsidRPr="000A36FE">
        <w:t>7.</w:t>
      </w:r>
      <w:r w:rsidRPr="000A36FE">
        <w:tab/>
        <w:t>upozorňuje na skutečnost, že geopolitické a technologické prostředí je od zveřejnění návrhu Komise z roku 2021 na přepracování nařízení (EU, Euratom) č. 1141/2014</w:t>
      </w:r>
      <w:r>
        <w:rPr>
          <w:rStyle w:val="FootnoteReference"/>
        </w:rPr>
        <w:footnoteReference w:customMarkFollows="1" w:id="5"/>
        <w:t xml:space="preserve">4</w:t>
      </w:r>
      <w:r w:rsidRPr="000A36FE">
        <w:t xml:space="preserve"> stále nestabilnější a vyznačuje se zvýšeným bezpečnostním napětím, zahraničním vměšováním do demokratických procesů a zrychlenou socioekonomickou transformací; zdůrazňuje, že tento vývoj zvyšuje význam dlouhodobého politického plánování, demokratického vzdělávání a přeshraničního dialogu, k čemuž zvláště přispívají evropské politické nadace;</w:t>
      </w:r>
    </w:p>
    <w:p w:rsidR="00347FBE" w:rsidRPr="000A36FE" w:rsidP="00347FBE" w14:paraId="6D8EF441" w14:textId="77777777">
      <w:pPr>
        <w:pStyle w:val="NormalHanging12a"/>
      </w:pPr>
      <w:r w:rsidRPr="000A36FE">
        <w:t>8.</w:t>
      </w:r>
      <w:r w:rsidRPr="000A36FE">
        <w:tab/>
        <w:t>konstatuje, že evropské politické nadace potřebují vzhledem ke své rostoucí odpovědnosti nezbytné finanční nástroje a vhodné a stabilní zdroje, aby v návaznosti na zlepšení zavedená zmíněným nařízením mohly plně převzít svou institucionální úlohu;</w:t>
      </w:r>
    </w:p>
    <w:p w:rsidR="00347FBE" w:rsidRPr="000A36FE" w:rsidP="00347FBE" w14:paraId="203D530F" w14:textId="77777777">
      <w:pPr>
        <w:pStyle w:val="Normal12a"/>
      </w:pPr>
      <w:r w:rsidRPr="000A36FE">
        <w:rPr>
          <w:b/>
          <w:i/>
        </w:rPr>
        <w:t>Návrhy na zlepšení</w:t>
      </w:r>
    </w:p>
    <w:p w:rsidR="00347FBE" w:rsidRPr="000A36FE" w:rsidP="00347FBE" w14:paraId="6BA81A39" w14:textId="77777777">
      <w:pPr>
        <w:pStyle w:val="NormalHanging12a"/>
      </w:pPr>
      <w:r w:rsidRPr="000A36FE">
        <w:t>9.</w:t>
      </w:r>
      <w:r w:rsidRPr="000A36FE">
        <w:tab/>
        <w:t>zdůrazňuje, že je třeba zajistit, aby evropské politické nadace měly pevný právní rámec a finanční zabezpečení; zavazuje se spolupracovat s nadacemi na zajištění tohoto zabezpečení v rámci stávajících možností, zejména prostřednictvím revize způsobu, jakým jsou nadace finančně podporovány svými členskými organizacemi; připomíná, že nařízení nezakazuje flexibilní model členských příspěvků založený na účasti, v jehož rámci členské organizace přispívají na základě míry svého zapojení do společných činností; zdůrazňuje, že samotné společné činnosti by měly zůstat rozpočtově neutrální a neměly by nadacím přinášet příjmy, které převyšují skutečně vzniklé náklady;</w:t>
      </w:r>
    </w:p>
    <w:p w:rsidR="00347FBE" w:rsidRPr="000A36FE" w:rsidP="00347FBE" w14:paraId="2B02EA41" w14:textId="77777777">
      <w:pPr>
        <w:pStyle w:val="NormalHanging12a"/>
      </w:pPr>
      <w:r w:rsidRPr="000A36FE">
        <w:t>10.</w:t>
      </w:r>
      <w:r w:rsidRPr="000A36FE">
        <w:tab/>
        <w:t>vybízí evropské politické nadace, aby maximalizovaly finanční možnosti v rámci stávajícího rámce; zdůrazňuje, že financování evropských politických nadací z vlastních zdrojů evropských politických stran je v současné době povoleno podle čl. 2 odst. 10 stávajícího nařízení; vyzývá evropské politické strany i nadace, aby uzavřely ujednání o spolupráci, na jejichž základě budou nadace odměňovány stranami za jejich podíl na jakékoli společné práci, a to s přihlédnutím k jejich konkrétním úlohám podle Smluv;</w:t>
      </w:r>
    </w:p>
    <w:p w:rsidR="00347FBE" w:rsidRPr="000A36FE" w:rsidP="00347FBE" w14:paraId="29E188AC" w14:textId="77777777">
      <w:pPr>
        <w:pStyle w:val="NormalHanging12a"/>
      </w:pPr>
      <w:r w:rsidRPr="000A36FE">
        <w:t>11.</w:t>
      </w:r>
      <w:r w:rsidRPr="000A36FE">
        <w:tab/>
        <w:t>dále zdůrazňuje, že nařízení nezakazuje vnitrostátním nadacím, s výjimkou politických nadací, aby se staly členy evropských politických nadací a platily jim členské příspěvky;</w:t>
      </w:r>
    </w:p>
    <w:p w:rsidR="00347FBE" w:rsidRPr="000A36FE" w:rsidP="00347FBE" w14:paraId="4C44E5C8" w14:textId="77777777">
      <w:pPr>
        <w:pStyle w:val="NormalHanging12a"/>
      </w:pPr>
      <w:r w:rsidRPr="000A36FE">
        <w:t>12.</w:t>
      </w:r>
      <w:r w:rsidRPr="000A36FE">
        <w:tab/>
        <w:t>domnívá se, že článek 25 stávajícího nařízení lze formulovat jako explicitní potvrzení toho, že členským organizacím lze účtovat poplatky za účast na činnostech organizovaných evropskou politickou nadací;</w:t>
      </w:r>
    </w:p>
    <w:p w:rsidR="00347FBE" w:rsidRPr="000A36FE" w:rsidP="00347FBE" w14:paraId="0A300572" w14:textId="77777777">
      <w:pPr>
        <w:pStyle w:val="NormalHanging12a"/>
      </w:pPr>
      <w:r w:rsidRPr="000A36FE">
        <w:t>13.</w:t>
      </w:r>
      <w:r w:rsidRPr="000A36FE">
        <w:tab/>
        <w:t>konstatuje, že přísné uplatňování definice členských příspěvků, finanční a administrativní tlak na doplňování grantů z rozpočtu EU zdroji vytvořenými vlastní činností, pravidla platná pro společné evropské politické činnosti s členskými nadacemi a celková úroveň financování EU omezují finanční nezávislost a udržitelnost evropských politických nadací, zejména s ohledem na jejich rostoucí odpovědnost, a zdůrazňuje, že udržitelný rámec financování je nezbytný pro zachování jejich nezávislosti a zabránění nepatřičnému soukromému vlivu;</w:t>
      </w:r>
    </w:p>
    <w:p w:rsidR="00347FBE" w:rsidRPr="000A36FE" w:rsidP="00347FBE" w14:paraId="6F4DAD72" w14:textId="77777777">
      <w:pPr>
        <w:pStyle w:val="NormalHanging12a"/>
      </w:pPr>
      <w:r w:rsidRPr="000A36FE">
        <w:t>14.</w:t>
      </w:r>
      <w:r w:rsidRPr="000A36FE">
        <w:tab/>
        <w:t>zdůrazňuje, že v rámci diverzifikace vlastních zdrojů mohou evropské politické nadace přijímat dary od fyzických nebo právnických osob až do výše 18 000 EUR ročně od jednoho dárce; domnívá se, že strop pro tyto dary by mohl být navýšen, aby evropské politické nadace získaly větší flexibilitu;</w:t>
      </w:r>
    </w:p>
    <w:p w:rsidR="00347FBE" w:rsidRPr="000A36FE" w:rsidP="00347FBE" w14:paraId="1203CFC0" w14:textId="77777777">
      <w:pPr>
        <w:pStyle w:val="NormalHanging12a"/>
      </w:pPr>
      <w:r w:rsidRPr="000A36FE">
        <w:t>15.</w:t>
      </w:r>
      <w:r w:rsidRPr="000A36FE">
        <w:tab/>
        <w:t>vybízí úřad, aby ve spolupráci s Komisí pokračoval v dialogu s příslušnými vnitrostátními orgány a dále jej rozvíjel, a to s cílem zvýšit povědomí o dopadu vnitrostátních rámců financování na fungování evropských politických nadací a nalézt praktická řešení, jejichž cílem je zabránit nezamýšleným omezením jejich finanční udržitelnosti;</w:t>
      </w:r>
    </w:p>
    <w:p w:rsidR="00347FBE" w:rsidRPr="000A36FE" w:rsidP="00347FBE" w14:paraId="3745AA6E" w14:textId="77777777">
      <w:pPr>
        <w:pStyle w:val="NormalHanging12a"/>
      </w:pPr>
      <w:r w:rsidRPr="000A36FE">
        <w:t>16.</w:t>
      </w:r>
      <w:r w:rsidRPr="000A36FE">
        <w:tab/>
        <w:t>navrhuje vytvoření jednotného on-line systému pro podávání zpráv a zveřejňování informací, pokud jde o financování z EU, dary a příspěvky evropským politickým nadacím, s cílem zajistit odpovídající úroveň transparentnosti pro občany, zlepšit monitorování dodržování předpisů a snížit administrativní zátěž i zátěž spojenou s dodržováním pravidel ze strany subjektů podávajících zprávy;</w:t>
      </w:r>
    </w:p>
    <w:p w:rsidR="00347FBE" w:rsidRPr="000A36FE" w:rsidP="00347FBE" w14:paraId="06A801DA" w14:textId="77777777">
      <w:pPr>
        <w:pStyle w:val="NormalHanging12a"/>
      </w:pPr>
      <w:r w:rsidRPr="000A36FE">
        <w:t>17.</w:t>
      </w:r>
      <w:r w:rsidRPr="000A36FE">
        <w:tab/>
        <w:t>uznává úsilí evropských politických nadací o diverzifikaci a stabilizaci jejich zdrojů financování v rámci stávajícího regulačního rámce a podporuje další vyvážené a transparentní využívání dostupných mechanismů vlastních zdrojů;</w:t>
      </w:r>
    </w:p>
    <w:p w:rsidR="00347FBE" w:rsidRPr="000A36FE" w:rsidP="00347FBE" w14:paraId="765BAB09" w14:textId="77777777">
      <w:pPr>
        <w:pStyle w:val="Normal12a"/>
      </w:pPr>
      <w:r w:rsidRPr="000A36FE">
        <w:rPr>
          <w:b/>
          <w:i/>
        </w:rPr>
        <w:t>Závěrečné poznámky</w:t>
      </w:r>
    </w:p>
    <w:p w:rsidR="00347FBE" w:rsidRPr="000A36FE" w:rsidP="00347FBE" w14:paraId="35BD63DE" w14:textId="77777777">
      <w:pPr>
        <w:pStyle w:val="NormalHanging12a"/>
      </w:pPr>
      <w:r w:rsidRPr="000A36FE">
        <w:t>18.</w:t>
      </w:r>
      <w:r w:rsidRPr="000A36FE">
        <w:tab/>
        <w:t>vyzývá Komisi, aby provedla cílený přezkum ustanovení o financování, která se podle nařízení vztahují na evropské politické nadace, a aby vycházela ze zjištění této zprávy a ze zkušeností získaných od vstupu přepracovaného nařízení v platnost;</w:t>
      </w:r>
    </w:p>
    <w:p w:rsidR="00347FBE" w:rsidRPr="000A36FE" w:rsidP="00347FBE" w14:paraId="3DAD0F32" w14:textId="77777777">
      <w:pPr>
        <w:pStyle w:val="NormalHanging12a"/>
      </w:pPr>
      <w:r w:rsidRPr="000A36FE">
        <w:t>19.</w:t>
      </w:r>
      <w:r w:rsidRPr="000A36FE">
        <w:tab/>
        <w:t>vyzývá Komisi, aby přezkoumala, zda některý vnitrostátní regulační nebo politický rámec nezakazuje nebo nebrání tomu, aby vnitrostátní subjekty, včetně politických nadací, platily příspěvky evropským politickým nadacím, a aby na to navázala nezbytnými opatřeními;</w:t>
      </w:r>
    </w:p>
    <w:p w:rsidR="00347FBE" w:rsidRPr="000A36FE" w:rsidP="00347FBE" w14:paraId="332CB8F2" w14:textId="77777777">
      <w:pPr>
        <w:pStyle w:val="NormalHanging12a"/>
      </w:pPr>
      <w:r w:rsidRPr="000A36FE">
        <w:t>20.</w:t>
      </w:r>
      <w:r w:rsidRPr="000A36FE">
        <w:tab/>
        <w:t>vyzývá Komisi, aby předložila přepracovaný legislativní návrh, který by revidoval pravidla financování evropských politických nadací, včetně změny čl. 22 odst. 4 nařízení s cílem zvýšit horní hranici finančních příspěvků nebo grantů ze souhrnného rozpočtu EU na 100 % způsobilých nákladů vzniklých evropské politické nadaci; dále vyzývá Komisi, aby do tohoto návrhu zahrnula změnu článku 25 za účelem zvýšení stropu pro dary určené evropským politickým nadacím, čímž se zajistí větší flexibilita a diverzifikace zdrojů financování;</w:t>
      </w:r>
    </w:p>
    <w:p w:rsidR="00347FBE" w:rsidRPr="000A36FE" w:rsidP="00347FBE" w14:paraId="55BFF634" w14:textId="77777777">
      <w:pPr>
        <w:pStyle w:val="NormalHanging12a"/>
      </w:pPr>
      <w:r w:rsidRPr="000A36FE">
        <w:t>21.</w:t>
      </w:r>
      <w:r w:rsidRPr="000A36FE">
        <w:tab/>
        <w:t>zavazuje se ke zvýšení celkové výše financování politických nadací ze strany EU v rámci nadcházejícího víceletého finančního rámce na období 2028–2034, čímž se zohlední absence rozpočtové indexace v posledních letech i rostoucí inflace a zvyšující se provozní náklady, s cílem zajistit přiměřené, stabilní a předvídatelné finanční zdroje, umožnit nadacím zapojit se do dlouhodobých činností v oblasti strategického výhledu a budování kapacit a zachovat vysoké standardy transparentnosti, odpovědnosti a nezávislosti a zajistit proporcionalitu mezi povinnostmi dodržovat předpisy a dostupnými finančními prostředky;</w:t>
      </w:r>
    </w:p>
    <w:p w:rsidR="00347FBE" w:rsidRPr="000A36FE" w:rsidP="00347FBE" w14:paraId="4054FE02" w14:textId="77777777">
      <w:pPr>
        <w:pStyle w:val="NormalHanging12a"/>
      </w:pPr>
      <w:r w:rsidRPr="000A36FE">
        <w:t>22.</w:t>
      </w:r>
      <w:r w:rsidRPr="000A36FE">
        <w:tab/>
        <w:t>dochází k závěru, že poskytnutí odpovídajícího financování evropským politickým nadacím představuje strategickou investici do demokratické odolnosti EU a dlouhodobé schopnosti správy věcí veřejných;</w:t>
      </w:r>
    </w:p>
    <w:p w:rsidR="00347FBE" w:rsidRPr="000A36FE" w:rsidP="00347FBE" w14:paraId="17A179C1" w14:textId="77777777">
      <w:pPr>
        <w:pStyle w:val="NormalCenter12a"/>
      </w:pPr>
      <w:r w:rsidRPr="000A36FE">
        <w:t>°</w:t>
      </w:r>
    </w:p>
    <w:p w:rsidR="00347FBE" w:rsidRPr="000A36FE" w:rsidP="00347FBE" w14:paraId="28C8B197" w14:textId="77777777">
      <w:pPr>
        <w:pStyle w:val="NormalCenter12a"/>
      </w:pPr>
      <w:r w:rsidRPr="000A36FE">
        <w:t>°</w:t>
      </w:r>
      <w:r w:rsidRPr="000A36FE">
        <w:tab/>
        <w:t>°</w:t>
      </w:r>
    </w:p>
    <w:p w:rsidR="000A36FE" w:rsidRPr="000A36FE" w:rsidP="000A36FE" w14:paraId="3651A47B" w14:textId="3C25DAFB">
      <w:pPr>
        <w:pStyle w:val="NormalHanging12a"/>
      </w:pPr>
      <w:r w:rsidRPr="000A36FE">
        <w:t>23.</w:t>
      </w:r>
      <w:r w:rsidRPr="000A36FE">
        <w:tab/>
        <w:t>pověřuje svou předsedkyni, aby předala toto usnesení Radě a Komisi.</w:t>
      </w:r>
    </w:p>
    <w:p w:rsidR="00E365E1" w:rsidRPr="000A36FE" w:rsidP="008B551E" w14:paraId="20728FFA" w14:textId="61AC75CC"/>
    <w:sectPr w:rsidSect="000A36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36FE" w14:paraId="1ED1045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36FE" w14:paraId="40B0850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36FE" w14:paraId="10EAB21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B551E" w:rsidRPr="000A36FE" w14:paraId="4935D1B3" w14:textId="77777777">
      <w:r w:rsidRPr="000A36FE">
        <w:separator/>
      </w:r>
    </w:p>
  </w:footnote>
  <w:footnote w:type="continuationSeparator" w:id="1">
    <w:p w:rsidR="008B551E" w:rsidRPr="000A36FE" w14:paraId="0400B08E" w14:textId="77777777">
      <w:r w:rsidRPr="000A36FE">
        <w:continuationSeparator/>
      </w:r>
    </w:p>
  </w:footnote>
  <w:footnote w:id="2">
    <w:p w:rsidR="00347FBE" w:rsidRPr="000A36FE" w:rsidP="000A36FE" w14:paraId="5F005905" w14:textId="4BE05BC3">
      <w:pPr>
        <w:pStyle w:val="FootnoteText"/>
        <w:ind w:left="567" w:hanging="567"/>
        <w:rPr>
          <w:sz w:val="24"/>
          <w:lang w:val="cs-CZ"/>
        </w:rPr>
      </w:pPr>
      <w:r w:rsidRPr="000A36FE">
        <w:rPr>
          <w:rStyle w:val="FootnoteReference"/>
          <w:sz w:val="24"/>
          <w:lang w:val="cs-CZ"/>
        </w:rPr>
        <w:t>1</w:t>
      </w:r>
      <w:r w:rsidRPr="000A36FE" w:rsidR="000A36FE">
        <w:rPr>
          <w:sz w:val="24"/>
          <w:lang w:val="cs-CZ"/>
        </w:rPr>
        <w:t xml:space="preserve"> </w:t>
      </w:r>
      <w:r w:rsidRPr="000A36FE" w:rsidR="000A36FE">
        <w:rPr>
          <w:sz w:val="24"/>
          <w:lang w:val="cs-CZ"/>
        </w:rPr>
        <w:tab/>
      </w:r>
      <w:r w:rsidRPr="000A36FE">
        <w:rPr>
          <w:sz w:val="24"/>
          <w:lang w:val="cs-CZ"/>
        </w:rPr>
        <w:t>Úř</w:t>
      </w:r>
      <w:r w:rsidRPr="000A36FE">
        <w:rPr>
          <w:sz w:val="24"/>
          <w:lang w:val="cs-CZ"/>
        </w:rPr>
        <w:t xml:space="preserve">. </w:t>
      </w:r>
      <w:r w:rsidRPr="000A36FE">
        <w:rPr>
          <w:sz w:val="24"/>
          <w:lang w:val="cs-CZ"/>
        </w:rPr>
        <w:t>věst</w:t>
      </w:r>
      <w:r w:rsidRPr="000A36FE">
        <w:rPr>
          <w:sz w:val="24"/>
          <w:lang w:val="cs-CZ"/>
        </w:rPr>
        <w:t xml:space="preserve">. L, 2025/2445, 8.12.2025, ELI: </w:t>
      </w:r>
      <w:hyperlink r:id="rId1" w:tgtFrame="http://data.europa.eu/eli/reg/2025/2445/oj" w:history="1">
        <w:r w:rsidRPr="000A36FE">
          <w:rPr>
            <w:rStyle w:val="Hyperlink"/>
            <w:sz w:val="24"/>
            <w:lang w:val="cs-CZ"/>
          </w:rPr>
          <w:t>http://data.europa.eu/eli/reg/2025/2445/oj</w:t>
        </w:r>
      </w:hyperlink>
      <w:r w:rsidRPr="000A36FE">
        <w:rPr>
          <w:sz w:val="24"/>
          <w:lang w:val="cs-CZ"/>
        </w:rPr>
        <w:t>.</w:t>
      </w:r>
    </w:p>
  </w:footnote>
  <w:footnote w:id="3">
    <w:p w:rsidR="00347FBE" w:rsidRPr="000A36FE" w:rsidP="000A36FE" w14:paraId="2B63F2DA" w14:textId="7FC9F7FE">
      <w:pPr>
        <w:pStyle w:val="FootnoteText"/>
        <w:ind w:left="567" w:hanging="567"/>
        <w:rPr>
          <w:sz w:val="24"/>
          <w:lang w:val="cs-CZ"/>
        </w:rPr>
      </w:pPr>
      <w:r w:rsidRPr="000A36FE">
        <w:rPr>
          <w:rStyle w:val="FootnoteReference"/>
          <w:sz w:val="24"/>
          <w:lang w:val="cs-CZ"/>
        </w:rPr>
        <w:t>2</w:t>
      </w:r>
      <w:r w:rsidRPr="000A36FE" w:rsidR="000A36FE">
        <w:rPr>
          <w:sz w:val="24"/>
          <w:lang w:val="cs-CZ"/>
        </w:rPr>
        <w:t xml:space="preserve"> </w:t>
      </w:r>
      <w:r w:rsidRPr="000A36FE" w:rsidR="000A36FE">
        <w:rPr>
          <w:sz w:val="24"/>
          <w:lang w:val="cs-CZ"/>
        </w:rPr>
        <w:tab/>
      </w:r>
      <w:r w:rsidRPr="000A36FE">
        <w:rPr>
          <w:sz w:val="24"/>
          <w:lang w:val="cs-CZ"/>
        </w:rPr>
        <w:t>Úř</w:t>
      </w:r>
      <w:r w:rsidRPr="000A36FE">
        <w:rPr>
          <w:sz w:val="24"/>
          <w:lang w:val="cs-CZ"/>
        </w:rPr>
        <w:t>. </w:t>
      </w:r>
      <w:r w:rsidRPr="000A36FE">
        <w:rPr>
          <w:sz w:val="24"/>
          <w:lang w:val="cs-CZ"/>
        </w:rPr>
        <w:t>věst</w:t>
      </w:r>
      <w:r w:rsidRPr="000A36FE">
        <w:rPr>
          <w:sz w:val="24"/>
          <w:lang w:val="cs-CZ"/>
        </w:rPr>
        <w:t xml:space="preserve">. L, 2024/2509, 26.9.2024, ELI: </w:t>
      </w:r>
      <w:hyperlink r:id="rId2" w:tgtFrame="http://data.europa.eu/eli/reg/2024/2509/oj" w:history="1">
        <w:r w:rsidRPr="000A36FE">
          <w:rPr>
            <w:rStyle w:val="Hyperlink"/>
            <w:sz w:val="24"/>
            <w:lang w:val="cs-CZ"/>
          </w:rPr>
          <w:t>http://data.europa.eu/eli/reg/2024/2509/oj</w:t>
        </w:r>
      </w:hyperlink>
      <w:r w:rsidRPr="000A36FE">
        <w:rPr>
          <w:sz w:val="24"/>
          <w:lang w:val="cs-CZ"/>
        </w:rPr>
        <w:t>.</w:t>
      </w:r>
    </w:p>
  </w:footnote>
  <w:footnote w:id="4">
    <w:p w:rsidR="00347FBE" w:rsidRPr="000A36FE" w:rsidP="000A36FE" w14:paraId="34686D76" w14:textId="7F81BD8F">
      <w:pPr>
        <w:pStyle w:val="FootnoteText"/>
        <w:ind w:left="567" w:hanging="567"/>
        <w:rPr>
          <w:sz w:val="24"/>
          <w:lang w:val="cs-CZ"/>
        </w:rPr>
      </w:pPr>
      <w:r w:rsidRPr="000A36FE">
        <w:rPr>
          <w:rStyle w:val="FootnoteReference"/>
          <w:sz w:val="24"/>
          <w:lang w:val="cs-CZ"/>
        </w:rPr>
        <w:t>3</w:t>
      </w:r>
      <w:r w:rsidRPr="000A36FE" w:rsidR="000A36FE">
        <w:rPr>
          <w:sz w:val="24"/>
          <w:lang w:val="cs-CZ"/>
        </w:rPr>
        <w:t xml:space="preserve"> </w:t>
      </w:r>
      <w:r w:rsidRPr="000A36FE" w:rsidR="000A36FE">
        <w:rPr>
          <w:sz w:val="24"/>
          <w:lang w:val="cs-CZ"/>
        </w:rPr>
        <w:tab/>
      </w:r>
      <w:r w:rsidRPr="000A36FE">
        <w:rPr>
          <w:sz w:val="24"/>
          <w:lang w:val="cs-CZ"/>
        </w:rPr>
        <w:t>Úř</w:t>
      </w:r>
      <w:r w:rsidRPr="000A36FE">
        <w:rPr>
          <w:sz w:val="24"/>
          <w:lang w:val="cs-CZ"/>
        </w:rPr>
        <w:t>. </w:t>
      </w:r>
      <w:r w:rsidRPr="000A36FE">
        <w:rPr>
          <w:sz w:val="24"/>
          <w:lang w:val="cs-CZ"/>
        </w:rPr>
        <w:t>věst</w:t>
      </w:r>
      <w:r w:rsidRPr="000A36FE">
        <w:rPr>
          <w:sz w:val="24"/>
          <w:lang w:val="cs-CZ"/>
        </w:rPr>
        <w:t>. C 205, 20.5.2022, s. 37.</w:t>
      </w:r>
    </w:p>
  </w:footnote>
  <w:footnote w:id="5">
    <w:p w:rsidR="00347FBE" w:rsidRPr="000A36FE" w:rsidP="000A36FE" w14:paraId="253C20A9" w14:textId="669FF4F4">
      <w:pPr>
        <w:pStyle w:val="FootnoteText"/>
        <w:ind w:left="567" w:hanging="567"/>
        <w:rPr>
          <w:sz w:val="24"/>
          <w:lang w:val="cs-CZ"/>
        </w:rPr>
      </w:pPr>
      <w:r w:rsidRPr="000A36FE">
        <w:rPr>
          <w:rStyle w:val="FootnoteReference"/>
          <w:sz w:val="24"/>
          <w:lang w:val="cs-CZ"/>
        </w:rPr>
        <w:t>4</w:t>
      </w:r>
      <w:r w:rsidRPr="000A36FE" w:rsidR="000A36FE">
        <w:rPr>
          <w:sz w:val="24"/>
          <w:lang w:val="cs-CZ"/>
        </w:rPr>
        <w:t xml:space="preserve"> </w:t>
      </w:r>
      <w:r w:rsidRPr="000A36FE" w:rsidR="000A36FE">
        <w:rPr>
          <w:sz w:val="24"/>
          <w:lang w:val="cs-CZ"/>
        </w:rPr>
        <w:tab/>
      </w:r>
      <w:r w:rsidRPr="000A36FE">
        <w:rPr>
          <w:sz w:val="24"/>
          <w:lang w:val="cs-CZ"/>
        </w:rPr>
        <w:t>Návrh nařízení Evropského parlamentu a Rady o statusu a financování evropských politických stran a evropských politických nadací, který Komise předložila dne 25. listopadu 2021 (COM(2021)0734).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36FE" w14:paraId="79F3F57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36FE" w14:paraId="4355178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36FE" w14:paraId="4C8A55B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1827072">
    <w:abstractNumId w:val="9"/>
  </w:num>
  <w:num w:numId="2" w16cid:durableId="392895918">
    <w:abstractNumId w:val="9"/>
  </w:num>
  <w:num w:numId="3" w16cid:durableId="2099324556">
    <w:abstractNumId w:val="7"/>
  </w:num>
  <w:num w:numId="4" w16cid:durableId="404449228">
    <w:abstractNumId w:val="7"/>
  </w:num>
  <w:num w:numId="5" w16cid:durableId="1364013206">
    <w:abstractNumId w:val="6"/>
  </w:num>
  <w:num w:numId="6" w16cid:durableId="1907498027">
    <w:abstractNumId w:val="6"/>
  </w:num>
  <w:num w:numId="7" w16cid:durableId="1952861670">
    <w:abstractNumId w:val="5"/>
  </w:num>
  <w:num w:numId="8" w16cid:durableId="2046758525">
    <w:abstractNumId w:val="5"/>
  </w:num>
  <w:num w:numId="9" w16cid:durableId="972518211">
    <w:abstractNumId w:val="4"/>
  </w:num>
  <w:num w:numId="10" w16cid:durableId="281109902">
    <w:abstractNumId w:val="4"/>
  </w:num>
  <w:num w:numId="11" w16cid:durableId="1241987793">
    <w:abstractNumId w:val="8"/>
  </w:num>
  <w:num w:numId="12" w16cid:durableId="499127744">
    <w:abstractNumId w:val="8"/>
  </w:num>
  <w:num w:numId="13" w16cid:durableId="613948483">
    <w:abstractNumId w:val="3"/>
  </w:num>
  <w:num w:numId="14" w16cid:durableId="1021974519">
    <w:abstractNumId w:val="3"/>
  </w:num>
  <w:num w:numId="15" w16cid:durableId="214003408">
    <w:abstractNumId w:val="2"/>
  </w:num>
  <w:num w:numId="16" w16cid:durableId="224340521">
    <w:abstractNumId w:val="2"/>
  </w:num>
  <w:num w:numId="17" w16cid:durableId="407457655">
    <w:abstractNumId w:val="1"/>
  </w:num>
  <w:num w:numId="18" w16cid:durableId="1101536175">
    <w:abstractNumId w:val="1"/>
  </w:num>
  <w:num w:numId="19" w16cid:durableId="1844394593">
    <w:abstractNumId w:val="0"/>
  </w:num>
  <w:num w:numId="20" w16cid:durableId="150491227">
    <w:abstractNumId w:val="0"/>
  </w:num>
  <w:num w:numId="21" w16cid:durableId="269316079">
    <w:abstractNumId w:val="9"/>
  </w:num>
  <w:num w:numId="22" w16cid:durableId="68508472">
    <w:abstractNumId w:val="7"/>
  </w:num>
  <w:num w:numId="23" w16cid:durableId="1977566601">
    <w:abstractNumId w:val="6"/>
  </w:num>
  <w:num w:numId="24" w16cid:durableId="1819952295">
    <w:abstractNumId w:val="5"/>
  </w:num>
  <w:num w:numId="25" w16cid:durableId="1075931693">
    <w:abstractNumId w:val="4"/>
  </w:num>
  <w:num w:numId="26" w16cid:durableId="1389063522">
    <w:abstractNumId w:val="8"/>
  </w:num>
  <w:num w:numId="27" w16cid:durableId="1700473206">
    <w:abstractNumId w:val="3"/>
  </w:num>
  <w:num w:numId="28" w16cid:durableId="983855656">
    <w:abstractNumId w:val="2"/>
  </w:num>
  <w:num w:numId="29" w16cid:durableId="390351171">
    <w:abstractNumId w:val="1"/>
  </w:num>
  <w:num w:numId="30" w16cid:durableId="903098721">
    <w:abstractNumId w:val="0"/>
  </w:num>
  <w:num w:numId="31" w16cid:durableId="1119952029">
    <w:abstractNumId w:val="9"/>
  </w:num>
  <w:num w:numId="32" w16cid:durableId="954212157">
    <w:abstractNumId w:val="7"/>
  </w:num>
  <w:num w:numId="33" w16cid:durableId="1605501042">
    <w:abstractNumId w:val="6"/>
  </w:num>
  <w:num w:numId="34" w16cid:durableId="114252972">
    <w:abstractNumId w:val="5"/>
  </w:num>
  <w:num w:numId="35" w16cid:durableId="1218473680">
    <w:abstractNumId w:val="4"/>
  </w:num>
  <w:num w:numId="36" w16cid:durableId="1311445276">
    <w:abstractNumId w:val="8"/>
  </w:num>
  <w:num w:numId="37" w16cid:durableId="773790780">
    <w:abstractNumId w:val="3"/>
  </w:num>
  <w:num w:numId="38" w16cid:durableId="1874147913">
    <w:abstractNumId w:val="2"/>
  </w:num>
  <w:num w:numId="39" w16cid:durableId="1603688419">
    <w:abstractNumId w:val="1"/>
  </w:num>
  <w:num w:numId="40" w16cid:durableId="1160002626">
    <w:abstractNumId w:val="0"/>
  </w:num>
  <w:num w:numId="41" w16cid:durableId="240868994">
    <w:abstractNumId w:val="10"/>
  </w:num>
  <w:num w:numId="42" w16cid:durableId="1970356504">
    <w:abstractNumId w:val="10"/>
  </w:num>
  <w:num w:numId="43" w16cid:durableId="1985423906">
    <w:abstractNumId w:val="10"/>
  </w:num>
  <w:num w:numId="44" w16cid:durableId="16258917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51E"/>
    <w:rsid w:val="00002272"/>
    <w:rsid w:val="00030C14"/>
    <w:rsid w:val="00064002"/>
    <w:rsid w:val="000677B9"/>
    <w:rsid w:val="000831BA"/>
    <w:rsid w:val="000A36FE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7FBE"/>
    <w:rsid w:val="00361C00"/>
    <w:rsid w:val="00395FA1"/>
    <w:rsid w:val="003A276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656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01D2"/>
    <w:rsid w:val="00865F67"/>
    <w:rsid w:val="00881A7B"/>
    <w:rsid w:val="008840E5"/>
    <w:rsid w:val="00887B3E"/>
    <w:rsid w:val="008A45AE"/>
    <w:rsid w:val="008B3904"/>
    <w:rsid w:val="008B551E"/>
    <w:rsid w:val="008C2AC6"/>
    <w:rsid w:val="009147E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7764"/>
    <w:rsid w:val="00D56C11"/>
    <w:rsid w:val="00D834A0"/>
    <w:rsid w:val="00D872DF"/>
    <w:rsid w:val="00D91E21"/>
    <w:rsid w:val="00DA7FCD"/>
    <w:rsid w:val="00DF21F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45/2026"/>
    <w:docVar w:name="dvlangue" w:val="CS"/>
    <w:docVar w:name="dvnumam" w:val="0"/>
    <w:docVar w:name="dvpe" w:val="784.388"/>
    <w:docVar w:name="dvrapporteur" w:val="Zpravodajové: "/>
    <w:docVar w:name="dvtitre" w:val="Usnesení Evropského parlamentu ze dne.... 2026 Evropské politické strany a nadace – zpráva za rok 2026 o uplatňování nařízení (EU, Euratom) 2025/2445 a o financovaných činnostech(2026/2013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8483C44"/>
  <w15:chartTrackingRefBased/>
  <w15:docId w15:val="{1CFEDED5-E2F2-4E10-B0EA-ADC2EFD6E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347FBE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347FBE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347FBE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347FBE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347FBE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347F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5/2445/oj" TargetMode="External" /><Relationship Id="rId2" Type="http://schemas.openxmlformats.org/officeDocument/2006/relationships/hyperlink" Target="http://data.europa.eu/eli/reg/2024/250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1897</Words>
  <Characters>11844</Characters>
  <Application>Microsoft Office Word</Application>
  <DocSecurity>0</DocSecurity>
  <Lines>269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2026-07-15T14:39:00Z</dcterms:created>
  <dcterms:modified xsi:type="dcterms:W3CDTF">2026-07-15T14:39:00Z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A10-0145/2026</vt:lpwstr>
  </property>
  <property fmtid="{D5CDD505-2E9C-101B-9397-08002B2CF9AE}" pid="4" name="&lt;Type&gt;">
    <vt:lpwstr>RR</vt:lpwstr>
  </property>
</Properties>
</file>