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139043" w14:textId="77777777" w:rsidTr="0010095E">
        <w:tblPrEx>
          <w:tblW w:w="9072" w:type="dxa"/>
          <w:tblLook w:val="01E0"/>
        </w:tblPrEx>
        <w:trPr>
          <w:trHeight w:hRule="exact" w:val="1418"/>
        </w:trPr>
        <w:tc>
          <w:tcPr>
            <w:tcW w:w="6804" w:type="dxa"/>
            <w:shd w:val="clear" w:color="auto" w:fill="auto"/>
            <w:vAlign w:val="center"/>
          </w:tcPr>
          <w:p w:rsidR="00751A4A" w:rsidRPr="00D458CC" w:rsidP="0010095E" w14:paraId="05C82EF0" w14:textId="77777777">
            <w:pPr>
              <w:pStyle w:val="EPName"/>
            </w:pPr>
            <w:r w:rsidRPr="00D458CC">
              <w:t>Ευρωπαϊκό Κοινοβούλιο</w:t>
            </w:r>
          </w:p>
          <w:p w:rsidR="00751A4A" w:rsidRPr="00D458CC" w:rsidP="005F1B17" w14:paraId="6BBD6635" w14:textId="77777777">
            <w:pPr>
              <w:pStyle w:val="EPTerm"/>
              <w:rPr>
                <w:rStyle w:val="HideTWBExt"/>
                <w:noProof w:val="0"/>
                <w:vanish w:val="0"/>
                <w:color w:val="auto"/>
              </w:rPr>
            </w:pPr>
            <w:r w:rsidRPr="00D458CC">
              <w:t>2024</w:t>
            </w:r>
            <w:r w:rsidRPr="00D458CC" w:rsidR="00817416">
              <w:t>-202</w:t>
            </w:r>
            <w:r w:rsidRPr="00D458CC">
              <w:t>9</w:t>
            </w:r>
          </w:p>
        </w:tc>
        <w:tc>
          <w:tcPr>
            <w:tcW w:w="2268" w:type="dxa"/>
            <w:shd w:val="clear" w:color="auto" w:fill="auto"/>
          </w:tcPr>
          <w:p w:rsidR="00751A4A" w:rsidRPr="00D458CC" w:rsidP="0010095E" w14:paraId="5C06E1DC" w14:textId="77777777">
            <w:pPr>
              <w:pStyle w:val="EPLogo"/>
            </w:pPr>
            <w:r w:rsidRPr="00D458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58CC" w:rsidP="004C5D52" w14:paraId="7C921DEC" w14:textId="77777777">
      <w:pPr>
        <w:pStyle w:val="LineTop"/>
      </w:pPr>
    </w:p>
    <w:p w:rsidR="00680577" w:rsidRPr="00D458CC" w:rsidP="00680577" w14:paraId="0C92E0CC" w14:textId="77777777">
      <w:pPr>
        <w:pStyle w:val="EPBodyTA1"/>
      </w:pPr>
      <w:r w:rsidRPr="00D458CC">
        <w:t>ΚΕΙΜΕΝΑ ΠΟΥ ΕΓΚΡΙΘΗΚΑΝ</w:t>
      </w:r>
    </w:p>
    <w:p w:rsidR="00D058B8" w:rsidRPr="00D458CC" w:rsidP="00D058B8" w14:paraId="79C6A189" w14:textId="77777777">
      <w:pPr>
        <w:pStyle w:val="LineBottom"/>
      </w:pPr>
    </w:p>
    <w:p w:rsidR="00480641" w:rsidRPr="00D458CC" w:rsidP="00480641" w14:paraId="54300426" w14:textId="34697799">
      <w:pPr>
        <w:pStyle w:val="ATHeading1"/>
      </w:pPr>
      <w:bookmarkStart w:id="0" w:name="TANumber"/>
      <w:r w:rsidRPr="00D458CC">
        <w:t>P10_TA(2026)0</w:t>
      </w:r>
      <w:r w:rsidRPr="00D458CC" w:rsidR="00D41AF1">
        <w:t>202</w:t>
      </w:r>
      <w:bookmarkEnd w:id="0"/>
    </w:p>
    <w:p w:rsidR="00480641" w:rsidRPr="00D458CC" w:rsidP="00F364FD" w14:paraId="511BF78D" w14:textId="452DC637">
      <w:pPr>
        <w:pStyle w:val="ATHeading2"/>
      </w:pPr>
      <w:bookmarkStart w:id="1" w:name="title"/>
      <w:r w:rsidRPr="00D458CC">
        <w:t xml:space="preserve">Ευρωπαϊκά πολιτικά κόμματα και ευρωπαϊκά πολιτικά ιδρύματα – έκθεση του 2026 σχετικά με την εφαρμογή του κανονισμού (ΕΕ, </w:t>
      </w:r>
      <w:r w:rsidRPr="00D458CC">
        <w:t>Ευρατόμ</w:t>
      </w:r>
      <w:r w:rsidRPr="00D458CC">
        <w:t>) 2025/2445 και σχετικά με τις χρηματοδοτηθείσες δραστηριότητες</w:t>
      </w:r>
      <w:bookmarkEnd w:id="1"/>
    </w:p>
    <w:p w:rsidR="00480641" w:rsidRPr="00D458CC" w:rsidP="00480641" w14:paraId="38F4BC95" w14:textId="77777777">
      <w:pPr>
        <w:rPr>
          <w:i/>
          <w:vanish/>
        </w:rPr>
      </w:pPr>
      <w:r>
        <w:rPr>
          <w:i/>
        </w:rPr>
        <w:fldChar w:fldCharType="begin"/>
      </w:r>
      <w:r w:rsidRPr="00D458CC">
        <w:rPr>
          <w:i/>
        </w:rPr>
        <w:instrText xml:space="preserve"> TC"(</w:instrText>
      </w:r>
      <w:bookmarkStart w:id="2" w:name="DocNumber"/>
      <w:r w:rsidRPr="00D458CC">
        <w:rPr>
          <w:i/>
        </w:rPr>
        <w:instrText>A10-0145/2026</w:instrText>
      </w:r>
      <w:bookmarkEnd w:id="2"/>
      <w:r w:rsidRPr="00D458CC">
        <w:rPr>
          <w:i/>
        </w:rPr>
        <w:instrText xml:space="preserve"> - Εισηγητές: Loránt Vincze, Charles Goerens)"\l3 \n&gt; \* MERGEFORMAT </w:instrText>
      </w:r>
      <w:r>
        <w:rPr>
          <w:i/>
        </w:rPr>
        <w:fldChar w:fldCharType="end"/>
      </w:r>
    </w:p>
    <w:p w:rsidR="00480641" w:rsidRPr="00D458CC" w:rsidP="00480641" w14:paraId="1FF36A3C" w14:textId="77777777">
      <w:pPr>
        <w:rPr>
          <w:vanish/>
        </w:rPr>
      </w:pPr>
      <w:bookmarkStart w:id="3" w:name="Commission"/>
      <w:r w:rsidRPr="00D458CC">
        <w:rPr>
          <w:vanish/>
        </w:rPr>
        <w:t>Επιτροπή Συνταγματικών Υποθέσεων</w:t>
      </w:r>
      <w:bookmarkEnd w:id="3"/>
    </w:p>
    <w:p w:rsidR="00480641" w:rsidRPr="00D458CC" w:rsidP="00480641" w14:paraId="583F4BEC" w14:textId="77777777">
      <w:pPr>
        <w:rPr>
          <w:vanish/>
        </w:rPr>
      </w:pPr>
      <w:bookmarkStart w:id="4" w:name="PE"/>
      <w:r w:rsidRPr="00D458CC">
        <w:rPr>
          <w:vanish/>
        </w:rPr>
        <w:t>PE784.388</w:t>
      </w:r>
      <w:bookmarkEnd w:id="4"/>
    </w:p>
    <w:p w:rsidR="00480641" w:rsidRPr="00D458CC" w:rsidP="00480641" w14:paraId="0F508B8E" w14:textId="7614C4B8">
      <w:pPr>
        <w:pStyle w:val="ATHeading3"/>
      </w:pPr>
      <w:bookmarkStart w:id="5" w:name="Sujet"/>
      <w:r w:rsidRPr="00D458CC">
        <w:t xml:space="preserve">Ψήφισμα του Ευρωπαϊκού Κοινοβουλίου της </w:t>
      </w:r>
      <w:r w:rsidRPr="00D458CC" w:rsidR="00D25C2C">
        <w:t>16</w:t>
      </w:r>
      <w:r w:rsidRPr="00D458CC" w:rsidR="00F364FD">
        <w:t>ης Ιουνίου</w:t>
      </w:r>
      <w:r w:rsidRPr="00D458CC">
        <w:t xml:space="preserve"> 2026 Ευρωπαϊκά πολιτικά κόμματα και ευρωπαϊκά πολιτικά ιδρύματα — έκθεση του 2026 σχετικά με την εφαρμογή του κανονισμού (ΕΕ, </w:t>
      </w:r>
      <w:r w:rsidRPr="00D458CC">
        <w:t>Ευρατόμ</w:t>
      </w:r>
      <w:r w:rsidRPr="00D458CC">
        <w:t>)</w:t>
      </w:r>
      <w:r w:rsidRPr="00BE56B2" w:rsidR="00BE56B2">
        <w:t xml:space="preserve"> </w:t>
      </w:r>
      <w:r w:rsidRPr="00D458CC">
        <w:t>2025/2445 και σχετικά με τις χρηματοδοτηθείσες δραστηριότητες</w:t>
      </w:r>
      <w:bookmarkEnd w:id="5"/>
      <w:r w:rsidRPr="00D458CC">
        <w:t xml:space="preserve"> </w:t>
      </w:r>
      <w:bookmarkStart w:id="6" w:name="References"/>
      <w:r w:rsidRPr="00D458CC">
        <w:t>(2026/2013(INI))</w:t>
      </w:r>
      <w:bookmarkEnd w:id="6"/>
    </w:p>
    <w:p w:rsidR="00F70DDB" w:rsidRPr="00D458CC" w:rsidP="00F70DDB" w14:paraId="3206A027" w14:textId="77777777">
      <w:pPr>
        <w:pStyle w:val="NormalBold12a"/>
      </w:pPr>
    </w:p>
    <w:p w:rsidR="00F70DDB" w:rsidRPr="00D458CC" w:rsidP="00F70DDB" w14:paraId="433AC62B" w14:textId="77777777">
      <w:pPr>
        <w:pStyle w:val="Normal12"/>
        <w:rPr>
          <w:i/>
          <w:iCs/>
        </w:rPr>
      </w:pPr>
      <w:r w:rsidRPr="00D458CC">
        <w:rPr>
          <w:i/>
          <w:iCs/>
        </w:rPr>
        <w:t>Το Ευρωπαϊκό Κοινοβούλιο,</w:t>
      </w:r>
    </w:p>
    <w:p w:rsidR="00F70DDB" w:rsidRPr="00D458CC" w:rsidP="00F364FD" w14:paraId="40D13CD5" w14:textId="77777777">
      <w:pPr>
        <w:pStyle w:val="NormalHanging"/>
        <w:widowControl/>
        <w:ind w:left="567" w:hanging="567"/>
      </w:pPr>
      <w:r w:rsidRPr="00D458CC">
        <w:t>–</w:t>
      </w:r>
      <w:r w:rsidRPr="00D458CC">
        <w:tab/>
        <w:t>έχοντας υπόψη το άρθρο 2 και το άρθρο 10 παράγραφος 4 της Συνθήκης για την Ευρωπαϊκή Ένωση και το άρθρο 12 παράγραφος 2 του Χάρτη των Θεμελιωδών Δικαιωμάτων της Ευρωπαϊκής Ένωσης,</w:t>
      </w:r>
    </w:p>
    <w:p w:rsidR="00F70DDB" w:rsidRPr="00D458CC" w:rsidP="00F364FD" w14:paraId="36178FB8" w14:textId="77777777">
      <w:pPr>
        <w:pStyle w:val="NormalHanging"/>
        <w:widowControl/>
        <w:ind w:left="567" w:hanging="567"/>
      </w:pPr>
      <w:r w:rsidRPr="00D458CC">
        <w:t>–</w:t>
      </w:r>
      <w:r w:rsidRPr="00D458CC">
        <w:tab/>
        <w:t>έχοντας υπόψη τα άρθρα 224 και 325 της Συνθήκης για τη λειτουργία της Ευρωπαϊκής Ένωσης,</w:t>
      </w:r>
    </w:p>
    <w:p w:rsidR="00F70DDB" w:rsidRPr="00D458CC" w:rsidP="00F364FD" w14:paraId="40F1659A" w14:textId="4371EA29">
      <w:pPr>
        <w:pStyle w:val="NormalHanging"/>
        <w:widowControl/>
        <w:ind w:left="567" w:hanging="567"/>
      </w:pPr>
      <w:r w:rsidRPr="00D458CC">
        <w:t>–</w:t>
      </w:r>
      <w:r w:rsidRPr="00D458CC">
        <w:tab/>
        <w:t>έχοντας υπόψη τον κανονισμό (EE, Ευρατόμ) 2025/2445 του Ευρωπαϊκού Κοινοβουλίου και του Συμβουλίου, της 26ης Νοεμβρίου 2025, σχετικά με το καθεστώς και τη χρηματοδότηση των ευρωπαϊκών πολιτικών κομμάτων και των ευρωπαϊκών πολιτικών ιδρυμάτων</w:t>
      </w:r>
      <w:r>
        <w:rPr>
          <w:rStyle w:val="FootnoteReference"/>
        </w:rPr>
        <w:footnoteReference w:customMarkFollows="1" w:id="2"/>
        <w:t xml:space="preserve">1</w:t>
      </w:r>
      <w:r w:rsidRPr="00D458CC">
        <w:t xml:space="preserve"> (</w:t>
      </w:r>
      <w:r w:rsidRPr="00D458CC" w:rsidR="00F364FD">
        <w:t>«</w:t>
      </w:r>
      <w:r w:rsidRPr="00D458CC">
        <w:t>κανονισμός</w:t>
      </w:r>
      <w:r w:rsidRPr="00D458CC" w:rsidR="00F364FD">
        <w:t>»</w:t>
      </w:r>
      <w:r w:rsidRPr="00D458CC">
        <w:t>),</w:t>
      </w:r>
    </w:p>
    <w:p w:rsidR="00F70DDB" w:rsidRPr="00D458CC" w:rsidP="00F364FD" w14:paraId="07D3A408" w14:textId="0430FE31">
      <w:pPr>
        <w:pStyle w:val="NormalHanging"/>
        <w:widowControl/>
        <w:ind w:left="567" w:hanging="567"/>
      </w:pPr>
      <w:r w:rsidRPr="00D458CC">
        <w:t>–</w:t>
      </w:r>
      <w:r w:rsidRPr="00D458C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Pr>
          <w:rStyle w:val="FootnoteReference"/>
        </w:rPr>
        <w:footnoteReference w:customMarkFollows="1" w:id="3"/>
        <w:t xml:space="preserve">2</w:t>
      </w:r>
      <w:r w:rsidRPr="00D458CC">
        <w:t xml:space="preserve"> (</w:t>
      </w:r>
      <w:r w:rsidRPr="00D458CC" w:rsidR="00F364FD">
        <w:t>«</w:t>
      </w:r>
      <w:r w:rsidRPr="00D458CC">
        <w:t>δημοσιονομικός κανονισμός</w:t>
      </w:r>
      <w:r w:rsidRPr="00D458CC" w:rsidR="00F364FD">
        <w:t>»</w:t>
      </w:r>
      <w:r w:rsidRPr="00D458CC">
        <w:t>),</w:t>
      </w:r>
    </w:p>
    <w:p w:rsidR="00F70DDB" w:rsidRPr="00D458CC" w:rsidP="00F364FD" w14:paraId="5D488DA3" w14:textId="77777777">
      <w:pPr>
        <w:pStyle w:val="NormalHanging"/>
        <w:widowControl/>
        <w:ind w:left="567" w:hanging="567"/>
      </w:pPr>
      <w:r w:rsidRPr="00D458CC">
        <w:t>–</w:t>
      </w:r>
      <w:r w:rsidRPr="00D458CC">
        <w:tab/>
        <w:t xml:space="preserve">έχοντας υπόψη το ψήφισμά του της 11ης Νοεμβρίου 2021 σχετικά με την εφαρμογή του κανονισμού (EE, Ευρατόμ) αριθ. 1141/2014 σχετικά με το καθεστώς και τη </w:t>
      </w:r>
      <w:r w:rsidRPr="00D458CC">
        <w:t>χρηματοδότηση των ευρωπαϊκών πολιτικών κομμάτων και των ευρωπαϊκών πολιτικών ιδρυμάτων</w:t>
      </w:r>
      <w:r>
        <w:rPr>
          <w:rStyle w:val="FootnoteReference"/>
        </w:rPr>
        <w:footnoteReference w:customMarkFollows="1" w:id="4"/>
        <w:t xml:space="preserve">3</w:t>
      </w:r>
      <w:r w:rsidRPr="00D458CC">
        <w:t>,</w:t>
      </w:r>
    </w:p>
    <w:p w:rsidR="00F70DDB" w:rsidRPr="00D458CC" w:rsidP="00F364FD" w14:paraId="436E9209" w14:textId="6694425D">
      <w:pPr>
        <w:pStyle w:val="NormalHanging"/>
        <w:widowControl/>
        <w:ind w:left="567" w:hanging="567"/>
      </w:pPr>
      <w:r w:rsidRPr="00D458CC">
        <w:t>–</w:t>
      </w:r>
      <w:r w:rsidRPr="00D458CC">
        <w:tab/>
        <w:t>έχοντας υπόψη τις διαβουλεύσεις με την Αρχή για τα Ευρωπαϊκά Πολιτικά Κόμματα και τα Ευρωπαϊκά Πολιτικά Ιδρύματα (</w:t>
      </w:r>
      <w:r w:rsidRPr="00D458CC" w:rsidR="00F364FD">
        <w:t>«</w:t>
      </w:r>
      <w:r w:rsidRPr="00D458CC">
        <w:t>Αρχή</w:t>
      </w:r>
      <w:r w:rsidRPr="00D458CC" w:rsidR="00F364FD">
        <w:t>»</w:t>
      </w:r>
      <w:r w:rsidRPr="00D458CC">
        <w:t>) και τις ετήσιες εκθέσεις δραστηριοτήτων της,</w:t>
      </w:r>
    </w:p>
    <w:p w:rsidR="00F70DDB" w:rsidRPr="00D458CC" w:rsidP="00F364FD" w14:paraId="03E54BB9" w14:textId="77777777">
      <w:pPr>
        <w:pStyle w:val="NormalHanging"/>
        <w:widowControl/>
        <w:ind w:left="567" w:hanging="567"/>
      </w:pPr>
      <w:r w:rsidRPr="00D458CC">
        <w:t>–</w:t>
      </w:r>
      <w:r w:rsidRPr="00D458CC">
        <w:tab/>
        <w:t>έχοντας υπόψη την ανταλλαγή απόψεων με ευρωπαϊκά πολιτικά ιδρύματα και θεσμικούς ενδιαφερόμενους φορείς, της 18ης Μαρτίου 2026, που πραγματοποιήθηκε από την Επιτροπή Συνταγματικών Υποθέσεων,</w:t>
      </w:r>
    </w:p>
    <w:p w:rsidR="00F70DDB" w:rsidRPr="00D458CC" w:rsidP="00F364FD" w14:paraId="0E96B3A1" w14:textId="77777777">
      <w:pPr>
        <w:pStyle w:val="NormalHanging"/>
        <w:widowControl/>
        <w:ind w:left="567" w:hanging="567"/>
      </w:pPr>
      <w:r w:rsidRPr="00D458CC">
        <w:t>–</w:t>
      </w:r>
      <w:r w:rsidRPr="00D458CC">
        <w:tab/>
        <w:t>έχοντας υπόψη το άρθρο 55 του Κανονισμού του,</w:t>
      </w:r>
    </w:p>
    <w:p w:rsidR="00F70DDB" w:rsidRPr="00D458CC" w:rsidP="00F364FD" w14:paraId="4675DC8A" w14:textId="77777777">
      <w:pPr>
        <w:pStyle w:val="NormalHanging"/>
        <w:widowControl/>
        <w:ind w:left="567" w:hanging="567"/>
      </w:pPr>
      <w:r w:rsidRPr="00D458CC">
        <w:t>–</w:t>
      </w:r>
      <w:r w:rsidRPr="00D458CC">
        <w:tab/>
        <w:t>έχοντας υπόψη την έκθεση της Επιτροπής Συνταγματικών Υποθέσεων (A10-0145/2026),</w:t>
      </w:r>
    </w:p>
    <w:p w:rsidR="00F70DDB" w:rsidRPr="00D458CC" w:rsidP="00F364FD" w14:paraId="329A64B0" w14:textId="77777777">
      <w:pPr>
        <w:pStyle w:val="NormalHanging"/>
        <w:widowControl/>
        <w:ind w:left="567" w:hanging="567"/>
      </w:pPr>
      <w:r w:rsidRPr="00D458CC">
        <w:t>Α.</w:t>
      </w:r>
      <w:r w:rsidRPr="00D458CC">
        <w:tab/>
        <w:t>λαμβάνοντας υπόψη ότι η ύπαρξη ισχυρών πολιτικών κομμάτων και ιδρυμάτων σε επίπεδο ΕΕ είναι απολύτως αναγκαία για τη διαμόρφωση μιας αληθινά ευρωπαϊκής πολιτικής σφαίρας·</w:t>
      </w:r>
    </w:p>
    <w:p w:rsidR="00F70DDB" w:rsidRPr="00D458CC" w:rsidP="00F364FD" w14:paraId="68158382" w14:textId="77777777">
      <w:pPr>
        <w:pStyle w:val="NormalHanging"/>
        <w:widowControl/>
        <w:ind w:left="567" w:hanging="567"/>
      </w:pPr>
      <w:r w:rsidRPr="00D458CC">
        <w:t>Β.</w:t>
      </w:r>
      <w:r w:rsidRPr="00D458CC">
        <w:tab/>
        <w:t>λαμβάνοντας υπόψη ότι τα ευρωπαϊκά πολιτικά κόμματα και τα ευρωπαϊκά πολιτικά ιδρύματα θα πρέπει να διαδραματίζουν πιο κεντρικό ρόλο στη διαδικασία των ευρωπαϊκών εκλογών και να συμβάλλουν στη διαμόρφωση ενωσιακής πολιτικής συνείδησης, καθώς και στην έκφραση της βούλησης των πολιτών της ΕΕ· λαμβάνοντας υπόψη ότι η πολιτική πολυμορφία είναι απαραίτητη στον δημόσιο λόγο για να εκφράζονται οι επιλογές των πολιτών·</w:t>
      </w:r>
    </w:p>
    <w:p w:rsidR="00F70DDB" w:rsidRPr="00D458CC" w:rsidP="00F364FD" w14:paraId="1C630EAF" w14:textId="77777777">
      <w:pPr>
        <w:pStyle w:val="NormalHanging"/>
        <w:widowControl/>
        <w:ind w:left="567" w:hanging="567"/>
      </w:pPr>
      <w:r w:rsidRPr="00D458CC">
        <w:t>Γ.</w:t>
      </w:r>
      <w:r w:rsidRPr="00D458CC">
        <w:tab/>
        <w:t>λαμβάνοντας υπόψη ότι ευρωπαϊκά πολιτικά κόμματα και ιδρύματα θα πρέπει να συνεργάζονται με κόμματα που είναι μέλη τους σε εθνικό επίπεδο και άλλους εταίρους προκειμένου να στηριχθεί η προσπάθεια αυτών να φέρουν την ΕΕ και τις πολιτικές της εγγύτερα στους πολίτες και προκειμένου να ενισχυθεί η δημοκρατική νομιμοποίηση·</w:t>
      </w:r>
    </w:p>
    <w:p w:rsidR="00F70DDB" w:rsidRPr="00D458CC" w:rsidP="00F364FD" w14:paraId="1F371E1A" w14:textId="77777777">
      <w:pPr>
        <w:pStyle w:val="NormalHanging"/>
        <w:widowControl/>
        <w:ind w:left="567" w:hanging="567"/>
      </w:pPr>
      <w:r w:rsidRPr="00D458CC">
        <w:t>Δ.</w:t>
      </w:r>
      <w:r w:rsidRPr="00D458CC">
        <w:tab/>
        <w:t>λαμβάνοντας υπόψη ότι το 2025 καταχωρίστηκαν στην Αρχή δύο ακόμη ιδρύματα, γεγονός που σημαίνει ότι, στις 31 Δεκεμβρίου 2025, 12 ευρωπαϊκά πολιτικά κόμματα και 12 ευρωπαϊκά πολιτικά ιδρύματα που συνδέονται με αυτά χρηματοδοτούνταν από τον προϋπολογισμό της ΕΕ·</w:t>
      </w:r>
    </w:p>
    <w:p w:rsidR="00F70DDB" w:rsidRPr="00D458CC" w:rsidP="00F364FD" w14:paraId="208A8CB6" w14:textId="60C2DC33">
      <w:pPr>
        <w:pStyle w:val="NormalHanging"/>
        <w:widowControl/>
        <w:ind w:left="567" w:hanging="567"/>
      </w:pPr>
      <w:r w:rsidRPr="00D458CC">
        <w:t>Ε.</w:t>
      </w:r>
      <w:r w:rsidRPr="00D458CC">
        <w:tab/>
        <w:t>λαμβάνοντας υπόψη ότι ο αναδιατυπωμένος κανονισμός τέθηκε σε ισχύ την 28η</w:t>
      </w:r>
      <w:r w:rsidRPr="00D458CC" w:rsidR="00D12443">
        <w:t> </w:t>
      </w:r>
      <w:r w:rsidRPr="00D458CC">
        <w:t xml:space="preserve">Δεκεμβρίου 2025 και εισήγαγε ορισμένες σημαντικές καινοτομίες, μεταξύ άλλων σαφέστερους κανόνες σχετικά με τις κοινές ευρωπαϊκές πολιτικές δραστηριότητες, ενισχυμένες υποχρεώσεις διαφάνειας και υποβολής εκθέσεων, αυστηρές απαιτήσεις δέουσας επιμέλειας για τις δωρεές και τη ρητή αναγνώριση των </w:t>
      </w:r>
      <w:r w:rsidRPr="00D458CC">
        <w:t>ιδιοπαραγόμενων</w:t>
      </w:r>
      <w:r w:rsidRPr="00D458CC">
        <w:t xml:space="preserve"> πόρων ως κατηγορίας εσόδων·</w:t>
      </w:r>
    </w:p>
    <w:p w:rsidR="00F70DDB" w:rsidRPr="00D458CC" w:rsidP="00F364FD" w14:paraId="7E44DD9B" w14:textId="77777777">
      <w:pPr>
        <w:pStyle w:val="NormalHanging"/>
        <w:widowControl/>
        <w:ind w:left="567" w:hanging="567"/>
      </w:pPr>
      <w:r w:rsidRPr="00D458CC">
        <w:t>ΣΤ.</w:t>
      </w:r>
      <w:r w:rsidRPr="00D458CC">
        <w:tab/>
        <w:t xml:space="preserve">λαμβάνοντας υπόψη ότι ο κανονισμός έχει τεθεί σε εφαρμογή σχετικά πρόσφατα· λαμβάνοντας υπόψη ότι, ως εκ τούτου, τα δεδομένα και η πείρα από την εφαρμογή του κανονισμού είναι μέχρι στιγμής περιορισμένα· λαμβάνοντας υπόψη ότι μια ολοκληρωμένη αξιολόγηση της εφαρμογής του κανονισμού και του αντικτύπου του απαιτεί αρκετό χρόνο και επαρκή αποδεικτικά στοιχεία· λαμβάνοντας, ωστόσο, υπόψη ότι, αμέσως μετά την έναρξη ισχύος του κανονισμού, ανέκυψαν απρόβλεπτες </w:t>
      </w:r>
      <w:r w:rsidRPr="00D458CC">
        <w:t>προκλήσεις πολιτικής που απαιτούν την ανάληψη επείγουσας δράσης, ιδίως όσον αφορά τη χρηματοδότηση των πολιτικών ιδρυμάτων·</w:t>
      </w:r>
    </w:p>
    <w:p w:rsidR="00F70DDB" w:rsidRPr="00D458CC" w:rsidP="00F364FD" w14:paraId="32F68C0E" w14:textId="77777777">
      <w:pPr>
        <w:pStyle w:val="NormalHanging"/>
        <w:widowControl/>
        <w:ind w:left="567" w:hanging="567"/>
      </w:pPr>
      <w:r w:rsidRPr="00D458CC">
        <w:t>Ζ.</w:t>
      </w:r>
      <w:r w:rsidRPr="00D458CC">
        <w:tab/>
        <w:t>λαμβάνοντας υπόψη ότι, σύμφωνα με τον αναδιατυπωμένο κανονισμό, το Κοινοβούλιο αναμένεται να δημοσιεύσει έκθεση έως τις 29 Ιουνίου 2026 σχετικά με την εφαρμογή του κανονισμού και τις χρηματοδοτηθείσες δραστηριότητες· λαμβάνοντας υπόψη ότι, μετά τη δημοσίευση της έκθεσης του Κοινοβουλίου, η Επιτροπή θα έχει στη διάθεσή της ένα έτος για να υποβάλει έκθεση σχετικά με την εφαρμογή του κανονισμού, συνοδευόμενη, εφόσον κρίνεται σκόπιμο, από πρόταση τροποποίησής του·</w:t>
      </w:r>
    </w:p>
    <w:p w:rsidR="00F70DDB" w:rsidRPr="00D458CC" w:rsidP="00F364FD" w14:paraId="3767BB98" w14:textId="77777777">
      <w:pPr>
        <w:pStyle w:val="NormalHanging"/>
        <w:widowControl/>
        <w:ind w:left="567" w:hanging="567"/>
      </w:pPr>
      <w:r w:rsidRPr="00D458CC">
        <w:t>Η.</w:t>
      </w:r>
      <w:r w:rsidRPr="00D458CC">
        <w:tab/>
        <w:t>λαμβάνοντας υπόψη ότι η έκθεση της Επιτροπής θα πρέπει να δίνει ιδιαίτερη προσοχή στις συνέπειες του κανονισμού για τη θέση των μικρών ευρωπαϊκών πολιτικών κομμάτων και ευρωπαϊκών πολιτικών ιδρυμάτων και για τους κανόνες που διέπουν τη χρηματοδότηση των ευρωπαϊκών πολιτικών ιδρυμάτων·</w:t>
      </w:r>
    </w:p>
    <w:p w:rsidR="00F70DDB" w:rsidRPr="00D458CC" w:rsidP="00F364FD" w14:paraId="21948D23" w14:textId="77777777">
      <w:pPr>
        <w:pStyle w:val="NormalHanging"/>
        <w:widowControl/>
        <w:ind w:left="567" w:hanging="567"/>
      </w:pPr>
      <w:r w:rsidRPr="00D458CC">
        <w:t>Θ.</w:t>
      </w:r>
      <w:r w:rsidRPr="00D458CC">
        <w:tab/>
        <w:t>λαμβάνοντας υπόψη ότι τα ευρωπαϊκά πολιτικά ιδρύματα αποτελούν αναπόσπαστο μέρος της δημοκρατικής αρχιτεκτονικής της ΕΕ, στηρίζοντας τον πολιτικό διάλογο, την ανάπτυξη πολιτικής, την έρευνα, την κατάρτιση και τη συμμετοχή των πολιτών στα κοινά σε ενωσιακό και εθνικό επίπεδο·</w:t>
      </w:r>
    </w:p>
    <w:p w:rsidR="00F70DDB" w:rsidRPr="00D458CC" w:rsidP="00F364FD" w14:paraId="5AF7462A" w14:textId="77777777">
      <w:pPr>
        <w:pStyle w:val="NormalHanging"/>
        <w:widowControl/>
        <w:ind w:left="567" w:hanging="567"/>
      </w:pPr>
      <w:r w:rsidRPr="00D458CC">
        <w:t>Ι.</w:t>
      </w:r>
      <w:r w:rsidRPr="00D458CC">
        <w:tab/>
        <w:t>λαμβάνοντας υπόψη ότι η εντολή των ευρωπαϊκών πολιτικών ιδρυμάτων περιλαμβάνει την αύξηση της πολιτικής συνείδησης και τη συμβολή στη συζήτηση σχετικά με θέματα ενωσιακής πολιτικής και σχετικά με τη διαδικασία της ευρωπαϊκής ολοκλήρωσης, καθώς και την παροχή υπηρεσιών που δεν απευθύνονται αποκλειστικά στα μέλη ή τους ψηφοφόρους ενός συγκεκριμένου κόμματος, αλλά είναι ανοικτές σε όλους υπό τους ίδιους όρους·</w:t>
      </w:r>
    </w:p>
    <w:p w:rsidR="00F70DDB" w:rsidRPr="00D458CC" w:rsidP="00F364FD" w14:paraId="5B4B99EA" w14:textId="77777777">
      <w:pPr>
        <w:pStyle w:val="NormalHanging"/>
        <w:widowControl/>
        <w:ind w:left="567" w:hanging="567"/>
      </w:pPr>
      <w:r w:rsidRPr="00D458CC">
        <w:t>ΙΑ.</w:t>
      </w:r>
      <w:r w:rsidRPr="00D458CC">
        <w:tab/>
        <w:t>λαμβάνοντας υπόψη ότι η εφαρμογή του κανονισμού συντελείται σε ένα πλαίσιο βαθιάς γεωπολιτικής αστάθειας, το οποίο χαρακτηρίζεται από αυξημένο στρατηγικό ανταγωνισμό, υβριδικές απειλές, παραπληροφόρηση, τεχνολογικές ανατροπές, κλιματική αλλαγή και μακροπρόθεσμους κοινωνικοοικονομικούς μετασχηματισμούς·</w:t>
      </w:r>
    </w:p>
    <w:p w:rsidR="00F70DDB" w:rsidRPr="00D458CC" w:rsidP="00F364FD" w14:paraId="7E5C8BFB" w14:textId="77777777">
      <w:pPr>
        <w:pStyle w:val="NormalHanging"/>
        <w:widowControl/>
        <w:ind w:left="567" w:hanging="567"/>
      </w:pPr>
      <w:r w:rsidRPr="00D458CC">
        <w:t>ΙΒ.</w:t>
      </w:r>
      <w:r w:rsidRPr="00D458CC">
        <w:tab/>
        <w:t>λαμβάνοντας υπόψη ότι οι εξελίξεις αυτές απαιτούν από την ΕΕ να ενισχύσει την ικανότητά της για στρατηγική ανάλυση προοπτικών, προληπτική διακυβέρνηση και μακροπρόθεσμο σχεδιασμό πολιτικής, προκειμένου να προετοιμαστεί αποτελεσματικά για τις προκλήσεις κατά την περίοδο έως το 2040 και μετέπειτα·</w:t>
      </w:r>
    </w:p>
    <w:p w:rsidR="00F70DDB" w:rsidRPr="00D458CC" w:rsidP="00F364FD" w14:paraId="3F73248E" w14:textId="77777777">
      <w:pPr>
        <w:pStyle w:val="NormalHanging"/>
        <w:widowControl/>
        <w:ind w:left="567" w:hanging="567"/>
      </w:pPr>
      <w:r w:rsidRPr="00D458CC">
        <w:t>ΙΓ.</w:t>
      </w:r>
      <w:r w:rsidRPr="00D458CC">
        <w:tab/>
        <w:t>λαμβάνοντας υπόψη ότι τα ευρωπαϊκά πολιτικά ιδρύματα βρίσκονται σε μοναδική θέση για να συμβάλουν στην προσπάθεια αυτή μέσω μακροπρόθεσμης έρευνας, συγκριτικής ανάλυσης, διακρατικού διαλόγου, πολιτικής εκπαίδευσης και ανάπτυξης ικανοτήτων·</w:t>
      </w:r>
    </w:p>
    <w:p w:rsidR="00F70DDB" w:rsidRPr="00D458CC" w:rsidP="00F364FD" w14:paraId="3F4E258A" w14:textId="77777777">
      <w:pPr>
        <w:pStyle w:val="NormalHanging"/>
        <w:widowControl/>
        <w:ind w:left="567" w:hanging="567"/>
      </w:pPr>
      <w:r w:rsidRPr="00D458CC">
        <w:t>ΙΔ.</w:t>
      </w:r>
      <w:r w:rsidRPr="00D458CC">
        <w:tab/>
        <w:t>λαμβάνοντας υπόψη ότι το τρέχον επίπεδο και η τρέχουσα δομή της χρηματοδότησης της ΕΕ που διατίθεται στα ευρωπαϊκά πολιτικά ιδρύματα δεν είναι πλέον ανάλογα με το πεδίο εφαρμογής, τη στρατηγική σημασία και την αυξανόμενη πολυπλοκότητα των καθηκόντων τους·</w:t>
      </w:r>
    </w:p>
    <w:p w:rsidR="00F70DDB" w:rsidRPr="00D458CC" w:rsidP="00F364FD" w14:paraId="340303B0" w14:textId="77777777">
      <w:pPr>
        <w:pStyle w:val="NormalHanging"/>
        <w:widowControl/>
        <w:ind w:left="567" w:hanging="567"/>
      </w:pPr>
      <w:r w:rsidRPr="00D458CC">
        <w:t>ΙΕ.</w:t>
      </w:r>
      <w:r w:rsidRPr="00D458CC">
        <w:tab/>
        <w:t>λαμβάνοντας υπόψη ότι τα πολιτικά ιδρύματα έχουν αναφέρει δυσανάλογη κανονιστική επιβάρυνση και έχουν ζητήσει την απλούστευση των κανονιστικών απαιτήσεων, ιδίως όσον αφορά τις υποχρεώσεις για υποβολή εκθέσεων και για διαφάνεια, καθώς και τη δυνατότητα επαναφοράς των διορθωτικών μέτρων που είναι αναγκαία για τη διασφάλιση της εύρυθμης λειτουργίας της διαδικασίας χρηματοδότησης·</w:t>
      </w:r>
    </w:p>
    <w:p w:rsidR="00F70DDB" w:rsidRPr="00D458CC" w:rsidP="00F364FD" w14:paraId="72B147A2" w14:textId="77777777">
      <w:pPr>
        <w:pStyle w:val="Normal12a"/>
        <w:ind w:left="567" w:hanging="567"/>
      </w:pPr>
      <w:r w:rsidRPr="00D458CC">
        <w:rPr>
          <w:b/>
          <w:i/>
        </w:rPr>
        <w:t>Γενική αξιολόγηση του αναδιατυπωμένου κανονισμού</w:t>
      </w:r>
    </w:p>
    <w:p w:rsidR="00F70DDB" w:rsidRPr="00D458CC" w:rsidP="007F005E" w14:paraId="161603BF" w14:textId="0A1A4332">
      <w:pPr>
        <w:pStyle w:val="NormalHanging12a"/>
        <w:ind w:left="570" w:hanging="570"/>
      </w:pPr>
      <w:r w:rsidRPr="00D458CC">
        <w:t>1.</w:t>
      </w:r>
      <w:r w:rsidRPr="00D458CC">
        <w:tab/>
      </w:r>
      <w:r w:rsidRPr="00D458CC">
        <w:t>επικροτεί την έγκριση του αναδιατυπωμένου κανονισμού ως σημαντικό βήμα προς τον εκσυγχρονισμό του νομικού πλαισίου για τα ευρωπαϊκά πολιτικά κόμματα και τα ευρωπαϊκά πολιτικά ιδρύματα και την ενίσχυση της δημοκρατικής ακεραιότητας σε επίπεδο ΕΕ·</w:t>
      </w:r>
    </w:p>
    <w:p w:rsidR="00F70DDB" w:rsidRPr="00D458CC" w:rsidP="007F005E" w14:paraId="659A6D75" w14:textId="62845769">
      <w:pPr>
        <w:pStyle w:val="NormalHanging12a"/>
        <w:ind w:left="570" w:hanging="570"/>
      </w:pPr>
      <w:r w:rsidRPr="00D458CC">
        <w:t>2.</w:t>
      </w:r>
      <w:r w:rsidRPr="00D458CC">
        <w:tab/>
      </w:r>
      <w:r w:rsidRPr="00D458CC">
        <w:t>σημειώνει ότι ο κανονισμός έχει βελτιώσει τη νομική σαφήνεια σε διάφορους τομείς, ιδίως όσον αφορά τις κοινές ευρωπαϊκές πολιτικές δραστηριότητες, τις απαιτήσεις διαφάνειας και τις διασφαλίσεις έναντι εξωτερικών παρεμβάσεων·</w:t>
      </w:r>
    </w:p>
    <w:p w:rsidR="00F70DDB" w:rsidRPr="00D458CC" w:rsidP="007F005E" w14:paraId="70660EBF" w14:textId="19BF7F53">
      <w:pPr>
        <w:pStyle w:val="NormalHanging12a"/>
        <w:ind w:left="570" w:hanging="570"/>
      </w:pPr>
      <w:r w:rsidRPr="00D458CC">
        <w:t>3.</w:t>
      </w:r>
      <w:r w:rsidRPr="00D458CC">
        <w:tab/>
      </w:r>
      <w:r w:rsidRPr="00D458CC">
        <w:t>τονίζει, ωστόσο, ότι μέχρι σήμερα η εμπειρία και τα δεδομένα σχετικά με την εφαρμογή του αναδιατυπωμένου κανονισμού παραμένουν περιορισμένα και ότι μια πιο εμπεριστατωμένη και οριζόντια αξιολόγηση μπορεί να διενεργηθεί μόνο σε μεταγενέστερο στάδιο· επισημαίνει ότι οι απρόβλεπτες προκλήσεις πολιτικής που ανέκυψαν αμέσως μετά την έναρξη ισχύος του κανονισμού, ιδίως όσον αφορά τη χρηματοδότηση των πολιτικών ιδρυμάτων, απαιτούν, ωστόσο, την ανάληψη επείγουσας δράσης·</w:t>
      </w:r>
    </w:p>
    <w:p w:rsidR="00F70DDB" w:rsidRPr="00D458CC" w:rsidP="007F005E" w14:paraId="1650AF26" w14:textId="097CF494">
      <w:pPr>
        <w:pStyle w:val="NormalHanging12a"/>
        <w:ind w:left="570" w:hanging="570"/>
      </w:pPr>
      <w:r w:rsidRPr="00D458CC">
        <w:t>4.</w:t>
      </w:r>
      <w:r w:rsidRPr="00D458CC">
        <w:tab/>
      </w:r>
      <w:r w:rsidRPr="00D458CC">
        <w:t>σημειώνει με ανησυχία τις εκθέσεις ιδρυμάτων σχετικά με δυσανάλογη κανονιστική επιβάρυνση και δεσμεύεται να προβεί σε περαιτέρω διερεύνηση και να δώσει συνέχεια στο θέμα στην επικείμενη συστηματική αξιολόγησή της· τονίζει, στο πλαίσιο αυτό, τη σημασία των αποτελεσματικών και αναλογικών διορθωτικών μέτρων ως μέσου διασφάλισης της συμμόρφωσης προς τον κανονισμό και δεσμεύεται να επανεξετάσει την εφαρμογή των μέτρων αυτών στο πλαίσιο της πρόσφατης πρακτικής·</w:t>
      </w:r>
    </w:p>
    <w:p w:rsidR="00F70DDB" w:rsidRPr="00D458CC" w:rsidP="007F005E" w14:paraId="305BFEBA" w14:textId="0A841DEE">
      <w:pPr>
        <w:pStyle w:val="NormalHanging12a"/>
        <w:ind w:left="570" w:hanging="570"/>
      </w:pPr>
      <w:r w:rsidRPr="00D458CC">
        <w:t>5.</w:t>
      </w:r>
      <w:r w:rsidRPr="00D458CC">
        <w:tab/>
      </w:r>
      <w:r w:rsidRPr="00D458CC">
        <w:t>σημειώνει την ανασφάλεια δικαίου και τους λειτουργικούς περιορισμούς που εξακολουθούν να αντιμετωπίζουν τα ευρωπαϊκά πολιτικά ιδρύματα, ιδίως όσον αφορά την ταξινόμηση των επιλέξιμων δαπανών, και θεωρεί ότι τα ζητήματα αυτά απαιτούν έγκαιρη αποσαφήνιση·</w:t>
      </w:r>
    </w:p>
    <w:p w:rsidR="00F70DDB" w:rsidRPr="00D458CC" w:rsidP="00F364FD" w14:paraId="5447E8B5" w14:textId="77777777">
      <w:pPr>
        <w:pStyle w:val="Normal12a"/>
      </w:pPr>
      <w:r w:rsidRPr="00D458CC">
        <w:rPr>
          <w:b/>
          <w:i/>
        </w:rPr>
        <w:t>Ρόλος των ευρωπαϊκών πολιτικών ιδρυμάτων</w:t>
      </w:r>
    </w:p>
    <w:p w:rsidR="00F70DDB" w:rsidRPr="00D458CC" w:rsidP="007F005E" w14:paraId="65B73800" w14:textId="14EE06B6">
      <w:pPr>
        <w:pStyle w:val="NormalHanging12a"/>
        <w:ind w:left="570" w:hanging="570"/>
      </w:pPr>
      <w:r w:rsidRPr="00D458CC">
        <w:t>6.</w:t>
      </w:r>
      <w:r w:rsidRPr="00D458CC">
        <w:tab/>
      </w:r>
      <w:r w:rsidRPr="00D458CC">
        <w:t>επαναλαμβάνει ότι τα ευρωπαϊκά πολιτικά ιδρύματα επιτελούν διακριτό θεσμικό ρόλο βάσει των Συνθηκών, προωθώντας την ευρωπαϊκή πολιτική συνείδηση, στηρίζοντας την τεκμηριωμένη χάραξη πολιτικής και ενισχύοντας τη δημοκρατική νοοτροπία και τη συμμετοχή των πολιτών στα κοινά σε ολόκληρη την ΕΕ·</w:t>
      </w:r>
    </w:p>
    <w:p w:rsidR="00F70DDB" w:rsidRPr="00D458CC" w:rsidP="007F005E" w14:paraId="40EC4672" w14:textId="3212C3CB">
      <w:pPr>
        <w:pStyle w:val="NormalHanging12a"/>
        <w:ind w:left="570" w:hanging="570"/>
      </w:pPr>
      <w:r w:rsidRPr="00D458CC">
        <w:t>7.</w:t>
      </w:r>
      <w:r w:rsidRPr="00D458CC">
        <w:tab/>
      </w:r>
      <w:r w:rsidRPr="00D458CC">
        <w:t>εφιστά την προσοχή στο γεγονός ότι το γεωπολιτικό και τεχνολογικό περιβάλλον καθίσταται ολοένα και πιο ασταθές μετά τη δημοσίευση της πρότασης της Επιτροπής του 2021 για αναδιατύπωση του κανονισμού (ΕΕ, Ευρατόμ) αριθ. 1141/2014</w:t>
      </w:r>
      <w:r>
        <w:rPr>
          <w:rStyle w:val="FootnoteReference"/>
        </w:rPr>
        <w:footnoteReference w:customMarkFollows="1" w:id="5"/>
        <w:t xml:space="preserve">4</w:t>
      </w:r>
      <w:r w:rsidRPr="00D458CC">
        <w:t xml:space="preserve">, και το οποίο χαρακτηρίζεται από αυξημένες εντάσεις στον τομέα της ασφάλειας, εξωτερικές παρεμβάσεις στις δημοκρατικές διαδικασίες και επιταχυνόμενο κοινωνικοοικονομικό μετασχηματισμό· υπογραμμίζει ότι οι εξελίξεις αυτές αυξάνουν τη σημασία του μακροπρόθεσμου σχεδιασμού πολιτικής, της δημοκρατικής εκπαίδευσης και του </w:t>
      </w:r>
      <w:r w:rsidRPr="00D458CC">
        <w:t>διασυνοριακού διαλόγου, στον οποίο τα ευρωπαϊκά πολιτικά ιδρύματα συμβάλλουν ιδιαίτερα·</w:t>
      </w:r>
    </w:p>
    <w:p w:rsidR="00F70DDB" w:rsidRPr="00D458CC" w:rsidP="007F005E" w14:paraId="43575336" w14:textId="3C194FAF">
      <w:pPr>
        <w:pStyle w:val="NormalHanging12a"/>
        <w:ind w:left="570" w:hanging="570"/>
      </w:pPr>
      <w:r w:rsidRPr="00D458CC">
        <w:t>8.</w:t>
      </w:r>
      <w:r w:rsidRPr="00D458CC">
        <w:tab/>
      </w:r>
      <w:r w:rsidRPr="00D458CC">
        <w:t>σημειώνει ότι, λόγω των αυξανόμενων αρμοδιοτήτων τους, τα ευρωπαϊκά πολιτικά ιδρύματα χρειάζονται τα αναγκαία χρηματοδοτικά εργαλεία και κατάλληλους και σταθερούς πόρους για να αναλάβουν πλήρως τον θεσμικό τους ρόλο, με βάση τις βελτιώσεις που εισήγαγε ο κανονισμός·</w:t>
      </w:r>
    </w:p>
    <w:p w:rsidR="00F70DDB" w:rsidRPr="00D458CC" w:rsidP="00F364FD" w14:paraId="0820299E" w14:textId="77777777">
      <w:pPr>
        <w:pStyle w:val="Normal12a"/>
      </w:pPr>
      <w:r w:rsidRPr="00D458CC">
        <w:rPr>
          <w:b/>
          <w:i/>
        </w:rPr>
        <w:t>Προτάσεις για βελτίωση</w:t>
      </w:r>
    </w:p>
    <w:p w:rsidR="00F70DDB" w:rsidRPr="00D458CC" w:rsidP="007F005E" w14:paraId="54E9548F" w14:textId="279FE4CD">
      <w:pPr>
        <w:pStyle w:val="NormalHanging12a"/>
        <w:ind w:left="570" w:hanging="570"/>
      </w:pPr>
      <w:r w:rsidRPr="00D458CC">
        <w:t>9.</w:t>
      </w:r>
      <w:r w:rsidRPr="00D458CC">
        <w:tab/>
      </w:r>
      <w:r w:rsidRPr="00D458CC">
        <w:t>υπογραμμίζει την ανάγκη να διασφαλιστεί ότι τα ευρωπαϊκά πολιτικά ιδρύματα διαθέτουν άρτιο νομικό πλαίσιο και ισχυρή χρηματοοικονομική ασφάλεια· δεσμεύεται να συνεργαστεί με τα ιδρύματα για την παροχή αυτής της ασφάλειας στο μέτρο του δυνατού και εντός του υφιστάμενου πλαισίου, ιδίως μέσω της αναθεώρησης του τρόπου με τον οποίο τα ιδρύματα υποστηρίζονται οικονομικά από τις οργανώσεις-μέλη τους· επισημαίνει ότι ο κανονισμός δεν απαγορεύει ένα ευέλικτο και βασιζόμενο στη συμμετοχή μοντέλο συνδρομών μελών μέσω του οποίου οι οργανώσεις-μέλη συνεισφέρουν με βάση το επίπεδο συμμετοχής τους σε κοινές δραστηριότητες· υπογραμμίζει ότι οι ίδιες οι κοινές δραστηριότητες θα πρέπει να παραμείνουν δημοσιονομικά ουδέτερες και δεν θα πρέπει να παράγουν για τα ιδρύματα έσοδα που υπερβαίνουν το πραγματικό κόστος·</w:t>
      </w:r>
    </w:p>
    <w:p w:rsidR="00F70DDB" w:rsidRPr="00D458CC" w:rsidP="007F005E" w14:paraId="165DDAB4" w14:textId="5AC73743">
      <w:pPr>
        <w:pStyle w:val="NormalHanging12a"/>
        <w:ind w:left="570" w:hanging="570"/>
      </w:pPr>
      <w:r w:rsidRPr="00D458CC">
        <w:t>10.</w:t>
      </w:r>
      <w:r w:rsidRPr="00D458CC">
        <w:tab/>
      </w:r>
      <w:r w:rsidRPr="00D458CC">
        <w:t>ενθαρρύνει τα ευρωπαϊκά πολιτικά ιδρύματα να μεγιστοποιήσουν τις χρηματοδοτικές δυνατότητες εντός του υπάρχοντος πλαισίου· σημειώνει ότι η χρηματοδότηση των ευρωπαϊκών πολιτικών ιδρυμάτων μέσω των ιδίων πόρων των ευρωπαϊκών πολιτικών κομμάτων επιτρέπεται επί του παρόντος δυνάμει του άρθρου 2 παράγραφος 10 του ισχύοντος κανονισμού· καλεί τόσο τα ευρωπαϊκά πολιτικά κόμματα όσο και τα ευρωπαϊκά πολιτικά ιδρύματα να συνάψουν συμφωνίες συνεργασίας μέσω των οποίων τα ιδρύματα θα αποζημιώνονται από τα κόμματα για τη συμβολή τους σε οιαδήποτε κοινή εργασία, λαμβανομένων υπόψη των αντίστοιχων διακριτών ρόλων τους δυνάμει των Συνθηκών·</w:t>
      </w:r>
    </w:p>
    <w:p w:rsidR="00F70DDB" w:rsidRPr="00D458CC" w:rsidP="007F005E" w14:paraId="299BDC52" w14:textId="4612D020">
      <w:pPr>
        <w:pStyle w:val="NormalHanging12a"/>
        <w:ind w:left="570" w:hanging="570"/>
      </w:pPr>
      <w:r w:rsidRPr="00D458CC">
        <w:t>11.</w:t>
      </w:r>
      <w:r w:rsidRPr="00D458CC">
        <w:tab/>
      </w:r>
      <w:r w:rsidRPr="00D458CC">
        <w:t>υπογραμμίζει, επιπλέον, ότι ο κανονισμός δεν απαγορεύει σε εθνικά ιδρύματα, εκτός των πολιτικών ιδρυμάτων, να καθίστανται μέλη και να καταβάλλουν εισφορά μέλους σε ευρωπαϊκά πολιτικά ιδρύματα·</w:t>
      </w:r>
    </w:p>
    <w:p w:rsidR="00F70DDB" w:rsidRPr="00D458CC" w:rsidP="007F005E" w14:paraId="5B6000B7" w14:textId="3844E505">
      <w:pPr>
        <w:pStyle w:val="NormalHanging12a"/>
        <w:ind w:left="570" w:hanging="570"/>
      </w:pPr>
      <w:r w:rsidRPr="00D458CC">
        <w:t>12.</w:t>
      </w:r>
      <w:r w:rsidRPr="00D458CC">
        <w:tab/>
      </w:r>
      <w:r w:rsidRPr="00D458CC">
        <w:t>θεωρεί ότι το άρθρο 25 του ισχύοντος κανονισμού θα μπορούσε να αποσαφηνιστεί ώστε να επιβεβαιωθεί ρητά ότι τα τέλη συμμετοχής μπορούν να χρεώνονται στις οργανώσεις-μέλη για τη συμμετοχή τους σε δραστηριότητες που διοργανώνονται από ευρωπαϊκό πολιτικό ίδρυμα·</w:t>
      </w:r>
    </w:p>
    <w:p w:rsidR="00F70DDB" w:rsidRPr="00D458CC" w:rsidP="007F005E" w14:paraId="0D085EE6" w14:textId="1588B2ED">
      <w:pPr>
        <w:pStyle w:val="NormalHanging12a"/>
        <w:ind w:left="570" w:hanging="570"/>
      </w:pPr>
      <w:r w:rsidRPr="00D458CC">
        <w:t>13.</w:t>
      </w:r>
      <w:r w:rsidRPr="00D458CC">
        <w:tab/>
      </w:r>
      <w:r w:rsidRPr="00D458CC">
        <w:t xml:space="preserve">σημειώνει ότι η αυστηρή εφαρμογή του ορισμού των συνεισφορών των μελών, η οικονομική και διοικητική πίεση για τη συμπλήρωση των επιχορηγήσεων από τον προϋπολογισμό της ΕΕ με </w:t>
      </w:r>
      <w:r w:rsidRPr="00D458CC">
        <w:t>ιδιοπαραγόμενους</w:t>
      </w:r>
      <w:r w:rsidRPr="00D458CC">
        <w:t xml:space="preserve"> πόρους, οι κανόνες που ισχύουν για τις κοινές ευρωπαϊκές πολιτικές δραστηριότητες με τα ιδρύματα-μέλη και το συνολικό επίπεδο χρηματοδότησης της ΕΕ περιορίζουν την οικονομική αυτονομία και τη βιωσιμότητα των ευρωπαϊκών πολιτικών ιδρυμάτων, ιδίως ενόψει των αυξανόμενων ευθυνών τους, και υπογραμμίζει ότι ένα βιώσιμο πλαίσιο χρηματοδότησης είναι απαραίτητο για τη διατήρηση της ανεξαρτησίας τους και την πρόληψη αθέμιτης ιδιωτικής επιρροής·</w:t>
      </w:r>
    </w:p>
    <w:p w:rsidR="00F70DDB" w:rsidRPr="00D458CC" w:rsidP="007F005E" w14:paraId="152D5F0C" w14:textId="07C7C2CC">
      <w:pPr>
        <w:pStyle w:val="NormalHanging12a"/>
        <w:ind w:left="570" w:hanging="570"/>
      </w:pPr>
      <w:r w:rsidRPr="00D458CC">
        <w:t>14.</w:t>
      </w:r>
      <w:r w:rsidRPr="00D458CC">
        <w:tab/>
      </w:r>
      <w:r w:rsidRPr="00D458CC">
        <w:t>τονίζει ότι, στο πλαίσιο της διαφοροποίησης των ιδίων πόρων, τα ευρωπαϊκά πολιτικά ιδρύματα επιτρέπεται να λαμβάνουν από φυσικά ή νομικά πρόσωπα δωρεές ύψους έως 18 000 EUR ανά έτος και ανά δωρητή· πιστεύει ότι το ανώτατο όριο για τις δωρεές αυτές θα μπορούσε να αυξηθεί ώστε να δοθεί μεγαλύτερη ευελιξία στα ευρωπαϊκά πολιτικά ιδρύματα·</w:t>
      </w:r>
    </w:p>
    <w:p w:rsidR="00F70DDB" w:rsidRPr="00D458CC" w:rsidP="007F005E" w14:paraId="08A3F966" w14:textId="069B1D82">
      <w:pPr>
        <w:pStyle w:val="NormalHanging12a"/>
        <w:ind w:left="570" w:hanging="570"/>
      </w:pPr>
      <w:r w:rsidRPr="00D458CC">
        <w:t>15.</w:t>
      </w:r>
      <w:r w:rsidRPr="00D458CC">
        <w:tab/>
      </w:r>
      <w:r w:rsidRPr="00D458CC">
        <w:t>ενθαρρύνει την Αρχή, σε συνεργασία με την Επιτροπή, να συνεχίσει και να αναπτύξει περαιτέρω τον διάλογό της με τις εθνικές αρμόδιες αρχές, με σκοπό την ευαισθητοποίηση σχετικά με τον αντίκτυπο των εθνικών πλαισίων χρηματοδότησης στη λειτουργία των ευρωπαϊκών πολιτικών ιδρυμάτων και τον εντοπισμό πρακτικών λύσεων που αποσκοπούν στην αποφυγή ακούσιων περιορισμών στην οικονομική βιωσιμότητά τους·</w:t>
      </w:r>
    </w:p>
    <w:p w:rsidR="00F70DDB" w:rsidRPr="00D458CC" w:rsidP="007F005E" w14:paraId="15A36DB6" w14:textId="2315639C">
      <w:pPr>
        <w:pStyle w:val="NormalHanging12a"/>
        <w:ind w:left="570" w:hanging="570"/>
      </w:pPr>
      <w:r w:rsidRPr="00D458CC">
        <w:t>16.</w:t>
      </w:r>
      <w:r w:rsidRPr="00D458CC">
        <w:tab/>
      </w:r>
      <w:r w:rsidRPr="00D458CC">
        <w:t>προτείνει τη θέσπιση ενός ενιαίου επιγραμμικού συστήματος υποβολής εκθέσεων και γνωστοποίησης για την ενωσιακή χρηματοδότηση, τις δωρεές και τις συνεισφορές στα ευρωπαϊκά πολιτικά ιδρύματα, προκειμένου να διασφαλιστεί επαρκής διαφάνεια για τους πολίτες, να βελτιωθεί η παρακολούθηση της συμμόρφωσης και να μειωθεί ο διοικητικός φόρτος και ο φόρτος συμμόρφωσης των οντοτήτων που υποβάλλουν εκθέσεις·</w:t>
      </w:r>
    </w:p>
    <w:p w:rsidR="00F70DDB" w:rsidRPr="00D458CC" w:rsidP="007F005E" w14:paraId="39B4A6AD" w14:textId="505D370A">
      <w:pPr>
        <w:pStyle w:val="NormalHanging12a"/>
        <w:ind w:left="570" w:hanging="570"/>
      </w:pPr>
      <w:r w:rsidRPr="00D458CC">
        <w:t>17.</w:t>
      </w:r>
      <w:r w:rsidRPr="00D458CC">
        <w:tab/>
      </w:r>
      <w:r w:rsidRPr="00D458CC">
        <w:t>αναγνωρίζει τις προσπάθειες των ευρωπαϊκών πολιτικών ιδρυμάτων να διαφοροποιήσουν και να σταθεροποιήσουν τις πηγές χρηματοδότησής τους εντός του υφιστάμενου κανονιστικού πλαισίου και ενθαρρύνει τη συνεχή ισορροπημένη και διαφανή χρήση των διαθέσιμων μηχανισμών ιδίων πόρων·</w:t>
      </w:r>
    </w:p>
    <w:p w:rsidR="00F70DDB" w:rsidRPr="00D458CC" w:rsidP="00F364FD" w14:paraId="626B003B" w14:textId="77777777">
      <w:pPr>
        <w:pStyle w:val="Normal12a"/>
      </w:pPr>
      <w:r w:rsidRPr="00D458CC">
        <w:rPr>
          <w:b/>
          <w:i/>
        </w:rPr>
        <w:t>Τελικές εκτιμήσεις</w:t>
      </w:r>
    </w:p>
    <w:p w:rsidR="00F70DDB" w:rsidRPr="00D458CC" w:rsidP="007F005E" w14:paraId="3DF4B8EA" w14:textId="6DFAFA32">
      <w:pPr>
        <w:pStyle w:val="NormalHanging12a"/>
        <w:ind w:left="570" w:hanging="570"/>
      </w:pPr>
      <w:r w:rsidRPr="00D458CC">
        <w:t>18.</w:t>
      </w:r>
      <w:r w:rsidRPr="00D458CC">
        <w:tab/>
      </w:r>
      <w:r w:rsidRPr="00D458CC">
        <w:t>καλεί την Επιτροπή να προβεί σε στοχευμένη επανεξέταση των διατάξεων χρηματοδότησης που ισχύουν για τα ευρωπαϊκά πολιτικά ιδρύματα δυνάμει του κανονισμού, με βάση τα πορίσματα της παρούσας έκθεσης και την πείρα που αποκτήθηκε από την έναρξη ισχύος του αναδιατυπωμένου κανονισμού·</w:t>
      </w:r>
    </w:p>
    <w:p w:rsidR="00F70DDB" w:rsidRPr="00D458CC" w:rsidP="007F005E" w14:paraId="7066CEE8" w14:textId="402BDE46">
      <w:pPr>
        <w:pStyle w:val="NormalHanging12a"/>
        <w:ind w:left="570" w:hanging="570"/>
      </w:pPr>
      <w:r w:rsidRPr="00D458CC">
        <w:t>19.</w:t>
      </w:r>
      <w:r w:rsidRPr="00D458CC">
        <w:tab/>
      </w:r>
      <w:r w:rsidRPr="00D458CC">
        <w:t>καλεί την Επιτροπή να επανεξετάσει κατά πόσον οποιοδήποτε εθνικό κανονιστικό πλαίσιο ή πλαίσιο πολιτικής απαγορεύει ή εμποδίζει την καταβολή συνεισφορών από εθνικές οντότητες, συμπεριλαμβανομένων των πολιτικών ιδρυμάτων, σε ευρωπαϊκά πολιτικά ιδρύματα και να δώσει συνέχεια με την αναγκαία δράση·</w:t>
      </w:r>
    </w:p>
    <w:p w:rsidR="00F70DDB" w:rsidRPr="00D458CC" w:rsidP="007F005E" w14:paraId="331C9BAF" w14:textId="073610B7">
      <w:pPr>
        <w:pStyle w:val="NormalHanging12a"/>
        <w:ind w:left="570" w:hanging="570"/>
      </w:pPr>
      <w:r w:rsidRPr="00D458CC">
        <w:t>20.</w:t>
      </w:r>
      <w:r w:rsidRPr="00D458CC">
        <w:tab/>
      </w:r>
      <w:r w:rsidRPr="00D458CC">
        <w:t>καλεί την Επιτροπή να υποβάλει αναδιατυπωμένη νομοθετική πρόταση για την αναθεώρηση των κανόνων χρηματοδότησης για τα ευρωπαϊκά πολιτικά ιδρύματα, συμπεριλαμβανομένης τροποποίησης του άρθρου 22 παράγραφος 4 του κανονισμού για την αύξηση του ανώτατου ορίου των οικονομικών συνεισφορών ή επιχορηγήσεων από τον γενικό προϋπολογισμό της ΕΕ στο 100 % των επιλέξιμων δαπανών που πραγματοποιήθηκαν από ένα ευρωπαϊκό πολιτικό ίδρυμα· επιπλέον, καλεί την Επιτροπή να συμπεριλάβει σε αυτήν την πρόταση μια τροποποίηση του άρθρου 25, ώστε να αυξηθεί το ανώτατο όριο των δωρεών για τα ευρωπαϊκά πολιτικά ιδρύματα, διασφαλίζοντας έτσι μεγαλύτερη ευελιξία και διαφοροποίηση των πηγών χρηματοδότησης·</w:t>
      </w:r>
    </w:p>
    <w:p w:rsidR="00F70DDB" w:rsidRPr="00D458CC" w:rsidP="007F005E" w14:paraId="6B8D56B9" w14:textId="2D007FDD">
      <w:pPr>
        <w:pStyle w:val="NormalHanging12a"/>
        <w:ind w:left="570" w:hanging="570"/>
      </w:pPr>
      <w:r w:rsidRPr="00D458CC">
        <w:t>21.</w:t>
      </w:r>
      <w:r w:rsidRPr="00D458CC">
        <w:tab/>
      </w:r>
      <w:r w:rsidRPr="00D458CC">
        <w:t xml:space="preserve">δεσμεύεται να αυξήσει το συνολικό επίπεδο χρηματοδότησης της ΕΕ για τα πολιτικά ιδρύματα στο πλαίσιο του προσεχούς πολυετούς δημοσιονομικού πλαισίου για την περίοδο 2028-2034, να λάβει υπόψη την απουσία τιμαριθμικής αναπροσαρμογής του </w:t>
      </w:r>
      <w:r w:rsidRPr="00D458CC">
        <w:t>προϋπολογισμού τα τελευταία χρόνια, τον αυξανόμενο πληθωρισμό και την αύξηση του λειτουργικού κόστους, με σκοπό να εξασφαλιστούν κατάλληλοι, σταθεροί και προβλέψιμοι χρηματοδοτικοί πόροι, να δοθεί η δυνατότητα στα ιδρύματα να συμμετέχουν σε μακροπρόθεσμες δραστηριότητες στρατηγικής ανάλυσης προοπτικών και ανάπτυξης ικανοτήτων, να διατηρηθούν υψηλά πρότυπα διαφάνειας, λογοδοσίας και ανεξαρτησίας, καθώς και να διασφαλιστεί η αναλογικότητα μεταξύ των υποχρεώσεων συμμόρφωσης και της διαθέσιμης χρηματοδότησης·</w:t>
      </w:r>
    </w:p>
    <w:p w:rsidR="00F70DDB" w:rsidRPr="00D458CC" w:rsidP="007F005E" w14:paraId="2844E25B" w14:textId="42DCD5BD">
      <w:pPr>
        <w:pStyle w:val="NormalHanging12a"/>
        <w:ind w:left="570" w:hanging="570"/>
      </w:pPr>
      <w:r w:rsidRPr="00D458CC">
        <w:t>22.</w:t>
      </w:r>
      <w:r w:rsidRPr="00D458CC">
        <w:tab/>
      </w:r>
      <w:r w:rsidRPr="00D458CC">
        <w:t>καταλήγει στο συμπέρασμα ότι η παροχή κατάλληλης χρηματοδότησης στα ευρωπαϊκά πολιτικά ιδρύματα αποτελεί στρατηγική επένδυση στη δημοκρατική ανθεκτικότητα και την ικανότητα μακροπρόθεσμης διακυβέρνησης της ΕΕ·</w:t>
      </w:r>
    </w:p>
    <w:p w:rsidR="00F70DDB" w:rsidRPr="00D458CC" w:rsidP="00F364FD" w14:paraId="75AC8D4E" w14:textId="77777777">
      <w:pPr>
        <w:pStyle w:val="NormalCenter12a"/>
        <w:ind w:left="567" w:hanging="567"/>
      </w:pPr>
      <w:r w:rsidRPr="00D458CC">
        <w:t>°</w:t>
      </w:r>
    </w:p>
    <w:p w:rsidR="00F70DDB" w:rsidRPr="00D458CC" w:rsidP="00F364FD" w14:paraId="77B5D7C7" w14:textId="77777777">
      <w:pPr>
        <w:pStyle w:val="NormalCenter12a"/>
        <w:ind w:left="567" w:hanging="567"/>
      </w:pPr>
      <w:r w:rsidRPr="00D458CC">
        <w:t>°</w:t>
      </w:r>
      <w:r w:rsidRPr="00D458CC">
        <w:tab/>
        <w:t>°</w:t>
      </w:r>
    </w:p>
    <w:p w:rsidR="00384F44" w:rsidRPr="00D458CC" w:rsidP="007F005E" w14:paraId="1623E39C" w14:textId="373D39BD">
      <w:pPr>
        <w:pStyle w:val="NormalHanging12a"/>
        <w:ind w:left="570" w:hanging="570"/>
      </w:pPr>
      <w:r w:rsidRPr="00D458CC">
        <w:t>23.</w:t>
      </w:r>
      <w:r w:rsidRPr="00D458CC">
        <w:tab/>
      </w:r>
      <w:r w:rsidRPr="00D458CC" w:rsidR="00F70DDB">
        <w:t>αναθέτει στην Πρόεδρό του να διαβιβάσει το παρόν ψήφισμα στο Συμβούλιο και στην Επιτροπή.</w:t>
      </w:r>
    </w:p>
    <w:p w:rsidR="00E365E1" w:rsidRPr="00D458CC" w:rsidP="00F364FD" w14:paraId="3A031D3F" w14:textId="1075C2EA">
      <w:pPr>
        <w:widowControl/>
        <w:spacing w:after="240"/>
        <w:ind w:left="567" w:hanging="567"/>
      </w:pPr>
    </w:p>
    <w:sectPr w:rsidSect="00384F4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4F44" w14:paraId="39A150E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4F44" w14:paraId="64BCF37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4F44" w14:paraId="3130A74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0641" w:rsidRPr="00384F44" w14:paraId="0AA649DD" w14:textId="77777777">
      <w:r w:rsidRPr="00384F44">
        <w:separator/>
      </w:r>
    </w:p>
  </w:footnote>
  <w:footnote w:type="continuationSeparator" w:id="1">
    <w:p w:rsidR="00480641" w:rsidRPr="00384F44" w14:paraId="6203C915" w14:textId="77777777">
      <w:r w:rsidRPr="00384F44">
        <w:continuationSeparator/>
      </w:r>
    </w:p>
  </w:footnote>
  <w:footnote w:id="2">
    <w:p w:rsidR="00F70DDB" w:rsidRPr="00D41AF1" w:rsidP="00F364FD" w14:paraId="0ED60EE5" w14:textId="3ECCD6B5">
      <w:pPr>
        <w:pStyle w:val="FootnoteText"/>
        <w:spacing w:line="240" w:lineRule="auto"/>
        <w:ind w:left="567" w:hanging="567"/>
        <w:rPr>
          <w:sz w:val="24"/>
          <w:lang w:val="fi-FI"/>
        </w:rPr>
      </w:pPr>
      <w:r w:rsidRPr="00D41AF1">
        <w:rPr>
          <w:rStyle w:val="FootnoteReference"/>
          <w:sz w:val="24"/>
          <w:lang w:val="fi-FI"/>
        </w:rPr>
        <w:t>1</w:t>
      </w:r>
      <w:r w:rsidRPr="00D41AF1" w:rsidR="00384F44">
        <w:rPr>
          <w:sz w:val="24"/>
          <w:lang w:val="fi-FI"/>
        </w:rPr>
        <w:t xml:space="preserve"> </w:t>
      </w:r>
      <w:r w:rsidRPr="00D41AF1" w:rsidR="00384F44">
        <w:rPr>
          <w:sz w:val="24"/>
          <w:lang w:val="fi-FI"/>
        </w:rPr>
        <w:tab/>
      </w:r>
      <w:r w:rsidRPr="00384F44">
        <w:rPr>
          <w:sz w:val="24"/>
          <w:lang w:val="el-GR"/>
        </w:rPr>
        <w:t>ΕΕ</w:t>
      </w:r>
      <w:r w:rsidRPr="00D41AF1">
        <w:rPr>
          <w:sz w:val="24"/>
          <w:lang w:val="fi-FI"/>
        </w:rPr>
        <w:t xml:space="preserve"> L, 2025/2445, 8.12.2025, ELI: </w:t>
      </w:r>
      <w:hyperlink r:id="rId1" w:tgtFrame="http://data.europa.eu/eli/reg/2025/2445/oj" w:history="1">
        <w:r w:rsidRPr="00D41AF1">
          <w:rPr>
            <w:rStyle w:val="Hyperlink"/>
            <w:sz w:val="24"/>
            <w:lang w:val="fi-FI"/>
          </w:rPr>
          <w:t>http://data.europa.eu/eli/reg/2025/2445/oj</w:t>
        </w:r>
      </w:hyperlink>
      <w:r w:rsidRPr="00D41AF1">
        <w:rPr>
          <w:sz w:val="24"/>
          <w:lang w:val="fi-FI"/>
        </w:rPr>
        <w:t>.</w:t>
      </w:r>
    </w:p>
  </w:footnote>
  <w:footnote w:id="3">
    <w:p w:rsidR="00F70DDB" w:rsidRPr="00D41AF1" w:rsidP="00F364FD" w14:paraId="4506265B" w14:textId="7D0EEA0B">
      <w:pPr>
        <w:pStyle w:val="FootnoteText"/>
        <w:spacing w:line="240" w:lineRule="auto"/>
        <w:ind w:left="567" w:hanging="567"/>
        <w:rPr>
          <w:sz w:val="24"/>
          <w:lang w:val="fi-FI"/>
        </w:rPr>
      </w:pPr>
      <w:r w:rsidRPr="00D41AF1">
        <w:rPr>
          <w:rStyle w:val="FootnoteReference"/>
          <w:sz w:val="24"/>
          <w:lang w:val="fi-FI"/>
        </w:rPr>
        <w:t>2</w:t>
      </w:r>
      <w:r w:rsidRPr="00D41AF1" w:rsidR="00384F44">
        <w:rPr>
          <w:sz w:val="24"/>
          <w:lang w:val="fi-FI"/>
        </w:rPr>
        <w:t xml:space="preserve"> </w:t>
      </w:r>
      <w:r w:rsidRPr="00D41AF1" w:rsidR="00384F44">
        <w:rPr>
          <w:sz w:val="24"/>
          <w:lang w:val="fi-FI"/>
        </w:rPr>
        <w:tab/>
      </w:r>
      <w:r w:rsidRPr="00384F44">
        <w:rPr>
          <w:sz w:val="24"/>
          <w:lang w:val="el-GR"/>
        </w:rPr>
        <w:t>ΕΕ</w:t>
      </w:r>
      <w:r w:rsidRPr="00D41AF1">
        <w:rPr>
          <w:sz w:val="24"/>
          <w:lang w:val="fi-FI"/>
        </w:rPr>
        <w:t xml:space="preserve"> L, 2024/2509, 26.9.2024, ELI: </w:t>
      </w:r>
      <w:hyperlink r:id="rId2" w:tgtFrame="http://data.europa.eu/eli/reg/2024/2509/oj" w:history="1">
        <w:r w:rsidRPr="00D41AF1">
          <w:rPr>
            <w:rStyle w:val="Hyperlink"/>
            <w:sz w:val="24"/>
            <w:lang w:val="fi-FI"/>
          </w:rPr>
          <w:t>http://data.europa.eu/eli/reg/2024/2509/oj</w:t>
        </w:r>
      </w:hyperlink>
      <w:r w:rsidRPr="00D41AF1">
        <w:rPr>
          <w:sz w:val="24"/>
          <w:lang w:val="fi-FI"/>
        </w:rPr>
        <w:t>.</w:t>
      </w:r>
    </w:p>
  </w:footnote>
  <w:footnote w:id="4">
    <w:p w:rsidR="00F70DDB" w:rsidRPr="00384F44" w:rsidP="00F364FD" w14:paraId="17FA4F9F" w14:textId="0B7300E2">
      <w:pPr>
        <w:pStyle w:val="FootnoteText"/>
        <w:spacing w:line="240" w:lineRule="auto"/>
        <w:ind w:left="567" w:hanging="567"/>
        <w:rPr>
          <w:sz w:val="24"/>
          <w:lang w:val="el-GR"/>
        </w:rPr>
      </w:pPr>
      <w:r w:rsidRPr="00384F44">
        <w:rPr>
          <w:rStyle w:val="FootnoteReference"/>
          <w:sz w:val="24"/>
          <w:lang w:val="el-GR"/>
        </w:rPr>
        <w:t>3</w:t>
      </w:r>
      <w:r w:rsidRPr="00384F44" w:rsidR="00384F44">
        <w:rPr>
          <w:sz w:val="24"/>
          <w:lang w:val="el-GR"/>
        </w:rPr>
        <w:t xml:space="preserve"> </w:t>
      </w:r>
      <w:r w:rsidRPr="00384F44" w:rsidR="00384F44">
        <w:rPr>
          <w:sz w:val="24"/>
          <w:lang w:val="el-GR"/>
        </w:rPr>
        <w:tab/>
      </w:r>
      <w:r w:rsidRPr="00384F44">
        <w:rPr>
          <w:sz w:val="24"/>
          <w:lang w:val="el-GR"/>
        </w:rPr>
        <w:t>ΕΕ C 205 της 20.5.2022, σ. 37.</w:t>
      </w:r>
    </w:p>
  </w:footnote>
  <w:footnote w:id="5">
    <w:p w:rsidR="00F70DDB" w:rsidRPr="00384F44" w:rsidP="00F364FD" w14:paraId="78CD4313" w14:textId="2EDA5A87">
      <w:pPr>
        <w:pStyle w:val="FootnoteText"/>
        <w:spacing w:line="240" w:lineRule="auto"/>
        <w:ind w:left="567" w:hanging="567"/>
        <w:rPr>
          <w:sz w:val="24"/>
          <w:lang w:val="el-GR"/>
        </w:rPr>
      </w:pPr>
      <w:r w:rsidRPr="00384F44">
        <w:rPr>
          <w:rStyle w:val="FootnoteReference"/>
          <w:sz w:val="24"/>
          <w:lang w:val="el-GR"/>
        </w:rPr>
        <w:t>4</w:t>
      </w:r>
      <w:r w:rsidRPr="00384F44" w:rsidR="00384F44">
        <w:rPr>
          <w:sz w:val="24"/>
          <w:lang w:val="el-GR"/>
        </w:rPr>
        <w:t xml:space="preserve"> </w:t>
      </w:r>
      <w:r w:rsidRPr="00384F44" w:rsidR="00384F44">
        <w:rPr>
          <w:sz w:val="24"/>
          <w:lang w:val="el-GR"/>
        </w:rPr>
        <w:tab/>
      </w:r>
      <w:r w:rsidRPr="00384F44">
        <w:rPr>
          <w:sz w:val="24"/>
          <w:lang w:val="el-GR"/>
        </w:rPr>
        <w:t>Πρόταση της Επιτροπής, της 25ης Νοεμβρίου 2021, για κανονισμό του Ευρωπαϊκού Κοινοβουλίου και του Συμβουλίου σχετικά με το καθεστώς και τη χρηματοδότηση των ευρωπαϊκών πολιτικών κομμάτων και των ευρωπαϊκών πολιτικών ιδρυμάτων (αναδιατύπωση)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4F44" w14:paraId="75FA9CB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4F44" w14:paraId="7FCF715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4F44" w14:paraId="75140A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CDB684D"/>
    <w:multiLevelType w:val="hybridMultilevel"/>
    <w:tmpl w:val="7CE876F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D151ED0"/>
    <w:multiLevelType w:val="hybridMultilevel"/>
    <w:tmpl w:val="9B8817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6F9052A"/>
    <w:multiLevelType w:val="hybridMultilevel"/>
    <w:tmpl w:val="AF2802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16382491">
    <w:abstractNumId w:val="9"/>
  </w:num>
  <w:num w:numId="2" w16cid:durableId="962544476">
    <w:abstractNumId w:val="9"/>
  </w:num>
  <w:num w:numId="3" w16cid:durableId="1449468215">
    <w:abstractNumId w:val="7"/>
  </w:num>
  <w:num w:numId="4" w16cid:durableId="1074007902">
    <w:abstractNumId w:val="7"/>
  </w:num>
  <w:num w:numId="5" w16cid:durableId="255138147">
    <w:abstractNumId w:val="6"/>
  </w:num>
  <w:num w:numId="6" w16cid:durableId="2022201607">
    <w:abstractNumId w:val="6"/>
  </w:num>
  <w:num w:numId="7" w16cid:durableId="1631588590">
    <w:abstractNumId w:val="5"/>
  </w:num>
  <w:num w:numId="8" w16cid:durableId="90780636">
    <w:abstractNumId w:val="5"/>
  </w:num>
  <w:num w:numId="9" w16cid:durableId="1500727062">
    <w:abstractNumId w:val="4"/>
  </w:num>
  <w:num w:numId="10" w16cid:durableId="174541380">
    <w:abstractNumId w:val="4"/>
  </w:num>
  <w:num w:numId="11" w16cid:durableId="1189295840">
    <w:abstractNumId w:val="8"/>
  </w:num>
  <w:num w:numId="12" w16cid:durableId="1944529690">
    <w:abstractNumId w:val="8"/>
  </w:num>
  <w:num w:numId="13" w16cid:durableId="1338733628">
    <w:abstractNumId w:val="3"/>
  </w:num>
  <w:num w:numId="14" w16cid:durableId="453984226">
    <w:abstractNumId w:val="3"/>
  </w:num>
  <w:num w:numId="15" w16cid:durableId="1426152077">
    <w:abstractNumId w:val="2"/>
  </w:num>
  <w:num w:numId="16" w16cid:durableId="1278638226">
    <w:abstractNumId w:val="2"/>
  </w:num>
  <w:num w:numId="17" w16cid:durableId="104693487">
    <w:abstractNumId w:val="1"/>
  </w:num>
  <w:num w:numId="18" w16cid:durableId="475336614">
    <w:abstractNumId w:val="1"/>
  </w:num>
  <w:num w:numId="19" w16cid:durableId="1952780384">
    <w:abstractNumId w:val="0"/>
  </w:num>
  <w:num w:numId="20" w16cid:durableId="1837569287">
    <w:abstractNumId w:val="0"/>
  </w:num>
  <w:num w:numId="21" w16cid:durableId="1222323251">
    <w:abstractNumId w:val="9"/>
  </w:num>
  <w:num w:numId="22" w16cid:durableId="1364790389">
    <w:abstractNumId w:val="7"/>
  </w:num>
  <w:num w:numId="23" w16cid:durableId="373774775">
    <w:abstractNumId w:val="6"/>
  </w:num>
  <w:num w:numId="24" w16cid:durableId="607659662">
    <w:abstractNumId w:val="5"/>
  </w:num>
  <w:num w:numId="25" w16cid:durableId="202827">
    <w:abstractNumId w:val="4"/>
  </w:num>
  <w:num w:numId="26" w16cid:durableId="1999071281">
    <w:abstractNumId w:val="8"/>
  </w:num>
  <w:num w:numId="27" w16cid:durableId="746223729">
    <w:abstractNumId w:val="3"/>
  </w:num>
  <w:num w:numId="28" w16cid:durableId="776363111">
    <w:abstractNumId w:val="2"/>
  </w:num>
  <w:num w:numId="29" w16cid:durableId="425461901">
    <w:abstractNumId w:val="1"/>
  </w:num>
  <w:num w:numId="30" w16cid:durableId="1087075203">
    <w:abstractNumId w:val="0"/>
  </w:num>
  <w:num w:numId="31" w16cid:durableId="1507868994">
    <w:abstractNumId w:val="9"/>
  </w:num>
  <w:num w:numId="32" w16cid:durableId="1864515590">
    <w:abstractNumId w:val="7"/>
  </w:num>
  <w:num w:numId="33" w16cid:durableId="802963285">
    <w:abstractNumId w:val="6"/>
  </w:num>
  <w:num w:numId="34" w16cid:durableId="737050560">
    <w:abstractNumId w:val="5"/>
  </w:num>
  <w:num w:numId="35" w16cid:durableId="1615287842">
    <w:abstractNumId w:val="4"/>
  </w:num>
  <w:num w:numId="36" w16cid:durableId="817839457">
    <w:abstractNumId w:val="8"/>
  </w:num>
  <w:num w:numId="37" w16cid:durableId="585765998">
    <w:abstractNumId w:val="3"/>
  </w:num>
  <w:num w:numId="38" w16cid:durableId="65150215">
    <w:abstractNumId w:val="2"/>
  </w:num>
  <w:num w:numId="39" w16cid:durableId="161699022">
    <w:abstractNumId w:val="1"/>
  </w:num>
  <w:num w:numId="40" w16cid:durableId="2109764322">
    <w:abstractNumId w:val="0"/>
  </w:num>
  <w:num w:numId="41" w16cid:durableId="1230767518">
    <w:abstractNumId w:val="10"/>
  </w:num>
  <w:num w:numId="42" w16cid:durableId="2003193742">
    <w:abstractNumId w:val="10"/>
  </w:num>
  <w:num w:numId="43" w16cid:durableId="2070882119">
    <w:abstractNumId w:val="10"/>
  </w:num>
  <w:num w:numId="44" w16cid:durableId="1167016639">
    <w:abstractNumId w:val="11"/>
  </w:num>
  <w:num w:numId="45" w16cid:durableId="550924129">
    <w:abstractNumId w:val="13"/>
  </w:num>
  <w:num w:numId="46" w16cid:durableId="1762599099">
    <w:abstractNumId w:val="12"/>
  </w:num>
  <w:num w:numId="47" w16cid:durableId="16202132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641"/>
    <w:rsid w:val="00002272"/>
    <w:rsid w:val="00022DB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F44"/>
    <w:rsid w:val="00395FA1"/>
    <w:rsid w:val="003E15D4"/>
    <w:rsid w:val="00411CCE"/>
    <w:rsid w:val="0041666E"/>
    <w:rsid w:val="00421060"/>
    <w:rsid w:val="00471C19"/>
    <w:rsid w:val="0048064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8C8"/>
    <w:rsid w:val="006F74FA"/>
    <w:rsid w:val="00731ADD"/>
    <w:rsid w:val="00734777"/>
    <w:rsid w:val="00747932"/>
    <w:rsid w:val="00751A4A"/>
    <w:rsid w:val="00756632"/>
    <w:rsid w:val="00762C74"/>
    <w:rsid w:val="00786EC0"/>
    <w:rsid w:val="007A714B"/>
    <w:rsid w:val="007D1690"/>
    <w:rsid w:val="007E22AD"/>
    <w:rsid w:val="007F005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6B2"/>
    <w:rsid w:val="00BE6ADC"/>
    <w:rsid w:val="00C05BFE"/>
    <w:rsid w:val="00C23CD4"/>
    <w:rsid w:val="00C61C0C"/>
    <w:rsid w:val="00C941CB"/>
    <w:rsid w:val="00CC2357"/>
    <w:rsid w:val="00CF071A"/>
    <w:rsid w:val="00D058B8"/>
    <w:rsid w:val="00D12443"/>
    <w:rsid w:val="00D25C2C"/>
    <w:rsid w:val="00D41AF1"/>
    <w:rsid w:val="00D458C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4FD"/>
    <w:rsid w:val="00F5134D"/>
    <w:rsid w:val="00F70DDB"/>
    <w:rsid w:val="00F74202"/>
    <w:rsid w:val="00F87713"/>
    <w:rsid w:val="00FB4360"/>
    <w:rsid w:val="00FD0C35"/>
    <w:rsid w:val="00FD0C70"/>
  </w:rsids>
  <w:docVars>
    <w:docVar w:name="dvdocse" w:val="A10-0145/2026"/>
    <w:docVar w:name="dvlangue" w:val="EL"/>
    <w:docVar w:name="dvnumam" w:val="0"/>
    <w:docVar w:name="dvpe" w:val="784.388"/>
    <w:docVar w:name="dvrapporteur" w:val="Εισηγητές: "/>
    <w:docVar w:name="dvtitre" w:val="Ψήφισμα του Ευρωπαϊκού Κοινοβουλίου της ... 2026 Ευρωπαϊκά πολιτικά κόμματα και ευρωπαϊκά πολιτικά ιδρύματα — έκθεση του 2026 σχετικά με την εφαρμογή του κανονισμού (ΕΕ, Ευρατόμ) αριθ. 2025/2445 και σχετικά με τις χρηματοδοτηθείσες δραστηριότητες(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D3381D"/>
  <w15:chartTrackingRefBased/>
  <w15:docId w15:val="{B212558F-6AFC-4EB0-979F-E2277A684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70DDB"/>
    <w:pPr>
      <w:widowControl/>
      <w:spacing w:after="240"/>
    </w:pPr>
    <w:rPr>
      <w:szCs w:val="24"/>
      <w:lang w:eastAsia="en-US"/>
    </w:rPr>
  </w:style>
  <w:style w:type="paragraph" w:customStyle="1" w:styleId="NormalHanging12a">
    <w:name w:val="NormalHanging12a"/>
    <w:basedOn w:val="Normal"/>
    <w:rsid w:val="00F70DDB"/>
    <w:pPr>
      <w:widowControl/>
      <w:spacing w:after="240"/>
      <w:ind w:left="566" w:hanging="566"/>
    </w:pPr>
    <w:rPr>
      <w:szCs w:val="24"/>
      <w:lang w:eastAsia="en-US"/>
    </w:rPr>
  </w:style>
  <w:style w:type="paragraph" w:customStyle="1" w:styleId="Normal12">
    <w:name w:val="Normal12"/>
    <w:basedOn w:val="Normal"/>
    <w:rsid w:val="00F70DDB"/>
    <w:pPr>
      <w:spacing w:after="240"/>
    </w:pPr>
    <w:rPr>
      <w:szCs w:val="24"/>
      <w:lang w:eastAsia="en-US"/>
    </w:rPr>
  </w:style>
  <w:style w:type="paragraph" w:customStyle="1" w:styleId="NormalHanging">
    <w:name w:val="NormalHanging"/>
    <w:basedOn w:val="Normal"/>
    <w:rsid w:val="00F70DDB"/>
    <w:pPr>
      <w:spacing w:after="240"/>
      <w:ind w:left="566" w:hanging="566"/>
    </w:pPr>
    <w:rPr>
      <w:szCs w:val="24"/>
      <w:lang w:eastAsia="en-US"/>
    </w:rPr>
  </w:style>
  <w:style w:type="paragraph" w:customStyle="1" w:styleId="NormalBold12a">
    <w:name w:val="NormalBold12a"/>
    <w:basedOn w:val="Normal"/>
    <w:rsid w:val="00F70DDB"/>
    <w:pPr>
      <w:widowControl/>
      <w:spacing w:after="240"/>
    </w:pPr>
    <w:rPr>
      <w:b/>
      <w:szCs w:val="24"/>
      <w:lang w:eastAsia="en-US"/>
    </w:rPr>
  </w:style>
  <w:style w:type="paragraph" w:customStyle="1" w:styleId="NormalCenter12a">
    <w:name w:val="NormalCenter12a"/>
    <w:basedOn w:val="Normal"/>
    <w:rsid w:val="00F70DDB"/>
    <w:pPr>
      <w:widowControl/>
      <w:spacing w:after="240"/>
      <w:jc w:val="center"/>
    </w:pPr>
    <w:rPr>
      <w:szCs w:val="24"/>
      <w:lang w:eastAsia="en-US"/>
    </w:rPr>
  </w:style>
  <w:style w:type="character" w:styleId="Hyperlink">
    <w:name w:val="Hyperlink"/>
    <w:basedOn w:val="DefaultParagraphFont"/>
    <w:rsid w:val="00F70DDB"/>
    <w:rPr>
      <w:color w:val="0000FF"/>
      <w:u w:val="single"/>
    </w:rPr>
  </w:style>
  <w:style w:type="paragraph" w:styleId="Revision">
    <w:name w:val="Revision"/>
    <w:hidden/>
    <w:uiPriority w:val="99"/>
    <w:semiHidden/>
    <w:rsid w:val="00F364F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2264</Words>
  <Characters>14395</Characters>
  <Application>Microsoft Office Word</Application>
  <DocSecurity>0</DocSecurity>
  <Lines>287</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2026-07-22T06:01:00Z</dcterms:created>
  <dcterms:modified xsi:type="dcterms:W3CDTF">2026-07-22T06:01:00Z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A10-0145/2026</vt:lpwstr>
  </property>
  <property fmtid="{D5CDD505-2E9C-101B-9397-08002B2CF9AE}" pid="4" name="&lt;Type&gt;">
    <vt:lpwstr>RR</vt:lpwstr>
  </property>
</Properties>
</file>