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83BAA3A" w14:textId="77777777" w:rsidTr="0010095E">
        <w:tblPrEx>
          <w:tblW w:w="9072" w:type="dxa"/>
          <w:tblLook w:val="01E0"/>
        </w:tblPrEx>
        <w:trPr>
          <w:trHeight w:hRule="exact" w:val="1418"/>
        </w:trPr>
        <w:tc>
          <w:tcPr>
            <w:tcW w:w="6804" w:type="dxa"/>
            <w:shd w:val="clear" w:color="auto" w:fill="auto"/>
            <w:vAlign w:val="center"/>
          </w:tcPr>
          <w:p w:rsidR="00751A4A" w:rsidRPr="005D6390" w:rsidP="0010095E" w14:paraId="030DE43C" w14:textId="77777777">
            <w:pPr>
              <w:pStyle w:val="EPName"/>
            </w:pPr>
            <w:r w:rsidRPr="005D6390">
              <w:t>Európai Parlament</w:t>
            </w:r>
          </w:p>
          <w:p w:rsidR="00751A4A" w:rsidRPr="005D6390" w:rsidP="005F1B17" w14:paraId="46F97E28" w14:textId="77777777">
            <w:pPr>
              <w:pStyle w:val="EPTerm"/>
              <w:rPr>
                <w:rStyle w:val="HideTWBExt"/>
                <w:noProof w:val="0"/>
                <w:vanish w:val="0"/>
                <w:color w:val="auto"/>
              </w:rPr>
            </w:pPr>
            <w:r w:rsidRPr="005D6390">
              <w:t>2024</w:t>
            </w:r>
            <w:r w:rsidRPr="005D6390" w:rsidR="00817416">
              <w:t>-202</w:t>
            </w:r>
            <w:r w:rsidRPr="005D6390">
              <w:t>9</w:t>
            </w:r>
          </w:p>
        </w:tc>
        <w:tc>
          <w:tcPr>
            <w:tcW w:w="2268" w:type="dxa"/>
            <w:shd w:val="clear" w:color="auto" w:fill="auto"/>
          </w:tcPr>
          <w:p w:rsidR="00751A4A" w:rsidRPr="005D6390" w:rsidP="0010095E" w14:paraId="6C698C63" w14:textId="77777777">
            <w:pPr>
              <w:pStyle w:val="EPLogo"/>
            </w:pPr>
            <w:r w:rsidRPr="005D6390">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5D6390" w:rsidP="004C5D52" w14:paraId="13FE3B14" w14:textId="77777777">
      <w:pPr>
        <w:pStyle w:val="LineTop"/>
      </w:pPr>
    </w:p>
    <w:p w:rsidR="00680577" w:rsidRPr="005D6390" w:rsidP="00680577" w14:paraId="1B2D3719" w14:textId="77777777">
      <w:pPr>
        <w:pStyle w:val="EPBodyTA1"/>
      </w:pPr>
      <w:r w:rsidRPr="005D6390">
        <w:t>ELFOGADOTT SZÖVEGEK</w:t>
      </w:r>
    </w:p>
    <w:p w:rsidR="00D058B8" w:rsidRPr="005D6390" w:rsidP="00D058B8" w14:paraId="30A782D7" w14:textId="77777777">
      <w:pPr>
        <w:pStyle w:val="LineBottom"/>
      </w:pPr>
    </w:p>
    <w:p w:rsidR="000B7720" w:rsidRPr="005D6390" w:rsidP="000B7720" w14:paraId="255333E5" w14:textId="442ECA9A">
      <w:pPr>
        <w:pStyle w:val="ATHeading1"/>
      </w:pPr>
      <w:bookmarkStart w:id="0" w:name="TANumber"/>
      <w:r w:rsidRPr="005D6390">
        <w:t>P10_</w:t>
      </w:r>
      <w:r w:rsidRPr="005D6390">
        <w:t>TA(</w:t>
      </w:r>
      <w:r w:rsidRPr="005D6390">
        <w:t>2026)0</w:t>
      </w:r>
      <w:r w:rsidRPr="005D6390" w:rsidR="005D6390">
        <w:t>202</w:t>
      </w:r>
      <w:bookmarkEnd w:id="0"/>
    </w:p>
    <w:p w:rsidR="000B7720" w:rsidRPr="005D6390" w:rsidP="000B7720" w14:paraId="03FA9E1A" w14:textId="29F0F4F4">
      <w:pPr>
        <w:pStyle w:val="ATHeading2"/>
      </w:pPr>
      <w:bookmarkStart w:id="1" w:name="title"/>
      <w:r w:rsidRPr="005D6390">
        <w:t>Európai politikai pártok és európai politikai alapítványok – 2026. évi jelentés az (EU, Euratom) 2025/2445 rendelet alkalmazásáról és a támogatott tevékenységekről</w:t>
      </w:r>
      <w:bookmarkEnd w:id="1"/>
    </w:p>
    <w:p w:rsidR="000B7720" w:rsidRPr="005D6390" w:rsidP="000B7720" w14:paraId="409010FB" w14:textId="77777777">
      <w:pPr>
        <w:rPr>
          <w:i/>
          <w:vanish/>
        </w:rPr>
      </w:pPr>
      <w:r>
        <w:rPr>
          <w:i/>
        </w:rPr>
        <w:fldChar w:fldCharType="begin"/>
      </w:r>
      <w:r w:rsidRPr="005D6390">
        <w:rPr>
          <w:i/>
        </w:rPr>
        <w:instrText xml:space="preserve"> TC"(</w:instrText>
      </w:r>
      <w:bookmarkStart w:id="2" w:name="DocNumber"/>
      <w:r w:rsidRPr="005D6390">
        <w:rPr>
          <w:i/>
        </w:rPr>
        <w:instrText>A10-0145/2026</w:instrText>
      </w:r>
      <w:bookmarkEnd w:id="2"/>
      <w:r w:rsidRPr="005D6390">
        <w:rPr>
          <w:i/>
        </w:rPr>
        <w:instrText xml:space="preserve"> - Előadók: Loránt Vincze, Charles Goerens)"\l3 \n&gt; \* MERGEFORMAT </w:instrText>
      </w:r>
      <w:r>
        <w:rPr>
          <w:i/>
        </w:rPr>
        <w:fldChar w:fldCharType="end"/>
      </w:r>
    </w:p>
    <w:p w:rsidR="000B7720" w:rsidRPr="005D6390" w:rsidP="000B7720" w14:paraId="71E8363C" w14:textId="77777777">
      <w:pPr>
        <w:rPr>
          <w:vanish/>
        </w:rPr>
      </w:pPr>
      <w:bookmarkStart w:id="3" w:name="Commission"/>
      <w:r w:rsidRPr="005D6390">
        <w:rPr>
          <w:vanish/>
        </w:rPr>
        <w:t>Alkotmányügyi Bizottság</w:t>
      </w:r>
      <w:bookmarkEnd w:id="3"/>
    </w:p>
    <w:p w:rsidR="000B7720" w:rsidRPr="005D6390" w:rsidP="000B7720" w14:paraId="74759FD1" w14:textId="77777777">
      <w:pPr>
        <w:rPr>
          <w:vanish/>
        </w:rPr>
      </w:pPr>
      <w:bookmarkStart w:id="4" w:name="PE"/>
      <w:r w:rsidRPr="005D6390">
        <w:rPr>
          <w:vanish/>
        </w:rPr>
        <w:t>PE784.388</w:t>
      </w:r>
      <w:bookmarkEnd w:id="4"/>
    </w:p>
    <w:p w:rsidR="000B7720" w:rsidRPr="005D6390" w:rsidP="000B7720" w14:paraId="5F811739" w14:textId="0EBDE12D">
      <w:pPr>
        <w:pStyle w:val="ATHeading3"/>
      </w:pPr>
      <w:bookmarkStart w:id="5" w:name="Sujet"/>
      <w:r w:rsidRPr="005D6390">
        <w:t xml:space="preserve">Az Európai Parlament 2026. </w:t>
      </w:r>
      <w:r w:rsidRPr="005D6390" w:rsidR="006C3A38">
        <w:t>június</w:t>
      </w:r>
      <w:r w:rsidRPr="005D6390">
        <w:t xml:space="preserve"> </w:t>
      </w:r>
      <w:r w:rsidRPr="005D6390" w:rsidR="006C3A38">
        <w:t>16-</w:t>
      </w:r>
      <w:r w:rsidRPr="005D6390">
        <w:t>i állásfoglalása Európai Politikai Pártok és Európai Politikai Alapítványok – 2026. évi jelentés az (EU, Euratom) 2025/2445 rendelet alkalmazásáról és a támogatott tevékenységekről</w:t>
      </w:r>
      <w:bookmarkEnd w:id="5"/>
      <w:r w:rsidRPr="005D6390">
        <w:t xml:space="preserve"> </w:t>
      </w:r>
      <w:bookmarkStart w:id="6" w:name="References"/>
      <w:r w:rsidRPr="005D6390">
        <w:t>(2026/2013(INI))</w:t>
      </w:r>
      <w:bookmarkEnd w:id="6"/>
    </w:p>
    <w:p w:rsidR="007D74D0" w:rsidRPr="005D6390" w:rsidP="006C3A38" w14:paraId="4FCA1D7B" w14:textId="77777777">
      <w:pPr>
        <w:pStyle w:val="Normal12"/>
        <w:spacing w:before="360"/>
        <w:rPr>
          <w:i/>
          <w:iCs/>
        </w:rPr>
      </w:pPr>
      <w:r w:rsidRPr="005D6390">
        <w:rPr>
          <w:i/>
          <w:iCs/>
        </w:rPr>
        <w:t>Az Európai Parlament,</w:t>
      </w:r>
    </w:p>
    <w:p w:rsidR="007D74D0" w:rsidRPr="005D6390" w:rsidP="006C3A38" w14:paraId="17D9DF16" w14:textId="77777777">
      <w:pPr>
        <w:pStyle w:val="NormalHanging"/>
        <w:widowControl/>
        <w:ind w:left="567" w:hanging="567"/>
      </w:pPr>
      <w:r w:rsidRPr="005D6390">
        <w:t>–</w:t>
      </w:r>
      <w:r w:rsidRPr="005D6390">
        <w:tab/>
        <w:t>tekintettel az Európai Unióról szóló szerződés 2. cikkére és 10. cikkének (4) bekezdésére, valamint az Európai Unió Alapjogi Chartája 12. cikkének (2) bekezdésére,</w:t>
      </w:r>
    </w:p>
    <w:p w:rsidR="007D74D0" w:rsidRPr="005D6390" w:rsidP="006C3A38" w14:paraId="1C501BF2" w14:textId="77777777">
      <w:pPr>
        <w:pStyle w:val="NormalHanging"/>
        <w:widowControl/>
        <w:ind w:left="567" w:hanging="567"/>
      </w:pPr>
      <w:r w:rsidRPr="005D6390">
        <w:t>–</w:t>
      </w:r>
      <w:r w:rsidRPr="005D6390">
        <w:tab/>
        <w:t>tekintettel az Európai Unió működéséről szóló szerződés 224. és 325. cikkére,</w:t>
      </w:r>
    </w:p>
    <w:p w:rsidR="007D74D0" w:rsidRPr="005D6390" w:rsidP="006C3A38" w14:paraId="484CDB4B" w14:textId="77777777">
      <w:pPr>
        <w:pStyle w:val="NormalHanging"/>
        <w:widowControl/>
        <w:ind w:left="567" w:hanging="567"/>
      </w:pPr>
      <w:r w:rsidRPr="005D6390">
        <w:t>–</w:t>
      </w:r>
      <w:r w:rsidRPr="005D6390">
        <w:tab/>
        <w:t>tekintettel az európai politikai pártok és az európai politikai alapítványok jogállásáról és finanszírozásáról szóló, 2025. november 26-i (EU, Euratom) 2025/2445 európai parlamenti és tanácsi rendeletre</w:t>
      </w:r>
      <w:r>
        <w:rPr>
          <w:rStyle w:val="FootnoteReference"/>
        </w:rPr>
        <w:footnoteReference w:customMarkFollows="1" w:id="2"/>
        <w:t xml:space="preserve">1</w:t>
      </w:r>
      <w:r w:rsidRPr="005D6390">
        <w:t xml:space="preserve"> (a továbbiakban: a rendelet),</w:t>
      </w:r>
    </w:p>
    <w:p w:rsidR="007D74D0" w:rsidRPr="005D6390" w:rsidP="006C3A38" w14:paraId="4785B7EB" w14:textId="77777777">
      <w:pPr>
        <w:pStyle w:val="NormalHanging"/>
        <w:widowControl/>
        <w:ind w:left="567" w:hanging="567"/>
      </w:pPr>
      <w:r w:rsidRPr="005D6390">
        <w:t>–</w:t>
      </w:r>
      <w:r w:rsidRPr="005D6390">
        <w:tab/>
        <w:t>tekintettel az Unió általános költségvetésére alkalmazandó pénzügyi szabályokról szóló, 2024. szeptember 23-i (EU, Euratom) 2024/2509 európai parlamenti és tanácsi rendeletre</w:t>
      </w:r>
      <w:r>
        <w:rPr>
          <w:rStyle w:val="FootnoteReference"/>
        </w:rPr>
        <w:footnoteReference w:customMarkFollows="1" w:id="3"/>
        <w:t xml:space="preserve">2</w:t>
      </w:r>
      <w:r w:rsidRPr="005D6390">
        <w:t xml:space="preserve"> (a továbbiakban: a költségvetési rendelet),</w:t>
      </w:r>
    </w:p>
    <w:p w:rsidR="007D74D0" w:rsidRPr="005D6390" w:rsidP="006C3A38" w14:paraId="6FED8CE2" w14:textId="77777777">
      <w:pPr>
        <w:pStyle w:val="NormalHanging"/>
        <w:widowControl/>
        <w:ind w:left="567" w:hanging="567"/>
      </w:pPr>
      <w:r w:rsidRPr="005D6390">
        <w:t>–</w:t>
      </w:r>
      <w:r w:rsidRPr="005D6390">
        <w:tab/>
        <w:t>tekintettel az európai politikai pártok és az európai politikai alapítványok jogállásáról és finanszírozásáról szóló 1141/2014/EU, Euratom rendelet alkalmazásáról szóló, 2021. november 11-i állásfoglalására</w:t>
      </w:r>
      <w:r>
        <w:rPr>
          <w:rStyle w:val="FootnoteReference"/>
        </w:rPr>
        <w:footnoteReference w:customMarkFollows="1" w:id="4"/>
        <w:t xml:space="preserve">3</w:t>
      </w:r>
      <w:r w:rsidRPr="005D6390">
        <w:t>,</w:t>
      </w:r>
    </w:p>
    <w:p w:rsidR="007D74D0" w:rsidRPr="005D6390" w:rsidP="006C3A38" w14:paraId="0742A421" w14:textId="77777777">
      <w:pPr>
        <w:pStyle w:val="NormalHanging"/>
        <w:widowControl/>
        <w:ind w:left="567" w:hanging="567"/>
      </w:pPr>
      <w:r w:rsidRPr="005D6390">
        <w:t>–</w:t>
      </w:r>
      <w:r w:rsidRPr="005D6390">
        <w:tab/>
        <w:t>tekintettel az Európai Politikai Pártok és Európai Politikai Alapítványok Hatóságával (a továbbiakban: a Hatóság) folytatott konzultációra és a Hatóság éves tevékenységi jelentéseire,</w:t>
      </w:r>
    </w:p>
    <w:p w:rsidR="007D74D0" w:rsidRPr="005D6390" w:rsidP="006C3A38" w14:paraId="229F3A5E" w14:textId="77777777">
      <w:pPr>
        <w:pStyle w:val="NormalHanging"/>
        <w:widowControl/>
        <w:ind w:left="567" w:hanging="567"/>
      </w:pPr>
      <w:r w:rsidRPr="005D6390">
        <w:t>–</w:t>
      </w:r>
      <w:r w:rsidRPr="005D6390">
        <w:tab/>
        <w:t>tekintettel az Alkotmányügyi Bizottság által az európai politikai alapítványokkal és intézményi érdekelt felekkel 2026. március 18-án tartott eszmecserére,</w:t>
      </w:r>
    </w:p>
    <w:p w:rsidR="007D74D0" w:rsidRPr="005D6390" w:rsidP="006C3A38" w14:paraId="518EDA5A" w14:textId="77777777">
      <w:pPr>
        <w:pStyle w:val="NormalHanging"/>
        <w:widowControl/>
        <w:ind w:left="567" w:hanging="567"/>
      </w:pPr>
      <w:r w:rsidRPr="005D6390">
        <w:t>–</w:t>
      </w:r>
      <w:r w:rsidRPr="005D6390">
        <w:tab/>
        <w:t>tekintettel eljárási szabályzata 55. cikkére,</w:t>
      </w:r>
    </w:p>
    <w:p w:rsidR="007D74D0" w:rsidRPr="005D6390" w:rsidP="006C3A38" w14:paraId="705B7CFE" w14:textId="77777777">
      <w:pPr>
        <w:pStyle w:val="NormalHanging"/>
        <w:widowControl/>
        <w:ind w:left="567" w:hanging="567"/>
      </w:pPr>
      <w:r w:rsidRPr="005D6390">
        <w:t>–</w:t>
      </w:r>
      <w:r w:rsidRPr="005D6390">
        <w:tab/>
        <w:t>tekintettel az Alkotmányügyi Bizottság jelentésére (A10-0145/2026),</w:t>
      </w:r>
    </w:p>
    <w:p w:rsidR="007D74D0" w:rsidRPr="005D6390" w:rsidP="006C3A38" w14:paraId="00D7155D" w14:textId="77777777">
      <w:pPr>
        <w:pStyle w:val="NormalHanging"/>
        <w:widowControl/>
        <w:ind w:left="567" w:hanging="567"/>
      </w:pPr>
      <w:r w:rsidRPr="005D6390">
        <w:t>A.</w:t>
      </w:r>
      <w:r w:rsidRPr="005D6390">
        <w:tab/>
        <w:t>mivel az erős uniós szintű politikai pártok és alapítványok elengedhetetlenek a valódi európai közszféra kialakításához;</w:t>
      </w:r>
    </w:p>
    <w:p w:rsidR="007D74D0" w:rsidRPr="005D6390" w:rsidP="006C3A38" w14:paraId="565B3247" w14:textId="77777777">
      <w:pPr>
        <w:pStyle w:val="NormalHanging"/>
        <w:widowControl/>
        <w:ind w:left="567" w:hanging="567"/>
      </w:pPr>
      <w:r w:rsidRPr="005D6390">
        <w:t>B.</w:t>
      </w:r>
      <w:r w:rsidRPr="005D6390">
        <w:tab/>
        <w:t>mivel az európai politikai pártoknak és az európai politikai alapítványoknak központibb szerepet kell játszaniuk az európai választások folyamatában, és hozzá kell járulniuk az uniós politikai tudatosság kialakításához és az uniós polgárok akaratának kinyilvánításához; mivel a politikai sokszínűség elengedhetetlen a nyilvános vitához és a polgárok döntéseinek kinyilvánításához;</w:t>
      </w:r>
    </w:p>
    <w:p w:rsidR="007D74D0" w:rsidRPr="005D6390" w:rsidP="006C3A38" w14:paraId="03A4AF0E" w14:textId="77777777">
      <w:pPr>
        <w:pStyle w:val="NormalHanging"/>
        <w:widowControl/>
        <w:ind w:left="567" w:hanging="567"/>
      </w:pPr>
      <w:r w:rsidRPr="005D6390">
        <w:t>C.</w:t>
      </w:r>
      <w:r w:rsidRPr="005D6390">
        <w:tab/>
        <w:t>mivel az európai politikai pártoknak és alapítványoknak együtt kell működniük nemzeti tagpártjaikkal és partnereikkel, támogatva őket abban, hogy az EU-t és annak politikáit közelebb hozzák a polgárokhoz, és erősítsék a demokratikus legitimitást;</w:t>
      </w:r>
    </w:p>
    <w:p w:rsidR="007D74D0" w:rsidRPr="005D6390" w:rsidP="006C3A38" w14:paraId="5FDC622F" w14:textId="77777777">
      <w:pPr>
        <w:pStyle w:val="NormalHanging"/>
        <w:widowControl/>
        <w:ind w:left="567" w:hanging="567"/>
      </w:pPr>
      <w:r w:rsidRPr="005D6390">
        <w:t>D.</w:t>
      </w:r>
      <w:r w:rsidRPr="005D6390">
        <w:tab/>
        <w:t>mivel 2025-ben további két alapítványt vettek nyilvántartásba a Hatóságnál, ami azt jelenti, hogy 2025. december 31-ig 12 európai politikai pártot és 12 kapcsolódó európai politikai alapítványt finanszíroztak az uniós költségvetésből;</w:t>
      </w:r>
    </w:p>
    <w:p w:rsidR="007D74D0" w:rsidRPr="005D6390" w:rsidP="006C3A38" w14:paraId="24AF8476" w14:textId="77777777">
      <w:pPr>
        <w:pStyle w:val="NormalHanging"/>
        <w:widowControl/>
        <w:ind w:left="567" w:hanging="567"/>
      </w:pPr>
      <w:r w:rsidRPr="005D6390">
        <w:t>E.</w:t>
      </w:r>
      <w:r w:rsidRPr="005D6390">
        <w:tab/>
        <w:t>mivel az átdolgozott rendelet 2025. december 28-án lépett hatályba, és számos fontos újítást vezetett be, többek között a közös európai politikai tevékenységekre vonatkozó egyértelműbb szabályokat, fokozott átláthatósági és jelentéstételi kötelezettségeket, az adományokra vonatkozó megerősített átvilágítási követelményeket, valamint a saját tevékenységből származó források bevételi kategóriaként való kifejezett elismerését;</w:t>
      </w:r>
    </w:p>
    <w:p w:rsidR="007D74D0" w:rsidRPr="005D6390" w:rsidP="006C3A38" w14:paraId="7C795F1B" w14:textId="77777777">
      <w:pPr>
        <w:pStyle w:val="NormalHanging"/>
        <w:widowControl/>
        <w:ind w:left="567" w:hanging="567"/>
      </w:pPr>
      <w:r w:rsidRPr="005D6390">
        <w:t>F.</w:t>
      </w:r>
      <w:r w:rsidRPr="005D6390">
        <w:tab/>
        <w:t>mivel a rendelet csak rövid ideje van hatályban; mivel ennek megfelelően a rendelet végrehajtásával kapcsolatos adatok és tapasztalatok egyelőre korlátozottak; mivel a rendelet végrehajtásának és hatásának átfogó értékeléséhez elegendő időre és bizonyítékra van szükség; mivel azonban közvetlenül a rendelet hatálybalépését követően előre nem látható szakpolitikai kihívások merültek fel, különösen a politikai alapítványok finanszírozása tekintetében, amelyek sürgős intézkedést igényelnek;</w:t>
      </w:r>
    </w:p>
    <w:p w:rsidR="007D74D0" w:rsidRPr="005D6390" w:rsidP="006C3A38" w14:paraId="57429082" w14:textId="77777777">
      <w:pPr>
        <w:pStyle w:val="NormalHanging"/>
        <w:widowControl/>
        <w:ind w:left="567" w:hanging="567"/>
      </w:pPr>
      <w:r w:rsidRPr="005D6390">
        <w:t>G.</w:t>
      </w:r>
      <w:r w:rsidRPr="005D6390">
        <w:tab/>
        <w:t>mivel az átdolgozott rendelettel összhangban a Parlamentnek 2026. június 29-ig jelentést kell közzétennie a rendelet alkalmazásáról és a finanszírozott tevékenységekről; mivel a Parlament jelentésének közzétételét követően a Bizottságnak egy év áll majd rendelkezésére, hogy jelentést nyújtson be a rendelet alkalmazásáról, adott esetben a rendelet módosítására irányuló javaslattal együtt;</w:t>
      </w:r>
    </w:p>
    <w:p w:rsidR="007D74D0" w:rsidRPr="005D6390" w:rsidP="006C3A38" w14:paraId="2FAEB540" w14:textId="77777777">
      <w:pPr>
        <w:pStyle w:val="NormalHanging"/>
        <w:widowControl/>
        <w:ind w:left="567" w:hanging="567"/>
      </w:pPr>
      <w:r w:rsidRPr="005D6390">
        <w:t>H.</w:t>
      </w:r>
      <w:r w:rsidRPr="005D6390">
        <w:tab/>
        <w:t>mivel a Bizottság jelentésében különös figyelmet kell fordítani a rendeletnek a kis európai politikai pártok és európai politikai alapítványok helyzetére, valamint az európai politikai alapítványok finanszírozására vonatkozó szabályokra gyakorolt hatásaira;</w:t>
      </w:r>
    </w:p>
    <w:p w:rsidR="007D74D0" w:rsidRPr="005D6390" w:rsidP="006C3A38" w14:paraId="5C6C32E9" w14:textId="77777777">
      <w:pPr>
        <w:pStyle w:val="NormalHanging"/>
        <w:widowControl/>
        <w:ind w:left="567" w:hanging="567"/>
      </w:pPr>
      <w:r w:rsidRPr="005D6390">
        <w:t>I.</w:t>
      </w:r>
      <w:r w:rsidRPr="005D6390">
        <w:tab/>
        <w:t>mivel az európai politikai alapítványok az EU demokratikus architektúrájának szerves részét képezik azáltal, hogy uniós és nemzeti szinten támogatják a politikai vitát, a szakpolitikák kidolgozását, a kutatást, a képzést és a polgári szerepvállalást;</w:t>
      </w:r>
    </w:p>
    <w:p w:rsidR="007D74D0" w:rsidRPr="005D6390" w:rsidP="006C3A38" w14:paraId="3DEA0C9B" w14:textId="77777777">
      <w:pPr>
        <w:pStyle w:val="NormalHanging"/>
        <w:widowControl/>
        <w:ind w:left="567" w:hanging="567"/>
      </w:pPr>
      <w:r w:rsidRPr="005D6390">
        <w:t>J.</w:t>
      </w:r>
      <w:r w:rsidRPr="005D6390">
        <w:tab/>
        <w:t>mivel az európai politikai alapítványok megbízatása magában foglalja az uniós politikai kérdésekkel és az európai integrációs folyamattal kapcsolatos politikai tudatosság növelését és a vitához való hozzájárulást, valamint olyan szolgáltatások nyújtását, amelyek nem kizárólag egy adott párt tagjaira vagy szavazóira irányulnak, hanem mindenki számára egyenlő feltételek mellett nyitva állnak;</w:t>
      </w:r>
    </w:p>
    <w:p w:rsidR="007D74D0" w:rsidRPr="005D6390" w:rsidP="006C3A38" w14:paraId="56F268BB" w14:textId="77777777">
      <w:pPr>
        <w:pStyle w:val="NormalHanging"/>
        <w:widowControl/>
        <w:ind w:left="567" w:hanging="567"/>
      </w:pPr>
      <w:r w:rsidRPr="005D6390">
        <w:t>K.</w:t>
      </w:r>
      <w:r w:rsidRPr="005D6390">
        <w:tab/>
        <w:t>mivel a rendelet végrehajtására súlyos geopolitikai instabilitás közepette kerül sor, amelyet fokozott stratégiai verseny, hibrid fenyegetések, dezinformáció, technológiai átalakulás, éghajlatváltozás és hosszú távú társadalmi-gazdasági átalakulások jellemeznek;</w:t>
      </w:r>
    </w:p>
    <w:p w:rsidR="007D74D0" w:rsidRPr="005D6390" w:rsidP="006C3A38" w14:paraId="2CA8A048" w14:textId="77777777">
      <w:pPr>
        <w:pStyle w:val="NormalHanging"/>
        <w:widowControl/>
        <w:ind w:left="567" w:hanging="567"/>
      </w:pPr>
      <w:r w:rsidRPr="005D6390">
        <w:t>L.</w:t>
      </w:r>
      <w:r w:rsidRPr="005D6390">
        <w:tab/>
        <w:t>mivel ezek a fejlemények szükségessé teszik, hogy az EU megerősítse a stratégiai előrejelzésre, az előzetes irányításra és a hosszú távú szakpolitikai tervezésre vonatkozó kapacitását annak érdekében, hogy hatékonyan felkészüljön a 2040-ig tartó és az azt követő időszakban jelentkező kihívásokra;</w:t>
      </w:r>
    </w:p>
    <w:p w:rsidR="007D74D0" w:rsidRPr="005D6390" w:rsidP="006C3A38" w14:paraId="5C19B588" w14:textId="77777777">
      <w:pPr>
        <w:pStyle w:val="NormalHanging"/>
        <w:widowControl/>
        <w:ind w:left="567" w:hanging="567"/>
      </w:pPr>
      <w:r w:rsidRPr="005D6390">
        <w:t>M.</w:t>
      </w:r>
      <w:r w:rsidRPr="005D6390">
        <w:tab/>
        <w:t>mivel az európai politikai alapítványok egyedülálló helyzetben vannak ahhoz, hogy hosszú távú kutatás, összehasonlító elemzés, transznacionális párbeszéd, politikai oktatás és kapacitásépítés révén hozzájáruljanak ehhez a munkához;</w:t>
      </w:r>
    </w:p>
    <w:p w:rsidR="007D74D0" w:rsidRPr="005D6390" w:rsidP="006C3A38" w14:paraId="61561844" w14:textId="77777777">
      <w:pPr>
        <w:pStyle w:val="NormalHanging"/>
        <w:widowControl/>
        <w:ind w:left="567" w:hanging="567"/>
      </w:pPr>
      <w:r w:rsidRPr="005D6390">
        <w:t>N.</w:t>
      </w:r>
      <w:r w:rsidRPr="005D6390">
        <w:tab/>
        <w:t>mivel az európai politikai alapítványok rendelkezésére álló uniós finanszírozás jelenlegi szintje és szerkezete már nem áll arányban feladataik hatókörével, stratégiai jelentőségével és egyre összetettebb jellegével;</w:t>
      </w:r>
    </w:p>
    <w:p w:rsidR="007D74D0" w:rsidRPr="005D6390" w:rsidP="006C3A38" w14:paraId="3EEDDE31" w14:textId="77777777">
      <w:pPr>
        <w:pStyle w:val="NormalHanging"/>
        <w:widowControl/>
        <w:ind w:left="567" w:hanging="567"/>
      </w:pPr>
      <w:r w:rsidRPr="005D6390">
        <w:t>O.</w:t>
      </w:r>
      <w:r w:rsidRPr="005D6390">
        <w:tab/>
        <w:t>mivel a politikai alapítványok aránytalan szabályozási terhekről számoltak be, és a szabályozási követelmények egyszerűsítését szorgalmazták, különös tekintettel a jelentéstételi és átláthatósági kötelezettségekre, valamint a finanszírozási folyamat megfelelő működésének biztosításához szükséges korrekciós intézkedések visszaállításának lehetőségét kérték;</w:t>
      </w:r>
    </w:p>
    <w:p w:rsidR="007D74D0" w:rsidRPr="005D6390" w:rsidP="006C3A38" w14:paraId="4671D072" w14:textId="77777777">
      <w:pPr>
        <w:pStyle w:val="Normal12a"/>
        <w:ind w:left="567" w:hanging="567"/>
      </w:pPr>
      <w:r w:rsidRPr="005D6390">
        <w:rPr>
          <w:b/>
          <w:i/>
        </w:rPr>
        <w:t>Az átdolgozott rendelet általános értékelése</w:t>
      </w:r>
    </w:p>
    <w:p w:rsidR="007D74D0" w:rsidRPr="005D6390" w:rsidP="006C3A38" w14:paraId="17568CAB" w14:textId="77777777">
      <w:pPr>
        <w:pStyle w:val="NormalHanging12a"/>
        <w:ind w:left="567" w:hanging="567"/>
      </w:pPr>
      <w:r w:rsidRPr="005D6390">
        <w:t>1.</w:t>
      </w:r>
      <w:r w:rsidRPr="005D6390">
        <w:tab/>
        <w:t>üdvözli az átdolgozott rendelet elfogadását, amely fontos lépés az európai politikai pártokra és alapítványokra vonatkozó jogi keret korszerűsítése és a demokratikus integritás uniós szintű megerősítése felé;</w:t>
      </w:r>
    </w:p>
    <w:p w:rsidR="007D74D0" w:rsidRPr="005D6390" w:rsidP="006C3A38" w14:paraId="6E5F3B22" w14:textId="77777777">
      <w:pPr>
        <w:pStyle w:val="NormalHanging12a"/>
        <w:ind w:left="567" w:hanging="567"/>
      </w:pPr>
      <w:r w:rsidRPr="005D6390">
        <w:t>2.</w:t>
      </w:r>
      <w:r w:rsidRPr="005D6390">
        <w:tab/>
        <w:t>megjegyzi, hogy a rendelet számos területen javította a jogi egyértelműséget, különösen a közös európai politikai tevékenységek, az átláthatósági követelmények és a külföldi beavatkozással szembeni biztosítékok tekintetében;</w:t>
      </w:r>
    </w:p>
    <w:p w:rsidR="007D74D0" w:rsidRPr="005D6390" w:rsidP="006C3A38" w14:paraId="566C7E56" w14:textId="77777777">
      <w:pPr>
        <w:pStyle w:val="NormalHanging12a"/>
        <w:ind w:left="567" w:hanging="567"/>
      </w:pPr>
      <w:r w:rsidRPr="005D6390">
        <w:t>3.</w:t>
      </w:r>
      <w:r w:rsidRPr="005D6390">
        <w:tab/>
        <w:t>hangsúlyozza azonban, hogy az átdolgozott rendelet végrehajtásával kapcsolatos eddigi tapasztalatok és adatok továbbra is korlátozottak, és hogy mélyrehatóbb és horizontálisabb értékelésre csak egy későbbi szakaszban kerülhet sor; rámutat arra, hogy a rendelet hatálybalépését követően közvetlenül felmerülő, előre nem látható politikai kihívások – különösen a politikai alapítványok finanszírozása tekintetében – mindazonáltal sürgős intézkedést igényelnek;</w:t>
      </w:r>
    </w:p>
    <w:p w:rsidR="007D74D0" w:rsidRPr="005D6390" w:rsidP="006C3A38" w14:paraId="1B37942B" w14:textId="77777777">
      <w:pPr>
        <w:pStyle w:val="NormalHanging12a"/>
        <w:ind w:left="567" w:hanging="567"/>
      </w:pPr>
      <w:r w:rsidRPr="005D6390">
        <w:t>4.</w:t>
      </w:r>
      <w:r w:rsidRPr="005D6390">
        <w:tab/>
        <w:t xml:space="preserve">aggodalommal veszi tudomásul az alapítványok aránytalan szabályozási terhekről szóló jelentéseit, és kötelezettséget vállal arra, hogy a soron következő szisztematikus értékelése során tovább vizsgálja és nyomon követi ezt a kérdést; ezzel összefüggésben hangsúlyozza, hogy a hatékony és arányos korrekciós intézkedések a rendeletnek való </w:t>
      </w:r>
      <w:r w:rsidRPr="005D6390">
        <w:t>megfelelés biztosításának fontos eszközei, és vállalja, hogy felülvizsgálja ezen intézkedések közelmúltbeli alkalmazását;</w:t>
      </w:r>
    </w:p>
    <w:p w:rsidR="007D74D0" w:rsidRPr="005D6390" w:rsidP="006C3A38" w14:paraId="3E3BF0D1" w14:textId="77777777">
      <w:pPr>
        <w:pStyle w:val="NormalHanging12a"/>
        <w:ind w:left="567" w:hanging="567"/>
      </w:pPr>
      <w:r w:rsidRPr="005D6390">
        <w:t>5.</w:t>
      </w:r>
      <w:r w:rsidRPr="005D6390">
        <w:tab/>
        <w:t>megjegyzi, hogy az európai politikai alapítványok még mindig jogbizonytalansággal és működési korlátokkal szembesülnek, különösen a támogatható költségek besorolása tekintetében, és úgy véli, hogy ezeket a kérdéseket időben tisztázni kell;</w:t>
      </w:r>
    </w:p>
    <w:p w:rsidR="007D74D0" w:rsidRPr="005D6390" w:rsidP="006C3A38" w14:paraId="1C924870" w14:textId="77777777">
      <w:pPr>
        <w:pStyle w:val="Normal12a"/>
        <w:ind w:left="567" w:hanging="567"/>
      </w:pPr>
      <w:r w:rsidRPr="005D6390">
        <w:rPr>
          <w:b/>
          <w:i/>
        </w:rPr>
        <w:t>Az európai politikai alapítványok szerepe</w:t>
      </w:r>
    </w:p>
    <w:p w:rsidR="007D74D0" w:rsidRPr="005D6390" w:rsidP="006C3A38" w14:paraId="32F1A13E" w14:textId="77777777">
      <w:pPr>
        <w:pStyle w:val="NormalHanging12a"/>
        <w:ind w:left="567" w:hanging="567"/>
      </w:pPr>
      <w:r w:rsidRPr="005D6390">
        <w:t>6.</w:t>
      </w:r>
      <w:r w:rsidRPr="005D6390">
        <w:tab/>
        <w:t>ismét hangsúlyozza, hogy az európai politikai alapítványok a Szerződések értelmében külön intézményi szerepet töltenek be azáltal, hogy Unió-szerte előmozdítják az európai politikai tudatosságot, támogatják a tényeken alapuló szakpolitikai döntéshozatalt, valamint megerősítik a demokratikus kultúrát és a polgári szerepvállalást;</w:t>
      </w:r>
    </w:p>
    <w:p w:rsidR="007D74D0" w:rsidRPr="005D6390" w:rsidP="006C3A38" w14:paraId="7AC395F8" w14:textId="298BDBCF">
      <w:pPr>
        <w:pStyle w:val="NormalHanging12a"/>
        <w:ind w:left="567" w:hanging="567"/>
      </w:pPr>
      <w:r w:rsidRPr="005D6390">
        <w:t>7.</w:t>
      </w:r>
      <w:r w:rsidRPr="005D6390">
        <w:tab/>
        <w:t xml:space="preserve">felhívja a figyelmet arra, hogy a Bizottság 2021-es, az (EU, Euratom) </w:t>
      </w:r>
      <w:r w:rsidR="00755356">
        <w:t>2014/</w:t>
      </w:r>
      <w:r w:rsidRPr="005D6390">
        <w:t>1141 rendelet</w:t>
      </w:r>
      <w:r>
        <w:rPr>
          <w:rStyle w:val="FootnoteReference"/>
        </w:rPr>
        <w:footnoteReference w:customMarkFollows="1" w:id="5"/>
        <w:t xml:space="preserve">4</w:t>
      </w:r>
      <w:r w:rsidRPr="005D6390">
        <w:t xml:space="preserve"> átdolgozására irányuló javaslatának közzététele óta a geopolitikai és technológiai környezet egyre bizonytalanabbá vált, és egyre fokozódó biztonsági feszültségek, a demokratikus folyamatokba való külföldi beavatkozás, valamint a társadalmi-gazdasági átalakulás felgyorsulása jellemzi; hangsúlyozza, hogy ezek a fejlemények megerősítik a hosszú távú szakpolitikai tervezés, a demokráciára nevelés és a határokon átnyúló párbeszéd fontosságát, amelyekhez az európai politikai alapítványok külön hozzájárulnak;</w:t>
      </w:r>
    </w:p>
    <w:p w:rsidR="007D74D0" w:rsidRPr="005D6390" w:rsidP="006C3A38" w14:paraId="3C5D521D" w14:textId="77777777">
      <w:pPr>
        <w:pStyle w:val="NormalHanging12a"/>
        <w:ind w:left="567" w:hanging="567"/>
      </w:pPr>
      <w:r w:rsidRPr="005D6390">
        <w:t>8.</w:t>
      </w:r>
      <w:r w:rsidRPr="005D6390">
        <w:tab/>
        <w:t>megjegyzi, hogy bővülő feladatköreikre tekintettel az európai politikai alapítványoknak elegendő pénzügyi eszközökre, valamint megfelelő és stabil forrásokra van szükségük ahhoz, hogy a rendelet által bevezetett fejlesztésekre építve teljes mértékben betölthessék intézményi szerepüket;</w:t>
      </w:r>
    </w:p>
    <w:p w:rsidR="007D74D0" w:rsidRPr="005D6390" w:rsidP="006C3A38" w14:paraId="632408A9" w14:textId="77777777">
      <w:pPr>
        <w:pStyle w:val="Normal12a"/>
        <w:ind w:left="567" w:hanging="567"/>
      </w:pPr>
      <w:r w:rsidRPr="005D6390">
        <w:rPr>
          <w:b/>
          <w:i/>
        </w:rPr>
        <w:t>Jobbítási javaslatok</w:t>
      </w:r>
    </w:p>
    <w:p w:rsidR="007D74D0" w:rsidRPr="005D6390" w:rsidP="006C3A38" w14:paraId="786D2B56" w14:textId="77777777">
      <w:pPr>
        <w:pStyle w:val="NormalHanging12a"/>
        <w:ind w:left="567" w:hanging="567"/>
      </w:pPr>
      <w:r w:rsidRPr="005D6390">
        <w:t>9.</w:t>
      </w:r>
      <w:r w:rsidRPr="005D6390">
        <w:tab/>
        <w:t>hangsúlyozza, hogy biztosítani kell, hogy az európai politikai alapítványok szilárd jogi kerettel és pénzügyi biztonsággal rendelkezzenek; kötelezettséget vállal arra, hogy együttműködik az alapítványokkal annak érdekében, hogy a meglévő kereteken belül a lehető legnagyobb mértékben biztosítsák ezt a biztonságot, különösen az alapítványok tagszervezeteik általi pénzügyi támogatásának felülvizsgálata révén; rámutat arra, hogy a rendelet nem tiltja a rugalmas és részvételen alapuló tagdíjmodellt, amelynek keretében a tagszervezetek a közös tevékenységekben való részvételük mértékének függvényében járulnak hozzá a költségekhez; hangsúlyozza, hogy maguknak a közös tevékenységeknek költségvetési szempontból semlegesnek kell maradniuk, és nem termelhetnek a ténylegesen felmerült költségeket meghaladó bevételt az alapítványok számára;</w:t>
      </w:r>
    </w:p>
    <w:p w:rsidR="007D74D0" w:rsidRPr="005D6390" w:rsidP="006C3A38" w14:paraId="0F246A52" w14:textId="77777777">
      <w:pPr>
        <w:pStyle w:val="NormalHanging12a"/>
        <w:ind w:left="567" w:hanging="567"/>
      </w:pPr>
      <w:r w:rsidRPr="005D6390">
        <w:t>10.</w:t>
      </w:r>
      <w:r w:rsidRPr="005D6390">
        <w:tab/>
        <w:t xml:space="preserve">ösztönzi az európai politikai alapítványokat, hogy a meglévő kereten belül maximalizálják a pénzügyi lehetőségeket; kiemeli, hogy az aktuális rendelet 2. cikkének (10) bekezdése jelenleg lehetővé teszi az európai politikai alapítványok európai politikai pártok saját forrásaiból történő finanszírozását; felhívja mind az európai politikai pártokat, mind az alapítványokat, hogy kössenek együttműködési megállapodásokat, </w:t>
      </w:r>
      <w:r w:rsidRPr="005D6390">
        <w:t>amelyek révén a pártok ellentételezést nyújtanak az alapítványok számára a közös munkához való hozzájárulásukért, figyelembe véve a Szerződések szerinti eltérő szerepüket;</w:t>
      </w:r>
    </w:p>
    <w:p w:rsidR="007D74D0" w:rsidRPr="005D6390" w:rsidP="006C3A38" w14:paraId="030F8ACF" w14:textId="77777777">
      <w:pPr>
        <w:pStyle w:val="NormalHanging12a"/>
        <w:ind w:left="567" w:hanging="567"/>
      </w:pPr>
      <w:r w:rsidRPr="005D6390">
        <w:t>11.</w:t>
      </w:r>
      <w:r w:rsidRPr="005D6390">
        <w:tab/>
        <w:t>hangsúlyozza továbbá, hogy a rendelet nem tiltja meg a politikai alapítványoktól eltérő nemzeti alapítványok számára, hogy taggá váljanak és tagsági hozzájárulást fizessenek az európai politikai alapítványoknak;</w:t>
      </w:r>
    </w:p>
    <w:p w:rsidR="007D74D0" w:rsidRPr="005D6390" w:rsidP="006C3A38" w14:paraId="064CD176" w14:textId="77777777">
      <w:pPr>
        <w:pStyle w:val="NormalHanging12a"/>
        <w:ind w:left="567" w:hanging="567"/>
      </w:pPr>
      <w:r w:rsidRPr="005D6390">
        <w:t>12.</w:t>
      </w:r>
      <w:r w:rsidRPr="005D6390">
        <w:tab/>
        <w:t>úgy véli, hogy a jelenlegi rendelet 25. cikkét pontosítani lehetne annak kifejezett megerősítése érdekében, hogy a tagszervezetek számára részvételi díjat lehet felszámítani az európai politikai alapítványok által szervezett tevékenységekben való részvételükért;</w:t>
      </w:r>
    </w:p>
    <w:p w:rsidR="007D74D0" w:rsidRPr="005D6390" w:rsidP="006C3A38" w14:paraId="4C0C606E" w14:textId="77777777">
      <w:pPr>
        <w:pStyle w:val="NormalHanging12a"/>
        <w:ind w:left="567" w:hanging="567"/>
      </w:pPr>
      <w:r w:rsidRPr="005D6390">
        <w:t>13.</w:t>
      </w:r>
      <w:r w:rsidRPr="005D6390">
        <w:tab/>
        <w:t>megjegyzi, hogy a tagsági hozzájárulások fogalommeghatározásának szigorú alkalmazása, az uniós költségvetésből származó támogatások saját tevékenységből származó forrásokkal való kiegészítésére irányuló pénzügyi és adminisztratív nyomás, a tagalapítványokkal közös európai politikai tevékenységekre alkalmazandó szabályok és az uniós finanszírozás általános szintje korlátozza az európai politikai alapítványok pénzügyi autonómiáját és fenntarthatóságát, különös tekintettel növekvő felelősségi körükre, és hangsúlyozza, hogy a fenntartható finanszírozási keret elengedhetetlen függetlenségük megőrzéséhez és a magánszereplők általi jogtalan befolyásolás megelőzéséhez;</w:t>
      </w:r>
    </w:p>
    <w:p w:rsidR="007D74D0" w:rsidRPr="005D6390" w:rsidP="006C3A38" w14:paraId="11DC2E27" w14:textId="77777777">
      <w:pPr>
        <w:pStyle w:val="NormalHanging12a"/>
        <w:ind w:left="567" w:hanging="567"/>
      </w:pPr>
      <w:r w:rsidRPr="005D6390">
        <w:t>14.</w:t>
      </w:r>
      <w:r w:rsidRPr="005D6390">
        <w:tab/>
        <w:t>hangsúlyozza, hogy a saját források diverzifikálásának részeként az európai politikai alapítványok évente és adományozónként legfeljebb 18 000 EUR értékben adományokat kaphatnak természetes vagy jogi személyektől; úgy véli, hogy ezen adományok felső határát növelni lehetne annak érdekében, hogy az európai politikai alapítványok nagyobb rugalmassággal rendelkezzenek;</w:t>
      </w:r>
    </w:p>
    <w:p w:rsidR="007D74D0" w:rsidRPr="005D6390" w:rsidP="006C3A38" w14:paraId="46E33C53" w14:textId="77777777">
      <w:pPr>
        <w:pStyle w:val="NormalHanging12a"/>
        <w:ind w:left="567" w:hanging="567"/>
      </w:pPr>
      <w:r w:rsidRPr="005D6390">
        <w:t>15.</w:t>
      </w:r>
      <w:r w:rsidRPr="005D6390">
        <w:tab/>
        <w:t>ösztönzi a Hatóságot, hogy a Bizottsággal együttműködve folytassa és fejlessze tovább az illetékes nemzeti hatóságokkal folytatott párbeszédet annak érdekében, hogy felhívja a figyelmet a nemzeti finanszírozási kereteknek az európai politikai alapítványok működésére gyakorolt hatására, és olyan gyakorlati megoldásokat azonosítson, amelyek célja a pénzügyi fenntarthatóságukat érintő nem szándékolt korlátozások elkerülése;</w:t>
      </w:r>
    </w:p>
    <w:p w:rsidR="007D74D0" w:rsidRPr="005D6390" w:rsidP="006C3A38" w14:paraId="168E11CC" w14:textId="77777777">
      <w:pPr>
        <w:pStyle w:val="NormalHanging12a"/>
        <w:ind w:left="567" w:hanging="567"/>
      </w:pPr>
      <w:r w:rsidRPr="005D6390">
        <w:t>16.</w:t>
      </w:r>
      <w:r w:rsidRPr="005D6390">
        <w:tab/>
        <w:t>javasolja az európai politikai alapítványoknak nyújtott uniós finanszírozásra, adományokra és hozzájárulásokra vonatkozó egységes online jelentéstételi és közzétételi rendszer létrehozását a polgárok számára megfelelő szintű átláthatóság biztosítása, a megfelelés nyomon követésének javítása, valamint az adatszolgáltató szervezetek adminisztratív és megfelelési terheinek csökkentése érdekében;</w:t>
      </w:r>
    </w:p>
    <w:p w:rsidR="007D74D0" w:rsidRPr="005D6390" w:rsidP="006C3A38" w14:paraId="634D8A30" w14:textId="77777777">
      <w:pPr>
        <w:pStyle w:val="NormalHanging12a"/>
        <w:ind w:left="567" w:hanging="567"/>
      </w:pPr>
      <w:r w:rsidRPr="005D6390">
        <w:t>17.</w:t>
      </w:r>
      <w:r w:rsidRPr="005D6390">
        <w:tab/>
        <w:t>elismeri az európai politikai alapítványok arra irányuló erőfeszítéseit, hogy a meglévő szabályozási kereten belül diverzifikálják és stabilizálják finanszírozási forrásaikat, és ösztönzi a rendelkezésre álló saját források mechanizmusainak folyamatos, kiegyensúlyozott és átlátható felhasználását;</w:t>
      </w:r>
    </w:p>
    <w:p w:rsidR="007D74D0" w:rsidRPr="005D6390" w:rsidP="006C3A38" w14:paraId="30BB2D6D" w14:textId="77777777">
      <w:pPr>
        <w:pStyle w:val="Normal12a"/>
        <w:ind w:left="567" w:hanging="567"/>
      </w:pPr>
      <w:r w:rsidRPr="005D6390">
        <w:rPr>
          <w:b/>
          <w:i/>
        </w:rPr>
        <w:t>Záró megállapítások</w:t>
      </w:r>
    </w:p>
    <w:p w:rsidR="007D74D0" w:rsidRPr="005D6390" w:rsidP="006C3A38" w14:paraId="17CA8E35" w14:textId="77777777">
      <w:pPr>
        <w:pStyle w:val="NormalHanging12a"/>
        <w:ind w:left="567" w:hanging="567"/>
      </w:pPr>
      <w:r w:rsidRPr="005D6390">
        <w:t>18.</w:t>
      </w:r>
      <w:r w:rsidRPr="005D6390">
        <w:tab/>
        <w:t xml:space="preserve">felhívja a Bizottságot, hogy e jelentés megállapításaira és az átdolgozott rendelet hatálybalépése óta szerzett tapasztalatokra építve végezze el az európai politikai </w:t>
      </w:r>
      <w:r w:rsidRPr="005D6390">
        <w:t>alapítványokra a rendelet alapján alkalmazandó finanszírozási rendelkezések célzott felülvizsgálatát;</w:t>
      </w:r>
    </w:p>
    <w:p w:rsidR="007D74D0" w:rsidRPr="005D6390" w:rsidP="006C3A38" w14:paraId="50BE5867" w14:textId="77777777">
      <w:pPr>
        <w:pStyle w:val="NormalHanging12a"/>
        <w:ind w:left="567" w:hanging="567"/>
      </w:pPr>
      <w:r w:rsidRPr="005D6390">
        <w:t>19.</w:t>
      </w:r>
      <w:r w:rsidRPr="005D6390">
        <w:tab/>
        <w:t>felhívja a Bizottságot, hogy vizsgálja meg, léteznek-e olyan nemzeti szabályozási vagy politikai keretek, amelyek tiltják vagy akadályozzák a nemzeti szervezetek – beleértve a politikai alapítványokat is – által az európai politikai alapítványoknak nyújtott támogatásokat, és tegye meg a szükséges lépéseket;</w:t>
      </w:r>
    </w:p>
    <w:p w:rsidR="007D74D0" w:rsidRPr="005D6390" w:rsidP="006C3A38" w14:paraId="31523665" w14:textId="77777777">
      <w:pPr>
        <w:pStyle w:val="NormalHanging12a"/>
        <w:ind w:left="567" w:hanging="567"/>
      </w:pPr>
      <w:r w:rsidRPr="005D6390">
        <w:t>20.</w:t>
      </w:r>
      <w:r w:rsidRPr="005D6390">
        <w:tab/>
        <w:t>felhívja a Bizottságot, hogy terjesszen elő átdolgozott jogalkotási javaslatot az európai politikai alapítványokra vonatkozó finanszírozási szabályok felülvizsgálatára, beleértve a rendelet 22. cikke (4) bekezdésének módosítását annak érdekében, hogy az Unió általános költségvetéséből nyújtott pénzügyi hozzájárulások vagy támogatások felső határát az európai politikai alapítványoknál felmerülő elszámolható költségek 100%-ára emeljék; felhívja továbbá a Bizottságot, hogy e javaslatba foglalja bele a 25. cikk módosítását az európai politikai alapítványoknak nyújtott adományok felső határának növelése érdekében, ezáltal biztosítva a finanszírozási források nagyobb rugalmasságát és diverzifikálását;</w:t>
      </w:r>
    </w:p>
    <w:p w:rsidR="007D74D0" w:rsidRPr="005D6390" w:rsidP="006C3A38" w14:paraId="39FD8567" w14:textId="77777777">
      <w:pPr>
        <w:pStyle w:val="NormalHanging12a"/>
        <w:ind w:left="567" w:hanging="567"/>
      </w:pPr>
      <w:r w:rsidRPr="005D6390">
        <w:t>21.</w:t>
      </w:r>
      <w:r w:rsidRPr="005D6390">
        <w:tab/>
        <w:t>kötelezettséget vállal arra, hogy a 2028–2034 közötti időszakra vonatkozó következő többéves pénzügyi keretben növeli a politikai alapítványoknak nyújtott uniós finanszírozás általános szintjét annak érdekében, hogy figyelembe vegye a költségvetési indexálás elmúlt években tapasztalt hiányát, valamint a növekvő inflációt és a növekvő működési költségeket a megfelelő, stabil és kiszámítható pénzügyi források biztosítása érdekében, lehetővé téve az alapítványok számára, hogy hosszú távú stratégiai előrejelzési és kapacitásépítési tevékenységeket folytassanak, fenntartsák az átláthatóság, az elszámoltathatóság és a függetlenség magas szintű normáit, valamint biztosítsák az előírásoknak való megfeleléssel járó kötelezettségek és a rendelkezésre álló finanszírozás közötti arányosságot;</w:t>
      </w:r>
    </w:p>
    <w:p w:rsidR="007D74D0" w:rsidRPr="005D6390" w:rsidP="006C3A38" w14:paraId="4DF3898C" w14:textId="77777777">
      <w:pPr>
        <w:pStyle w:val="NormalHanging12a"/>
        <w:ind w:left="567" w:hanging="567"/>
      </w:pPr>
      <w:r w:rsidRPr="005D6390">
        <w:t>22.</w:t>
      </w:r>
      <w:r w:rsidRPr="005D6390">
        <w:tab/>
        <w:t>arra a következtetésre jut, hogy az európai politikai alapítványok megfelelő finanszírozásának biztosítása stratégiai beruházás az EU demokratikus rezilienciájába és hosszú távú irányítási kapacitásába;</w:t>
      </w:r>
    </w:p>
    <w:p w:rsidR="007D74D0" w:rsidRPr="005D6390" w:rsidP="006C3A38" w14:paraId="12F0A47E" w14:textId="77777777">
      <w:pPr>
        <w:pStyle w:val="NormalCenter12a"/>
        <w:ind w:left="567" w:hanging="567"/>
      </w:pPr>
      <w:r w:rsidRPr="005D6390">
        <w:t>°</w:t>
      </w:r>
    </w:p>
    <w:p w:rsidR="007D74D0" w:rsidRPr="005D6390" w:rsidP="006C3A38" w14:paraId="34E32714" w14:textId="77777777">
      <w:pPr>
        <w:pStyle w:val="NormalCenter12a"/>
        <w:ind w:left="567" w:hanging="567"/>
      </w:pPr>
      <w:r w:rsidRPr="005D6390">
        <w:t>°</w:t>
      </w:r>
      <w:r w:rsidRPr="005D6390">
        <w:tab/>
        <w:t>°</w:t>
      </w:r>
    </w:p>
    <w:p w:rsidR="004B21AB" w:rsidRPr="004B21AB" w:rsidP="006C3A38" w14:paraId="095EF1AD" w14:textId="3D653259">
      <w:pPr>
        <w:pStyle w:val="NormalHanging12a"/>
        <w:ind w:left="567" w:hanging="567"/>
      </w:pPr>
      <w:r w:rsidRPr="005D6390">
        <w:t>23.</w:t>
      </w:r>
      <w:r w:rsidRPr="005D6390">
        <w:tab/>
        <w:t>utasítja elnökét, hogy továbbítsa ezt az állásfoglalást a Tanácsnak és a Bizottságnak.</w:t>
      </w:r>
    </w:p>
    <w:sectPr w:rsidSect="004B21AB">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B21AB" w14:paraId="039B3BF6"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B21AB" w14:paraId="4BA5B726"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B21AB" w14:paraId="1B70A627"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B7720" w:rsidRPr="004B21AB" w14:paraId="018F4BF7" w14:textId="77777777">
      <w:r w:rsidRPr="004B21AB">
        <w:separator/>
      </w:r>
    </w:p>
  </w:footnote>
  <w:footnote w:type="continuationSeparator" w:id="1">
    <w:p w:rsidR="000B7720" w:rsidRPr="004B21AB" w14:paraId="549CB308" w14:textId="77777777">
      <w:r w:rsidRPr="004B21AB">
        <w:continuationSeparator/>
      </w:r>
    </w:p>
  </w:footnote>
  <w:footnote w:id="2">
    <w:p w:rsidR="007D74D0" w:rsidRPr="004B21AB" w:rsidP="004B21AB" w14:paraId="76F1F3F8" w14:textId="6971A5B9">
      <w:pPr>
        <w:pStyle w:val="FootnoteText"/>
        <w:ind w:left="567" w:hanging="567"/>
        <w:rPr>
          <w:sz w:val="24"/>
          <w:lang w:val="hu-HU"/>
        </w:rPr>
      </w:pPr>
      <w:r w:rsidRPr="004B21AB">
        <w:rPr>
          <w:rStyle w:val="FootnoteReference"/>
          <w:sz w:val="24"/>
          <w:lang w:val="hu-HU"/>
        </w:rPr>
        <w:t>1</w:t>
      </w:r>
      <w:r w:rsidRPr="004B21AB" w:rsidR="004B21AB">
        <w:rPr>
          <w:sz w:val="24"/>
          <w:lang w:val="hu-HU"/>
        </w:rPr>
        <w:t xml:space="preserve"> </w:t>
      </w:r>
      <w:r w:rsidRPr="004B21AB" w:rsidR="004B21AB">
        <w:rPr>
          <w:sz w:val="24"/>
          <w:lang w:val="hu-HU"/>
        </w:rPr>
        <w:tab/>
      </w:r>
      <w:r w:rsidRPr="004B21AB">
        <w:rPr>
          <w:sz w:val="24"/>
          <w:lang w:val="hu-HU"/>
        </w:rPr>
        <w:t>HL L</w:t>
      </w:r>
      <w:r w:rsidR="00755356">
        <w:rPr>
          <w:sz w:val="24"/>
          <w:lang w:val="hu-HU"/>
        </w:rPr>
        <w:t>,</w:t>
      </w:r>
      <w:r w:rsidRPr="004B21AB">
        <w:rPr>
          <w:sz w:val="24"/>
          <w:lang w:val="hu-HU"/>
        </w:rPr>
        <w:t xml:space="preserve"> 2025/2445, 2025.12.8., ELI: </w:t>
      </w:r>
      <w:hyperlink r:id="rId1" w:tgtFrame="http://data.europa.eu/eli/reg/2025/2445/oj" w:history="1">
        <w:r w:rsidRPr="004B21AB">
          <w:rPr>
            <w:rStyle w:val="Hyperlink"/>
            <w:sz w:val="24"/>
            <w:lang w:val="hu-HU"/>
          </w:rPr>
          <w:t>http://data.europa.eu/eli/reg/2025/2445/oj</w:t>
        </w:r>
      </w:hyperlink>
      <w:r w:rsidRPr="004B21AB">
        <w:rPr>
          <w:sz w:val="24"/>
          <w:lang w:val="hu-HU"/>
        </w:rPr>
        <w:t>.</w:t>
      </w:r>
    </w:p>
  </w:footnote>
  <w:footnote w:id="3">
    <w:p w:rsidR="007D74D0" w:rsidRPr="004B21AB" w:rsidP="004B21AB" w14:paraId="3B29563F" w14:textId="49036721">
      <w:pPr>
        <w:pStyle w:val="FootnoteText"/>
        <w:ind w:left="567" w:hanging="567"/>
        <w:rPr>
          <w:sz w:val="24"/>
          <w:lang w:val="hu-HU"/>
        </w:rPr>
      </w:pPr>
      <w:r w:rsidRPr="004B21AB">
        <w:rPr>
          <w:rStyle w:val="FootnoteReference"/>
          <w:sz w:val="24"/>
          <w:lang w:val="hu-HU"/>
        </w:rPr>
        <w:t>2</w:t>
      </w:r>
      <w:r w:rsidRPr="004B21AB" w:rsidR="004B21AB">
        <w:rPr>
          <w:sz w:val="24"/>
          <w:lang w:val="hu-HU"/>
        </w:rPr>
        <w:t xml:space="preserve"> </w:t>
      </w:r>
      <w:r w:rsidRPr="004B21AB" w:rsidR="004B21AB">
        <w:rPr>
          <w:sz w:val="24"/>
          <w:lang w:val="hu-HU"/>
        </w:rPr>
        <w:tab/>
      </w:r>
      <w:r w:rsidRPr="004B21AB">
        <w:rPr>
          <w:sz w:val="24"/>
          <w:lang w:val="hu-HU"/>
        </w:rPr>
        <w:t xml:space="preserve">HL L, 2024/2509, 2024.9.26., ELI: </w:t>
      </w:r>
      <w:hyperlink r:id="rId2" w:tgtFrame="http://data.europa.eu/eli/reg/2024/2509/oj" w:history="1">
        <w:r w:rsidRPr="004B21AB">
          <w:rPr>
            <w:rStyle w:val="Hyperlink"/>
            <w:sz w:val="24"/>
            <w:lang w:val="hu-HU"/>
          </w:rPr>
          <w:t>http://data.europa.eu/eli/reg/2024/2509/oj</w:t>
        </w:r>
      </w:hyperlink>
      <w:r w:rsidRPr="004B21AB">
        <w:rPr>
          <w:sz w:val="24"/>
          <w:lang w:val="hu-HU"/>
        </w:rPr>
        <w:t>.</w:t>
      </w:r>
    </w:p>
  </w:footnote>
  <w:footnote w:id="4">
    <w:p w:rsidR="007D74D0" w:rsidRPr="004B21AB" w:rsidP="004B21AB" w14:paraId="3BDE911E" w14:textId="4E7DD783">
      <w:pPr>
        <w:pStyle w:val="FootnoteText"/>
        <w:ind w:left="567" w:hanging="567"/>
        <w:rPr>
          <w:sz w:val="24"/>
          <w:lang w:val="hu-HU"/>
        </w:rPr>
      </w:pPr>
      <w:r w:rsidRPr="004B21AB">
        <w:rPr>
          <w:rStyle w:val="FootnoteReference"/>
          <w:sz w:val="24"/>
          <w:lang w:val="hu-HU"/>
        </w:rPr>
        <w:t>3</w:t>
      </w:r>
      <w:r w:rsidRPr="004B21AB" w:rsidR="004B21AB">
        <w:rPr>
          <w:sz w:val="24"/>
          <w:lang w:val="hu-HU"/>
        </w:rPr>
        <w:t xml:space="preserve"> </w:t>
      </w:r>
      <w:r w:rsidRPr="004B21AB" w:rsidR="004B21AB">
        <w:rPr>
          <w:sz w:val="24"/>
          <w:lang w:val="hu-HU"/>
        </w:rPr>
        <w:tab/>
      </w:r>
      <w:r w:rsidRPr="004B21AB">
        <w:rPr>
          <w:sz w:val="24"/>
          <w:lang w:val="hu-HU"/>
        </w:rPr>
        <w:t>HL C 205., 2022.5.20., 37. o.</w:t>
      </w:r>
    </w:p>
  </w:footnote>
  <w:footnote w:id="5">
    <w:p w:rsidR="007D74D0" w:rsidRPr="004B21AB" w:rsidP="004B21AB" w14:paraId="64720AC1" w14:textId="2ECA822E">
      <w:pPr>
        <w:pStyle w:val="FootnoteText"/>
        <w:ind w:left="567" w:hanging="567"/>
        <w:rPr>
          <w:sz w:val="24"/>
          <w:lang w:val="hu-HU"/>
        </w:rPr>
      </w:pPr>
      <w:r w:rsidRPr="004B21AB">
        <w:rPr>
          <w:rStyle w:val="FootnoteReference"/>
          <w:sz w:val="24"/>
          <w:lang w:val="hu-HU"/>
        </w:rPr>
        <w:t>4</w:t>
      </w:r>
      <w:r w:rsidRPr="004B21AB" w:rsidR="004B21AB">
        <w:rPr>
          <w:sz w:val="24"/>
          <w:lang w:val="hu-HU"/>
        </w:rPr>
        <w:t xml:space="preserve"> </w:t>
      </w:r>
      <w:r w:rsidRPr="004B21AB" w:rsidR="004B21AB">
        <w:rPr>
          <w:sz w:val="24"/>
          <w:lang w:val="hu-HU"/>
        </w:rPr>
        <w:tab/>
      </w:r>
      <w:r w:rsidRPr="004B21AB">
        <w:rPr>
          <w:sz w:val="24"/>
          <w:lang w:val="hu-HU"/>
        </w:rPr>
        <w:t>Az európai politikai pártok és az európai politikai alapítványok jogállásáról és finanszírozásáról szóló, 2021. november 25-i európai parlamenti és tanácsi rendeletre irányuló bizottsági javaslat (átdolgozás) (</w:t>
      </w:r>
      <w:r w:rsidRPr="004B21AB">
        <w:rPr>
          <w:sz w:val="24"/>
          <w:lang w:val="hu-HU"/>
        </w:rPr>
        <w:t>COM(</w:t>
      </w:r>
      <w:r w:rsidRPr="004B21AB">
        <w:rPr>
          <w:sz w:val="24"/>
          <w:lang w:val="hu-HU"/>
        </w:rPr>
        <w:t>2021)0734).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B21AB" w14:paraId="7A65692F"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B21AB" w14:paraId="37AAA232"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B21AB" w14:paraId="79932467"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96230875">
    <w:abstractNumId w:val="9"/>
  </w:num>
  <w:num w:numId="2" w16cid:durableId="951934346">
    <w:abstractNumId w:val="9"/>
  </w:num>
  <w:num w:numId="3" w16cid:durableId="2012221913">
    <w:abstractNumId w:val="7"/>
  </w:num>
  <w:num w:numId="4" w16cid:durableId="1165321318">
    <w:abstractNumId w:val="7"/>
  </w:num>
  <w:num w:numId="5" w16cid:durableId="545483806">
    <w:abstractNumId w:val="6"/>
  </w:num>
  <w:num w:numId="6" w16cid:durableId="1862626666">
    <w:abstractNumId w:val="6"/>
  </w:num>
  <w:num w:numId="7" w16cid:durableId="538930415">
    <w:abstractNumId w:val="5"/>
  </w:num>
  <w:num w:numId="8" w16cid:durableId="2001031632">
    <w:abstractNumId w:val="5"/>
  </w:num>
  <w:num w:numId="9" w16cid:durableId="1894191408">
    <w:abstractNumId w:val="4"/>
  </w:num>
  <w:num w:numId="10" w16cid:durableId="642348162">
    <w:abstractNumId w:val="4"/>
  </w:num>
  <w:num w:numId="11" w16cid:durableId="1870141407">
    <w:abstractNumId w:val="8"/>
  </w:num>
  <w:num w:numId="12" w16cid:durableId="546339302">
    <w:abstractNumId w:val="8"/>
  </w:num>
  <w:num w:numId="13" w16cid:durableId="767581527">
    <w:abstractNumId w:val="3"/>
  </w:num>
  <w:num w:numId="14" w16cid:durableId="1130980193">
    <w:abstractNumId w:val="3"/>
  </w:num>
  <w:num w:numId="15" w16cid:durableId="1107237677">
    <w:abstractNumId w:val="2"/>
  </w:num>
  <w:num w:numId="16" w16cid:durableId="1958557500">
    <w:abstractNumId w:val="2"/>
  </w:num>
  <w:num w:numId="17" w16cid:durableId="576281297">
    <w:abstractNumId w:val="1"/>
  </w:num>
  <w:num w:numId="18" w16cid:durableId="1750344803">
    <w:abstractNumId w:val="1"/>
  </w:num>
  <w:num w:numId="19" w16cid:durableId="905840804">
    <w:abstractNumId w:val="0"/>
  </w:num>
  <w:num w:numId="20" w16cid:durableId="1776292480">
    <w:abstractNumId w:val="0"/>
  </w:num>
  <w:num w:numId="21" w16cid:durableId="891111110">
    <w:abstractNumId w:val="9"/>
  </w:num>
  <w:num w:numId="22" w16cid:durableId="1493446880">
    <w:abstractNumId w:val="7"/>
  </w:num>
  <w:num w:numId="23" w16cid:durableId="1753310395">
    <w:abstractNumId w:val="6"/>
  </w:num>
  <w:num w:numId="24" w16cid:durableId="722870168">
    <w:abstractNumId w:val="5"/>
  </w:num>
  <w:num w:numId="25" w16cid:durableId="768813403">
    <w:abstractNumId w:val="4"/>
  </w:num>
  <w:num w:numId="26" w16cid:durableId="1144465076">
    <w:abstractNumId w:val="8"/>
  </w:num>
  <w:num w:numId="27" w16cid:durableId="1944804625">
    <w:abstractNumId w:val="3"/>
  </w:num>
  <w:num w:numId="28" w16cid:durableId="1230534858">
    <w:abstractNumId w:val="2"/>
  </w:num>
  <w:num w:numId="29" w16cid:durableId="1995865560">
    <w:abstractNumId w:val="1"/>
  </w:num>
  <w:num w:numId="30" w16cid:durableId="522473673">
    <w:abstractNumId w:val="0"/>
  </w:num>
  <w:num w:numId="31" w16cid:durableId="695272276">
    <w:abstractNumId w:val="9"/>
  </w:num>
  <w:num w:numId="32" w16cid:durableId="611669035">
    <w:abstractNumId w:val="7"/>
  </w:num>
  <w:num w:numId="33" w16cid:durableId="874542776">
    <w:abstractNumId w:val="6"/>
  </w:num>
  <w:num w:numId="34" w16cid:durableId="511842883">
    <w:abstractNumId w:val="5"/>
  </w:num>
  <w:num w:numId="35" w16cid:durableId="1902136218">
    <w:abstractNumId w:val="4"/>
  </w:num>
  <w:num w:numId="36" w16cid:durableId="996808202">
    <w:abstractNumId w:val="8"/>
  </w:num>
  <w:num w:numId="37" w16cid:durableId="1307123691">
    <w:abstractNumId w:val="3"/>
  </w:num>
  <w:num w:numId="38" w16cid:durableId="1419716832">
    <w:abstractNumId w:val="2"/>
  </w:num>
  <w:num w:numId="39" w16cid:durableId="72120661">
    <w:abstractNumId w:val="1"/>
  </w:num>
  <w:num w:numId="40" w16cid:durableId="915745986">
    <w:abstractNumId w:val="0"/>
  </w:num>
  <w:num w:numId="41" w16cid:durableId="591352017">
    <w:abstractNumId w:val="10"/>
  </w:num>
  <w:num w:numId="42" w16cid:durableId="132337108">
    <w:abstractNumId w:val="10"/>
  </w:num>
  <w:num w:numId="43" w16cid:durableId="581108817">
    <w:abstractNumId w:val="10"/>
  </w:num>
  <w:num w:numId="44" w16cid:durableId="7059558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7720"/>
    <w:rsid w:val="00002272"/>
    <w:rsid w:val="00064002"/>
    <w:rsid w:val="000677B9"/>
    <w:rsid w:val="000831BA"/>
    <w:rsid w:val="000A42CC"/>
    <w:rsid w:val="000B7720"/>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67F43"/>
    <w:rsid w:val="00471C19"/>
    <w:rsid w:val="004867E3"/>
    <w:rsid w:val="00494A28"/>
    <w:rsid w:val="004B21AB"/>
    <w:rsid w:val="004C0004"/>
    <w:rsid w:val="004C5D52"/>
    <w:rsid w:val="0050519A"/>
    <w:rsid w:val="005072A1"/>
    <w:rsid w:val="00514517"/>
    <w:rsid w:val="00545827"/>
    <w:rsid w:val="00560270"/>
    <w:rsid w:val="005C2568"/>
    <w:rsid w:val="005D6390"/>
    <w:rsid w:val="005F1B17"/>
    <w:rsid w:val="006037C0"/>
    <w:rsid w:val="006631B6"/>
    <w:rsid w:val="00680577"/>
    <w:rsid w:val="006C3A38"/>
    <w:rsid w:val="006F74FA"/>
    <w:rsid w:val="00731ADD"/>
    <w:rsid w:val="00734777"/>
    <w:rsid w:val="00747932"/>
    <w:rsid w:val="00751A4A"/>
    <w:rsid w:val="00755356"/>
    <w:rsid w:val="00756632"/>
    <w:rsid w:val="00762C74"/>
    <w:rsid w:val="00786EC0"/>
    <w:rsid w:val="007D1690"/>
    <w:rsid w:val="007D74D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D1BFC"/>
    <w:rsid w:val="00AE0928"/>
    <w:rsid w:val="00AF3B82"/>
    <w:rsid w:val="00B12E95"/>
    <w:rsid w:val="00B22876"/>
    <w:rsid w:val="00B558F0"/>
    <w:rsid w:val="00BD48FE"/>
    <w:rsid w:val="00BD7BD8"/>
    <w:rsid w:val="00BE6ADC"/>
    <w:rsid w:val="00C04F30"/>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45/2026"/>
    <w:docVar w:name="dvlangue" w:val="HU"/>
    <w:docVar w:name="dvnumam" w:val="0"/>
    <w:docVar w:name="dvpe" w:val="784.388"/>
    <w:docVar w:name="dvrapporteur" w:val="Előadók: "/>
    <w:docVar w:name="dvtitre" w:val="Az Európai Parlament 2026.  ...-i állásfoglalása Európai Politikai Pártok és Európai Politikai Alapítványok – 2026. évi jelentés az (EU, Euratom) 2025/2445 rendelet alkalmazásáról és a támogatott tevékenységekről(2026/2013(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760A3F1"/>
  <w15:chartTrackingRefBased/>
  <w15:docId w15:val="{8366D0CA-601E-4C1B-B774-914A593D7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7D74D0"/>
    <w:pPr>
      <w:widowControl/>
      <w:spacing w:after="240"/>
    </w:pPr>
    <w:rPr>
      <w:szCs w:val="24"/>
      <w:lang w:eastAsia="en-US"/>
    </w:rPr>
  </w:style>
  <w:style w:type="paragraph" w:customStyle="1" w:styleId="NormalHanging12a">
    <w:name w:val="NormalHanging12a"/>
    <w:basedOn w:val="Normal"/>
    <w:rsid w:val="007D74D0"/>
    <w:pPr>
      <w:widowControl/>
      <w:spacing w:after="240"/>
      <w:ind w:left="566" w:hanging="566"/>
    </w:pPr>
    <w:rPr>
      <w:szCs w:val="24"/>
      <w:lang w:eastAsia="en-US"/>
    </w:rPr>
  </w:style>
  <w:style w:type="paragraph" w:customStyle="1" w:styleId="Normal12">
    <w:name w:val="Normal12"/>
    <w:basedOn w:val="Normal"/>
    <w:rsid w:val="007D74D0"/>
    <w:pPr>
      <w:spacing w:after="240"/>
    </w:pPr>
    <w:rPr>
      <w:szCs w:val="24"/>
      <w:lang w:eastAsia="en-US"/>
    </w:rPr>
  </w:style>
  <w:style w:type="paragraph" w:customStyle="1" w:styleId="NormalHanging">
    <w:name w:val="NormalHanging"/>
    <w:basedOn w:val="Normal"/>
    <w:rsid w:val="007D74D0"/>
    <w:pPr>
      <w:spacing w:after="240"/>
      <w:ind w:left="566" w:hanging="566"/>
    </w:pPr>
    <w:rPr>
      <w:szCs w:val="24"/>
      <w:lang w:eastAsia="en-US"/>
    </w:rPr>
  </w:style>
  <w:style w:type="paragraph" w:customStyle="1" w:styleId="NormalCenter12a">
    <w:name w:val="NormalCenter12a"/>
    <w:basedOn w:val="Normal"/>
    <w:rsid w:val="007D74D0"/>
    <w:pPr>
      <w:widowControl/>
      <w:spacing w:after="240"/>
      <w:jc w:val="center"/>
    </w:pPr>
    <w:rPr>
      <w:szCs w:val="24"/>
      <w:lang w:eastAsia="en-US"/>
    </w:rPr>
  </w:style>
  <w:style w:type="character" w:styleId="Hyperlink">
    <w:name w:val="Hyperlink"/>
    <w:basedOn w:val="DefaultParagraphFont"/>
    <w:rsid w:val="007D74D0"/>
    <w:rPr>
      <w:color w:val="0000FF"/>
      <w:u w:val="single"/>
    </w:rPr>
  </w:style>
  <w:style w:type="paragraph" w:styleId="Revision">
    <w:name w:val="Revision"/>
    <w:hidden/>
    <w:uiPriority w:val="99"/>
    <w:semiHidden/>
    <w:rsid w:val="006C3A38"/>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5/2445/oj" TargetMode="External" /><Relationship Id="rId2" Type="http://schemas.openxmlformats.org/officeDocument/2006/relationships/hyperlink" Target="http://data.europa.eu/eli/reg/2024/250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1875</Words>
  <Characters>14186</Characters>
  <Application>Microsoft Office Word</Application>
  <DocSecurity>0</DocSecurity>
  <Lines>295</Lines>
  <Paragraphs>113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2026-07-15T14:07:00Z</dcterms:created>
  <dcterms:modified xsi:type="dcterms:W3CDTF">2026-07-15T14:07:00Z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A10-0145/2026</vt:lpwstr>
  </property>
  <property fmtid="{D5CDD505-2E9C-101B-9397-08002B2CF9AE}" pid="4" name="&lt;Type&gt;">
    <vt:lpwstr>RR</vt:lpwstr>
  </property>
</Properties>
</file>