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145C6018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824EF" w:rsidP="0010095E" w14:paraId="4EE4C837" w14:textId="77777777">
            <w:pPr>
              <w:pStyle w:val="EPName"/>
            </w:pPr>
            <w:r w:rsidRPr="003824EF">
              <w:t>Parlament Ewropew</w:t>
            </w:r>
          </w:p>
          <w:p w:rsidR="00751A4A" w:rsidRPr="003824EF" w:rsidP="005F1B17" w14:paraId="39E1CDFB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824EF">
              <w:t>2024</w:t>
            </w:r>
            <w:r w:rsidRPr="003824EF" w:rsidR="00817416">
              <w:t>-202</w:t>
            </w:r>
            <w:r w:rsidRPr="003824E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3824EF" w:rsidP="0010095E" w14:paraId="26A7F485" w14:textId="77777777">
            <w:pPr>
              <w:pStyle w:val="EPLogo"/>
            </w:pPr>
            <w:r w:rsidRPr="003824EF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824EF" w:rsidP="004C5D52" w14:paraId="36DF4107" w14:textId="77777777">
      <w:pPr>
        <w:pStyle w:val="LineTop"/>
      </w:pPr>
    </w:p>
    <w:p w:rsidR="00680577" w:rsidRPr="003824EF" w:rsidP="00680577" w14:paraId="2DCE67E2" w14:textId="77777777">
      <w:pPr>
        <w:pStyle w:val="EPBodyTA1"/>
      </w:pPr>
      <w:r w:rsidRPr="003824EF">
        <w:t>TESTI ADOTTATI</w:t>
      </w:r>
    </w:p>
    <w:p w:rsidR="00D058B8" w:rsidRPr="003824EF" w:rsidP="00D058B8" w14:paraId="627427BC" w14:textId="77777777">
      <w:pPr>
        <w:pStyle w:val="LineBottom"/>
      </w:pPr>
    </w:p>
    <w:p w:rsidR="00F06348" w:rsidRPr="003824EF" w:rsidP="00F06348" w14:paraId="1D2540F3" w14:textId="6AEAE16E">
      <w:pPr>
        <w:pStyle w:val="ATHeading1"/>
      </w:pPr>
      <w:bookmarkStart w:id="0" w:name="TANumber"/>
      <w:r w:rsidRPr="003824EF">
        <w:t>P10_TA(2026)0</w:t>
      </w:r>
      <w:r w:rsidR="0098081A">
        <w:t>202</w:t>
      </w:r>
      <w:bookmarkEnd w:id="0"/>
    </w:p>
    <w:p w:rsidR="00F06348" w:rsidRPr="003824EF" w:rsidP="00F06348" w14:paraId="3939621A" w14:textId="011E9C47">
      <w:pPr>
        <w:pStyle w:val="ATHeading2"/>
      </w:pPr>
      <w:r w:rsidRPr="003824EF">
        <w:t>Il-Partiti Politiċi Ewropej u l-Fondazzjonijiet Politiċi Ewropej – Rapport 2026 dwar l-applikazzjoni tar-Regolament (UE, Euratom) 2025/2445 u dwar l-attivitajiet iffinanzjati</w:t>
      </w:r>
    </w:p>
    <w:p w:rsidR="00F06348" w:rsidRPr="003824EF" w:rsidP="00F06348" w14:paraId="69753F48" w14:textId="77777777">
      <w:pPr>
        <w:rPr>
          <w:i/>
          <w:vanish/>
        </w:rPr>
      </w:pPr>
      <w:r>
        <w:rPr>
          <w:i/>
        </w:rPr>
        <w:fldChar w:fldCharType="begin"/>
      </w:r>
      <w:r w:rsidRPr="003824EF">
        <w:rPr>
          <w:i/>
        </w:rPr>
        <w:instrText xml:space="preserve"> TC"(</w:instrText>
      </w:r>
      <w:bookmarkStart w:id="1" w:name="DocNumber"/>
      <w:r w:rsidRPr="003824EF">
        <w:rPr>
          <w:i/>
        </w:rPr>
        <w:instrText>A10-0145/2026</w:instrText>
      </w:r>
      <w:bookmarkEnd w:id="1"/>
      <w:r w:rsidRPr="003824EF">
        <w:rPr>
          <w:i/>
        </w:rPr>
        <w:instrText xml:space="preserve"> - Rapporteur: Loránt Vincze, Charles Goerens)"\l3 \n&gt; \* MERGEFORMAT </w:instrText>
      </w:r>
      <w:r>
        <w:rPr>
          <w:i/>
        </w:rPr>
        <w:fldChar w:fldCharType="end"/>
      </w:r>
    </w:p>
    <w:p w:rsidR="00F06348" w:rsidRPr="003824EF" w:rsidP="00F06348" w14:paraId="5209A411" w14:textId="77777777">
      <w:pPr>
        <w:rPr>
          <w:vanish/>
        </w:rPr>
      </w:pPr>
      <w:bookmarkStart w:id="2" w:name="Commission"/>
      <w:r w:rsidRPr="003824EF">
        <w:rPr>
          <w:vanish/>
        </w:rPr>
        <w:t>Kumitat għall-Affarijiet Kostituzzjonali</w:t>
      </w:r>
      <w:bookmarkEnd w:id="2"/>
    </w:p>
    <w:p w:rsidR="00F06348" w:rsidRPr="003824EF" w:rsidP="00F06348" w14:paraId="56E80421" w14:textId="77777777">
      <w:pPr>
        <w:rPr>
          <w:vanish/>
        </w:rPr>
      </w:pPr>
      <w:bookmarkStart w:id="3" w:name="PE"/>
      <w:r w:rsidRPr="003824EF">
        <w:rPr>
          <w:vanish/>
        </w:rPr>
        <w:t>PE784.388</w:t>
      </w:r>
      <w:bookmarkEnd w:id="3"/>
    </w:p>
    <w:p w:rsidR="00F06348" w:rsidRPr="003824EF" w:rsidP="00F06348" w14:paraId="1DF34BAB" w14:textId="0E5DFFE6">
      <w:pPr>
        <w:pStyle w:val="ATHeading3"/>
      </w:pPr>
      <w:bookmarkStart w:id="4" w:name="Sujet"/>
      <w:r w:rsidRPr="003824EF">
        <w:t xml:space="preserve">Riżoluzzjoni tal-Parlament Ewropew </w:t>
      </w:r>
      <w:r w:rsidR="0029147C">
        <w:t xml:space="preserve">tas-16 ta’ Ġunju </w:t>
      </w:r>
      <w:r w:rsidRPr="003824EF">
        <w:t>2026 Il-Partiti Politiċi Ewropej u l-Fondazzjonijiet Politiċi Ewropej – Rapport 2026 dwar l-applikazzjoni tar-Regolament (UE, Euratom) 2025/2445 u dwar l-attivitajiet iffinanzjati</w:t>
      </w:r>
      <w:bookmarkEnd w:id="4"/>
      <w:r w:rsidRPr="003824EF">
        <w:t xml:space="preserve"> </w:t>
      </w:r>
      <w:bookmarkStart w:id="5" w:name="References"/>
      <w:r w:rsidRPr="003824EF">
        <w:t>(2026/2013(INI))</w:t>
      </w:r>
      <w:bookmarkEnd w:id="5"/>
    </w:p>
    <w:p w:rsidR="007B5546" w:rsidRPr="003824EF" w:rsidP="007B5546" w14:paraId="374E1AEE" w14:textId="77777777">
      <w:pPr>
        <w:pStyle w:val="Normal12"/>
      </w:pPr>
      <w:r w:rsidRPr="003824EF">
        <w:rPr>
          <w:i/>
        </w:rPr>
        <w:t>Il-Parlament Ewropew</w:t>
      </w:r>
      <w:r w:rsidRPr="003824EF">
        <w:t>,</w:t>
      </w:r>
    </w:p>
    <w:p w:rsidR="007B5546" w:rsidRPr="003824EF" w:rsidP="007B5546" w14:paraId="4A6BF58D" w14:textId="77777777">
      <w:pPr>
        <w:pStyle w:val="NormalHanging"/>
      </w:pPr>
      <w:r w:rsidRPr="003824EF">
        <w:t>–</w:t>
      </w:r>
      <w:r w:rsidRPr="003824EF">
        <w:tab/>
        <w:t>wara li kkunsidra l-Artikolu 2 u l-Artikolu 10(4) tat-Trattat dwar l-Unjoni Ewropea u l-Artikolu 12(2) tal-Karta tad-Drittijiet Fundamentali tal-Unjoni Ewropea,</w:t>
      </w:r>
    </w:p>
    <w:p w:rsidR="007B5546" w:rsidRPr="003824EF" w:rsidP="007B5546" w14:paraId="2AB7FAF0" w14:textId="77777777">
      <w:pPr>
        <w:pStyle w:val="NormalHanging"/>
      </w:pPr>
      <w:r w:rsidRPr="003824EF">
        <w:t>–</w:t>
      </w:r>
      <w:r w:rsidRPr="003824EF">
        <w:tab/>
        <w:t>wara li kkunsidra l-Artikoli 224 u 325 tat-Trattat dwar il-Funzjonament tal-Unjoni Ewropea,</w:t>
      </w:r>
    </w:p>
    <w:p w:rsidR="007B5546" w:rsidRPr="003824EF" w:rsidP="007B5546" w14:paraId="6F22A56C" w14:textId="6D297D78">
      <w:pPr>
        <w:pStyle w:val="NormalHanging"/>
      </w:pPr>
      <w:r w:rsidRPr="003824EF">
        <w:t>–</w:t>
      </w:r>
      <w:r w:rsidRPr="003824EF">
        <w:tab/>
        <w:t>wara li kkunsidra r-Regolament (UE, Euratom) 2025/2445 tal-Parlament Ewropew u tal-Kunsill tas-26 ta’ Novembru 20</w:t>
      </w:r>
      <w:r w:rsidR="00E779D3">
        <w:t>2</w:t>
      </w:r>
      <w:r w:rsidRPr="003824EF">
        <w:t>5 dwar l-istatut u l-finanzjament tal-partiti politiċi Ewropej u l-fondazzjonijiet politiċi Ewropej</w:t>
      </w:r>
      <w:r>
        <w:rPr>
          <w:rStyle w:val="FootnoteReference"/>
        </w:rPr>
        <w:footnoteReference w:customMarkFollows="1" w:id="2"/>
        <w:t xml:space="preserve">1</w:t>
      </w:r>
      <w:r w:rsidRPr="003824EF">
        <w:t xml:space="preserve"> (minn hawn ’il quddiem ir-“Regolament”),</w:t>
      </w:r>
    </w:p>
    <w:p w:rsidR="007B5546" w:rsidRPr="003824EF" w:rsidP="007B5546" w14:paraId="1F311114" w14:textId="77777777">
      <w:pPr>
        <w:pStyle w:val="NormalHanging"/>
      </w:pPr>
      <w:r w:rsidRPr="003824EF">
        <w:t>–</w:t>
      </w:r>
      <w:r w:rsidRPr="003824EF">
        <w:tab/>
        <w:t>wara li kkunsidra r-Regolament (UE, Euratom) 2024/2509 tal-Parlament Ewropew u tal-Kunsill tat-23 ta’ Settembru 2024 dwar ir-regoli finanzjarji applikabbli għall-baġit ġenerali tal-Unjoni</w:t>
      </w:r>
      <w:r>
        <w:rPr>
          <w:rStyle w:val="FootnoteReference"/>
        </w:rPr>
        <w:footnoteReference w:customMarkFollows="1" w:id="3"/>
        <w:t xml:space="preserve">2</w:t>
      </w:r>
      <w:r w:rsidRPr="003824EF">
        <w:t xml:space="preserve"> (ir-Regolament Finanzjarju),</w:t>
      </w:r>
    </w:p>
    <w:p w:rsidR="007B5546" w:rsidRPr="003824EF" w:rsidP="007B5546" w14:paraId="3868F506" w14:textId="77777777">
      <w:pPr>
        <w:pStyle w:val="NormalHanging"/>
      </w:pPr>
      <w:r w:rsidRPr="003824EF">
        <w:t>–</w:t>
      </w:r>
      <w:r w:rsidRPr="003824EF">
        <w:tab/>
        <w:t>wara li kkunsidra r-riżoluzzjoni tal-tiegħu tal-11 ta’ Novembru 2021 dwar l-applikazzjoni tar-Regolament (UE, Euratom) Nru 1141/2014 dwar l-istatut u l-finanzjament tal-partiti politiċi Ewropej u l-fondazzjonijiet politiċi Ewropej</w:t>
      </w:r>
      <w:r>
        <w:rPr>
          <w:rStyle w:val="FootnoteReference"/>
        </w:rPr>
        <w:footnoteReference w:customMarkFollows="1" w:id="4"/>
        <w:t xml:space="preserve">3</w:t>
      </w:r>
      <w:r w:rsidRPr="003824EF">
        <w:t>,</w:t>
      </w:r>
    </w:p>
    <w:p w:rsidR="007B5546" w:rsidRPr="003824EF" w:rsidP="007B5546" w14:paraId="2D8CA8F8" w14:textId="77777777">
      <w:pPr>
        <w:pStyle w:val="NormalHanging"/>
      </w:pPr>
      <w:r w:rsidRPr="003824EF">
        <w:t>–</w:t>
      </w:r>
      <w:r w:rsidRPr="003824EF">
        <w:tab/>
        <w:t>wara li kkonsulta lill-Awtorità għall-Partiti Politiċi Ewropej u l-Fondazzjonijiet Politiċi Ewropej (minn hawn ’il quddiem l-“Awtorità”) u r-rapporti annwali ta’ attività tagħha,</w:t>
      </w:r>
    </w:p>
    <w:p w:rsidR="007B5546" w:rsidRPr="003824EF" w:rsidP="007B5546" w14:paraId="083AF801" w14:textId="77777777">
      <w:pPr>
        <w:pStyle w:val="NormalHanging"/>
      </w:pPr>
      <w:r w:rsidRPr="003824EF">
        <w:t>–</w:t>
      </w:r>
      <w:r w:rsidRPr="003824EF">
        <w:tab/>
        <w:t>wara li kkunsidra l-iskambju ta’ fehmiet mal-fondazzjonijiet politiċi Ewropej u mal-</w:t>
      </w:r>
      <w:r w:rsidRPr="003824EF">
        <w:t>partijiet ikkonċernati istituzzjonali, li sar fit-18 ta’ Marzu 2026 mill-Kumitat għall-Affarijiet Kostituzzjonali,</w:t>
      </w:r>
    </w:p>
    <w:p w:rsidR="007B5546" w:rsidRPr="003824EF" w:rsidP="007B5546" w14:paraId="594903E5" w14:textId="77777777">
      <w:pPr>
        <w:pStyle w:val="NormalHanging"/>
      </w:pPr>
      <w:r w:rsidRPr="003824EF">
        <w:t>–</w:t>
      </w:r>
      <w:r w:rsidRPr="003824EF">
        <w:tab/>
        <w:t>wara li kkunsidra l-Artikolu 55 tar-Regoli ta’ Proċedura tiegħu,</w:t>
      </w:r>
    </w:p>
    <w:p w:rsidR="007B5546" w:rsidRPr="003824EF" w:rsidP="007B5546" w14:paraId="6127579C" w14:textId="77777777">
      <w:pPr>
        <w:pStyle w:val="NormalHanging"/>
      </w:pPr>
      <w:r w:rsidRPr="003824EF">
        <w:t>–</w:t>
      </w:r>
      <w:r w:rsidRPr="003824EF">
        <w:tab/>
        <w:t>wara li kkunsidra r-rapport tal-Kumitat għall-Affarijiet Kostituzzjonali (A10-0145/2026),</w:t>
      </w:r>
    </w:p>
    <w:p w:rsidR="007B5546" w:rsidRPr="003824EF" w:rsidP="007B5546" w14:paraId="3D58D955" w14:textId="77777777">
      <w:pPr>
        <w:pStyle w:val="NormalHanging"/>
      </w:pPr>
      <w:r w:rsidRPr="003824EF">
        <w:t>A.</w:t>
      </w:r>
      <w:r w:rsidRPr="003824EF">
        <w:tab/>
        <w:t>billi partiti u fondazzjonijiet politiċi b’saħħithom fil-livell tal-UE huma essenzjali għall-iżvilupp ta’ sfera politika Ewropea vera u proprja;</w:t>
      </w:r>
    </w:p>
    <w:p w:rsidR="007B5546" w:rsidRPr="003824EF" w:rsidP="007B5546" w14:paraId="14966DAB" w14:textId="77777777">
      <w:pPr>
        <w:pStyle w:val="NormalHanging"/>
      </w:pPr>
      <w:r w:rsidRPr="003824EF">
        <w:t>B.</w:t>
      </w:r>
      <w:r w:rsidRPr="003824EF">
        <w:tab/>
        <w:t>billi l-partiti politiċi Ewropej u l-fondazzjonijiet politiċi Ewropej għandhom jiżvolġu rwol aktar ċentrali fil-proċess elettorali Ewropew u jikkontribwixxu biex tiġi ffurmata kuxjenza politika tal-UE u tiġi espressa r-rieda taċ-ċittadini tal-UE; billi d-diversità politika hija essenzjali għad-dibattitu pubbliku u għall-espressjoni tal-għażliet taċ-ċittadini;</w:t>
      </w:r>
    </w:p>
    <w:p w:rsidR="007B5546" w:rsidRPr="003824EF" w:rsidP="007B5546" w14:paraId="69FA0027" w14:textId="77777777">
      <w:pPr>
        <w:pStyle w:val="NormalHanging"/>
      </w:pPr>
      <w:r w:rsidRPr="003824EF">
        <w:t>C.</w:t>
      </w:r>
      <w:r w:rsidRPr="003824EF">
        <w:tab/>
        <w:t>billi l-partiti politiċi Ewropej u l-fondazzjonijiet politiċi Ewropej għandhom jikkooperaw mal-partiti nazzjonali li huma membri tagħhom u mas-sħab nazzjonali tagħhom, bil-għan li jappoġġjawhom biex iqarrbu l-UE u l-politiki tagħha lejn iċ-ċittadini u jżidu l-leġittimità demokratika;</w:t>
      </w:r>
    </w:p>
    <w:p w:rsidR="007B5546" w:rsidRPr="003824EF" w:rsidP="007B5546" w14:paraId="36E4B980" w14:textId="77777777">
      <w:pPr>
        <w:pStyle w:val="NormalHanging"/>
      </w:pPr>
      <w:r w:rsidRPr="003824EF">
        <w:t>D.</w:t>
      </w:r>
      <w:r w:rsidRPr="003824EF">
        <w:tab/>
        <w:t>billi fl-2025 ġew irreġistrati mal-Awtorità żewġ fondazzjonijiet oħra, li jfisser li, fil-31 ta’ Diċembru 2025, mill-baġit tal-UE ġew iffinanzjati 12-il partit politiku Ewropew u 12-il fondazzjoni politika Ewropea affiljata;</w:t>
      </w:r>
    </w:p>
    <w:p w:rsidR="007B5546" w:rsidRPr="003824EF" w:rsidP="007B5546" w14:paraId="7FAD3B76" w14:textId="77777777">
      <w:pPr>
        <w:pStyle w:val="NormalHanging"/>
      </w:pPr>
      <w:r w:rsidRPr="003824EF">
        <w:t>E.</w:t>
      </w:r>
      <w:r w:rsidRPr="003824EF">
        <w:tab/>
        <w:t>billi r-Regolament ta’ riformulazzjoni daħal fis-seħħ fit-28 ta’ Diċembru 2025 u introduċa għadd ta’ innovazzjonijiet importanti, fosthom regoli aktar ċari dwar l-attivitajiet politiċi Ewropej konġunti, obbligi msaħħa fil-qasam tat-trasparenza u tar-rappurtar, obbligi msaħħa rigward id-diliġenza dovuta għad-donazzjonijiet u r-rikonoxximent espliċitu tar-riżorsi awtoġenerati bħala kategorija ta’ dħul;</w:t>
      </w:r>
    </w:p>
    <w:p w:rsidR="007B5546" w:rsidRPr="003824EF" w:rsidP="007B5546" w14:paraId="33CF2783" w14:textId="77777777">
      <w:pPr>
        <w:pStyle w:val="NormalHanging"/>
      </w:pPr>
      <w:r w:rsidRPr="003824EF">
        <w:t>F.</w:t>
      </w:r>
      <w:r w:rsidRPr="003824EF">
        <w:tab/>
        <w:t>billi r-Regolament m’ilux li daħal fis-seħħ; billi, b’konsegwenza ta’ hekk, id-data u l-esperjenza li jirriżultaw mill-implimentazzjoni tiegħu għadhom limitati; billi valutazzjoni komprensiva tal-implimentazzjoni u tal-impatt tar-Regolament tirrikjedi biżżejjed żmien u evidenza; billi, madankollu, fil-perjodu immedjatament wara d-dħul fis-seħħ tar-Regolament nibtu sfidi strateġiċi mhux previsti li jirrikjedu azzjoni urġenti, b’mod partikolari f’dak li għandu x’jaqsam mal-finanzjament tal-fondazzjonijiet politiċi;</w:t>
      </w:r>
    </w:p>
    <w:p w:rsidR="007B5546" w:rsidRPr="003824EF" w:rsidP="007B5546" w14:paraId="2D2B99FE" w14:textId="77777777">
      <w:pPr>
        <w:pStyle w:val="NormalHanging"/>
      </w:pPr>
      <w:r w:rsidRPr="003824EF">
        <w:t>G.</w:t>
      </w:r>
      <w:r w:rsidRPr="003824EF">
        <w:tab/>
        <w:t>billi, skont ir-Regolament ta’ riformulazzjoni, il-Parlament mistenni jippubblika rapport sad-29 ta’ Ġunju 2026 dwar l-applikazzjoni tar-Regolament u dwar l-attivitajiet iffinanzjati; billi l-Kummissjoni se jkollha għad-dispożizzjoni tagħha sena mill-pubblikazzjoni tar-rapport tal-Parlament biex tippreżenta rapport dwar l-applikazzjoni tar-Regolament, akkumpanjat, jekk xieraq, minn proposta biex temendah;</w:t>
      </w:r>
    </w:p>
    <w:p w:rsidR="007B5546" w:rsidRPr="003824EF" w:rsidP="007B5546" w14:paraId="7CBF7119" w14:textId="77777777">
      <w:pPr>
        <w:pStyle w:val="NormalHanging"/>
      </w:pPr>
      <w:r w:rsidRPr="003824EF">
        <w:t>H.</w:t>
      </w:r>
      <w:r w:rsidRPr="003824EF">
        <w:tab/>
        <w:t>billi r-rapport tal-Kummissjoni għandu jagħti attenzjoni partikolari lill-implikazzjonijiet tar-Regolament għall-pożizzjoni tal-partiti politiċi Ewropej u tal-fondazzjonijiet politiċi Ewropej iż-żgħar, u għar-regoli li jmexxu l-finanzjament tal-fondazzjonijiet politiċi Ewropej;</w:t>
      </w:r>
    </w:p>
    <w:p w:rsidR="007B5546" w:rsidRPr="003824EF" w:rsidP="007B5546" w14:paraId="5762C564" w14:textId="77777777">
      <w:pPr>
        <w:pStyle w:val="NormalHanging"/>
      </w:pPr>
      <w:r w:rsidRPr="003824EF">
        <w:t>I.</w:t>
      </w:r>
      <w:r w:rsidRPr="003824EF">
        <w:tab/>
        <w:t xml:space="preserve">billi l-fondazzjonijiet politiċi Ewropej jikkostitwixxu parti integrali mill-arkitettura </w:t>
      </w:r>
      <w:r w:rsidRPr="003824EF">
        <w:t>demokratika tal-UE inkwantu jappoġġjaw id-dibattitu politiku, l-iżvilupp tal-politiki, ir-riċerka, it-taħriġ u l-impenn ċiviku fil-livell nazzjonali u f’dak tal-UE;</w:t>
      </w:r>
    </w:p>
    <w:p w:rsidR="007B5546" w:rsidRPr="003824EF" w:rsidP="007B5546" w14:paraId="033B6A2B" w14:textId="77777777">
      <w:pPr>
        <w:pStyle w:val="NormalHanging"/>
      </w:pPr>
      <w:r w:rsidRPr="003824EF">
        <w:t>J.</w:t>
      </w:r>
      <w:r w:rsidRPr="003824EF">
        <w:tab/>
        <w:t>billi l-mandat tal-fondazzjonijiet politiċi Ewropej jinkludi s-sensibilizzazzjoni politika għad-dibattitu dwar il-kwistjonijiet ta’ politika tal-UE u dwar il-proċess ta’ integrazzjoni Ewropea, u l-kontribut li jingħata lil dan id-dibattitu, kif ukoll il-forniment ta’ servizzi li mhumiex diretti esklużivament lill-membri jew lill-eletturi ta’ partit partikolari, iżda huma miftuħa għal kulħadd f’kundizzjonijiet indaqs;</w:t>
      </w:r>
    </w:p>
    <w:p w:rsidR="007B5546" w:rsidRPr="003824EF" w:rsidP="007B5546" w14:paraId="1964A91F" w14:textId="77777777">
      <w:pPr>
        <w:pStyle w:val="NormalHanging"/>
      </w:pPr>
      <w:r w:rsidRPr="003824EF">
        <w:t>K.</w:t>
      </w:r>
      <w:r w:rsidRPr="003824EF">
        <w:tab/>
        <w:t>billi l-implimentazzjoni tar-Regolament issir f’kuntest ta’ instabbiltà ġeopolitika profonda, ikkaratterizzata minn aktar kompetizzjoni strateġika, theddid ibridu, diżinformazzjoni, tfixkil teknoloġiku, tibdil fil-klima u trasformazzjonijiet soċjoekonomiċi fit-tul;</w:t>
      </w:r>
    </w:p>
    <w:p w:rsidR="007B5546" w:rsidRPr="003824EF" w:rsidP="007B5546" w14:paraId="45B8D844" w14:textId="77777777">
      <w:pPr>
        <w:pStyle w:val="NormalHanging"/>
      </w:pPr>
      <w:r w:rsidRPr="003824EF">
        <w:t>L.</w:t>
      </w:r>
      <w:r w:rsidRPr="003824EF">
        <w:tab/>
        <w:t>billi dawn l-iżviluppi jirrikjedu li l-UE ssaħħaħ il-kapaċità ta’ prospettiva strateġika tagħha, governanza antiċipatorja u ppjanar tal-politiki fit-tul, bil-għan li tħejji ruħha b’mod effikaċi għall-isfidi fil-perjodu sal-2040 u lil hinn;</w:t>
      </w:r>
    </w:p>
    <w:p w:rsidR="007B5546" w:rsidRPr="003824EF" w:rsidP="007B5546" w14:paraId="5F4D768D" w14:textId="77777777">
      <w:pPr>
        <w:pStyle w:val="NormalHanging"/>
      </w:pPr>
      <w:r w:rsidRPr="003824EF">
        <w:t>M.</w:t>
      </w:r>
      <w:r w:rsidRPr="003824EF">
        <w:tab/>
        <w:t>billi l-fondazzjonijiet politiċi Ewropej jinsabu f’pożizzjoni privileġġata biex jikkontribwixxu għal dan l-isforz permezz tar-riċerka fit-tul, tal-analiżi komparattiva, tad-djalogu tranżnazzjonali, tal-edukazzjoni politika u tat-tisħiħ tal-kapaċitajiet;</w:t>
      </w:r>
    </w:p>
    <w:p w:rsidR="007B5546" w:rsidRPr="003824EF" w:rsidP="007B5546" w14:paraId="39C9F4DC" w14:textId="77777777">
      <w:pPr>
        <w:pStyle w:val="NormalHanging"/>
      </w:pPr>
      <w:r w:rsidRPr="003824EF">
        <w:t>N.</w:t>
      </w:r>
      <w:r w:rsidRPr="003824EF">
        <w:tab/>
        <w:t>billi l-livell u l-istruttura attwali tal-finanzjamenti tal-UE għad-dispożizzjoni tal-fondazzjonijiet politiċi Ewropej ma għadhomx proporzjonati għall-portata, għall-importanza strateġika u għall-kumplessità dejjem akbar tal-kompiti tagħhom;</w:t>
      </w:r>
    </w:p>
    <w:p w:rsidR="007B5546" w:rsidRPr="003824EF" w:rsidP="007B5546" w14:paraId="13C37C82" w14:textId="77777777">
      <w:pPr>
        <w:pStyle w:val="NormalHanging"/>
      </w:pPr>
      <w:r w:rsidRPr="003824EF">
        <w:t>O.</w:t>
      </w:r>
      <w:r w:rsidRPr="003824EF">
        <w:tab/>
        <w:t>billi l-fondazzjonijiet politiċi rrappurtaw piż regolatorju sproporzjonat u talbu li jiġu ssemplifikati r-rekwiżiti regolatorji, b’mod partikolari f’dak li għandu x’jaqsam mal-obbligi ta’ rappurtar u trasparenza, kif ukoll il-possibbiltà li jerġgħu jiddaħħlu miżuri korrettivi neċessarji biex jiġi żgurat il-funzjonament korrett tal-proċess ta’ finanzjament;</w:t>
      </w:r>
    </w:p>
    <w:p w:rsidR="007B5546" w:rsidRPr="003824EF" w:rsidP="007B5546" w14:paraId="4D8C3FDF" w14:textId="77777777">
      <w:pPr>
        <w:pStyle w:val="Normal12a"/>
      </w:pPr>
      <w:r w:rsidRPr="003824EF">
        <w:rPr>
          <w:b/>
          <w:i/>
        </w:rPr>
        <w:t>Valutazzjoni ġenerali tar-Regolament ta’ riformulazzjoni</w:t>
      </w:r>
    </w:p>
    <w:p w:rsidR="007B5546" w:rsidRPr="003824EF" w:rsidP="007B5546" w14:paraId="187B3424" w14:textId="77777777">
      <w:pPr>
        <w:pStyle w:val="NormalHanging12a"/>
      </w:pPr>
      <w:r w:rsidRPr="003824EF">
        <w:t>1.</w:t>
      </w:r>
      <w:r w:rsidRPr="003824EF">
        <w:tab/>
        <w:t>Jilqa’ l-adozzjoni tar-Regolament ta’ riformulazzjoni bħala pass importanti lejn il-modernizzazzjoni tal-qafas ġuridiku għall-partiti politiċi Ewropej u għall-fondazzjonijiet politiċi Ewropej, u t-tisħiħ tal-integrità demokratika fil-livell tal-UE;</w:t>
      </w:r>
    </w:p>
    <w:p w:rsidR="007B5546" w:rsidRPr="003824EF" w:rsidP="007B5546" w14:paraId="498C12A8" w14:textId="77777777">
      <w:pPr>
        <w:pStyle w:val="NormalHanging12a"/>
      </w:pPr>
      <w:r w:rsidRPr="003824EF">
        <w:t>2.</w:t>
      </w:r>
      <w:r w:rsidRPr="003824EF">
        <w:tab/>
        <w:t>Josserva li r-Regolament tejjeb iċ-ċarezza tad-dritt f’diversi setturi, b’mod partikolari f’dak li għandu x’jaqsam mal-attivitajiet politiċi Ewropej konġunti, mar-rekwiżiti ta’ trasparenza u mal-garanziji kontra l-indħil barrani;</w:t>
      </w:r>
    </w:p>
    <w:p w:rsidR="007B5546" w:rsidRPr="003824EF" w:rsidP="007B5546" w14:paraId="1DB49F1C" w14:textId="77777777">
      <w:pPr>
        <w:pStyle w:val="NormalHanging12a"/>
      </w:pPr>
      <w:r w:rsidRPr="003824EF">
        <w:t>3.</w:t>
      </w:r>
      <w:r w:rsidRPr="003824EF">
        <w:tab/>
        <w:t>Jenfasizza, madankollu, li l-esperjenza u d-data dwar l-implimentazzjoni tar-Regolament ta’ riformulazzjoni għadhom limitati u li valutazzjoni aktar fil-fond u orizzontali tkun tista’ ssir biss f’fażi ulterjuri; jiġbed l-attenzjoni għall-fatt li l-isfidi politiċi mhux previsti li nibtu fil-perjodu immedjatament wara d-dħul fis-seħħ tar-Regolament, b’mod partikolari f’dak li għandu x’jaqsam mal-finanzjament tal-fondazzjonijiet politiċi, jirrikjedu madankollu azzjoni urġenti;</w:t>
      </w:r>
    </w:p>
    <w:p w:rsidR="007B5546" w:rsidRPr="003824EF" w:rsidP="007B5546" w14:paraId="3548B41D" w14:textId="77777777">
      <w:pPr>
        <w:pStyle w:val="NormalHanging12a"/>
      </w:pPr>
      <w:r w:rsidRPr="003824EF">
        <w:t>4.</w:t>
      </w:r>
      <w:r w:rsidRPr="003824EF">
        <w:tab/>
        <w:t xml:space="preserve">Jieħu nota bi tħassib tal-fatt li l-fondazzjonijiet jirrappurtaw piż regolatorju sproporzjonat u jimpenja ruħu li jinvestiga aktar u jagħti segwitu lill-kwistjoni fl-evalwazzjoni sistematika li jmiss tiegħu; jenfasizza, f’dan il-kuntest, l-importanza ta’ </w:t>
      </w:r>
      <w:r w:rsidRPr="003824EF">
        <w:t>miżuri korrettivi effikaċi u proporzjonati bħala strument biex jiżgura r-rispett tar-Regolament u jimpenja ruħu li jirrieżamina l-użu ta’ dawn il-miżuri fil-prassi reċenti;</w:t>
      </w:r>
    </w:p>
    <w:p w:rsidR="007B5546" w:rsidRPr="003824EF" w:rsidP="007B5546" w14:paraId="41328631" w14:textId="77777777">
      <w:pPr>
        <w:pStyle w:val="NormalHanging12a"/>
      </w:pPr>
      <w:r w:rsidRPr="003824EF">
        <w:t>5.</w:t>
      </w:r>
      <w:r w:rsidRPr="003824EF">
        <w:tab/>
        <w:t>Jieħu nota tal-inċertezza tad-dritt u tar-restrizzjonijiet operattivi li għadhom iħabbtu wiċċhom magħhom il-fondazzjonijiet politiċi Ewropej, b’mod partikolari fir-rigward tal-klassifikazzjoni tal-kostijiet eliġibbli, u jqis li dawn il-kwistjonijiet jeħtieġu kjarifika fil-pront;</w:t>
      </w:r>
    </w:p>
    <w:p w:rsidR="007B5546" w:rsidRPr="003824EF" w:rsidP="007B5546" w14:paraId="4A52CE7B" w14:textId="77777777">
      <w:pPr>
        <w:pStyle w:val="Normal12a"/>
      </w:pPr>
      <w:r w:rsidRPr="003824EF">
        <w:rPr>
          <w:b/>
          <w:i/>
        </w:rPr>
        <w:t>Rwol tal-fondazzjonijiet politiċi Ewropej</w:t>
      </w:r>
    </w:p>
    <w:p w:rsidR="007B5546" w:rsidRPr="003824EF" w:rsidP="007B5546" w14:paraId="65C825DD" w14:textId="77777777">
      <w:pPr>
        <w:pStyle w:val="NormalHanging12a"/>
      </w:pPr>
      <w:r w:rsidRPr="003824EF">
        <w:t>6.</w:t>
      </w:r>
      <w:r w:rsidRPr="003824EF">
        <w:tab/>
        <w:t>Itenni li l-fondazzjonijiet politiċi Ewropej jiżvolġu rwol istituzzjonali distint fl-ambitu tat-Trattati billi jrawmu l-kuxjenza politika Ewropea, jappoġġjaw it-tfassil ta’ politiki bbażat fuq l-evidenza u jsaħħu l-kultura demokratika u l-impenn ċiviku fl-UE kollha;</w:t>
      </w:r>
    </w:p>
    <w:p w:rsidR="007B5546" w:rsidRPr="003824EF" w:rsidP="007B5546" w14:paraId="4A617FAD" w14:textId="77777777">
      <w:pPr>
        <w:pStyle w:val="NormalHanging12a"/>
      </w:pPr>
      <w:r w:rsidRPr="003824EF">
        <w:t>7.</w:t>
      </w:r>
      <w:r w:rsidRPr="003824EF">
        <w:tab/>
        <w:t>Jiġbed l-attenzjoni fuq il-fatt li l-kuntest ġeopolitiku u teknoloġiku sar dejjem aktar instabbli mill-pubblikazzjoni tal-proposta tal-Kummissjoni tal-2021 relatata mar-riformulazzjoni tar-Regolament (UE, Euratom) Nru 1141/2014</w:t>
      </w:r>
      <w:r>
        <w:rPr>
          <w:rStyle w:val="FootnoteReference"/>
        </w:rPr>
        <w:footnoteReference w:customMarkFollows="1" w:id="5"/>
        <w:t xml:space="preserve">4</w:t>
      </w:r>
      <w:r w:rsidRPr="003824EF">
        <w:t>, u hu kkaratterizzat minn tensjonijiet eħrex fir-rigward tas-sigurtà, indħil barrani fil-proċessi demokratiċi u trasformazzjoni soċjoekonomika aċċelerata; jissottolinja li dawn l-iżviluppi jżidu l-importanza tal-ippjanar politiku fit-tul, tal-edukazzjoni demokratika u tad-djalogu transfruntier, li għalihom il-fondazzjonijiet politiċi Ewropej jagħtu kontribut speċjali;</w:t>
      </w:r>
    </w:p>
    <w:p w:rsidR="007B5546" w:rsidRPr="003824EF" w:rsidP="007B5546" w14:paraId="196BFB5F" w14:textId="77777777">
      <w:pPr>
        <w:pStyle w:val="NormalHanging12a"/>
      </w:pPr>
      <w:r w:rsidRPr="003824EF">
        <w:t>8.</w:t>
      </w:r>
      <w:r w:rsidRPr="003824EF">
        <w:tab/>
        <w:t>Josserva li, fid-dawl taż-żieda fir-responsabbiltajiet tagħhom, il-fondazzjonijiet politiċi Ewropej jeħtieġu l-istrumenti finanzjarji neċessarji u riżorsi adegwati u stabbli biex jassumu bis-sħiħ ir-rwol istituzzjonali tagħhom, abbażi tat-titjib li introduċa r-Regolament;</w:t>
      </w:r>
    </w:p>
    <w:p w:rsidR="007B5546" w:rsidRPr="003824EF" w:rsidP="007B5546" w14:paraId="5E973816" w14:textId="77777777">
      <w:pPr>
        <w:pStyle w:val="Normal12a"/>
      </w:pPr>
      <w:r w:rsidRPr="003824EF">
        <w:rPr>
          <w:b/>
          <w:i/>
        </w:rPr>
        <w:t>Proposti għal titjib</w:t>
      </w:r>
    </w:p>
    <w:p w:rsidR="007B5546" w:rsidRPr="003824EF" w:rsidP="007B5546" w14:paraId="6A4F9641" w14:textId="77777777">
      <w:pPr>
        <w:pStyle w:val="NormalHanging12a"/>
      </w:pPr>
      <w:r w:rsidRPr="003824EF">
        <w:t>9.</w:t>
      </w:r>
      <w:r w:rsidRPr="003824EF">
        <w:tab/>
        <w:t>Jisħaq fuq il-bżonn li jiġi żgurat li l-fondazzjonijiet politiċi Ewropej ikunu mgħammra b’qafas ġuridiku sod u b’sigurtà finanzjarja; jimpenja ruħu li jikkollabora mal-fondazzjonijiet biex jagħti din is-sigurtà kemm jista’ jkun fl-ambitu tal-qafas eżistenti, b’mod partikolari permezz ta’ reviżjoni tal-mod kif l-organizzazzjonijiet membri tagħhom jappoġġjaw lill-fondazzjonijiet mil-lat finanzjarju; jiġbed l-attenzjoni għall-fatt li r-Regolament ma jipprojbix mudell tal-ħlasijiet ta’ sħubija flessibbli u bbażat fuq il-parteċipazzjoni, li permezz tiegħu l-organizzazzjonijiet membri jikkontribwixxu abbażi tal-livell ta’ involviment tagħhom fl-attivitajiet konġunti; jissottolinja l-fatt li l-attivitajiet konġunti stess għandhom ikunu newtrali f’termini ta’ baġit u ma għandhomx jiġġeneraw introjtu għall-fondazzjonijiet li jaqbżu l-kostijiet effettivament imġarrba;</w:t>
      </w:r>
    </w:p>
    <w:p w:rsidR="007B5546" w:rsidRPr="003824EF" w:rsidP="007B5546" w14:paraId="0A443BE5" w14:textId="77777777">
      <w:pPr>
        <w:pStyle w:val="NormalHanging12a"/>
      </w:pPr>
      <w:r w:rsidRPr="003824EF">
        <w:t>10.</w:t>
      </w:r>
      <w:r w:rsidRPr="003824EF">
        <w:tab/>
        <w:t xml:space="preserve">Jinkoraġġixxi lill-fondazzjonijiet politiċi Ewropej jimmassimizzaw il-possibbiltajiet finanzjarji fl-ambitu tal-qafas eżistenti; jenfasizza li l-finanzjament tal-fondazzjonijiet politiċi Ewropej permezz tar-riżorsi proprji tal-partiti politiċi Ewropej attwalment huwa permess skont l-Artikolu 2(10) tar-Regolament fis-seħħ; jistieden kemm lill-partiti politiċi Ewropej kif ukoll lill-fondazzjonijiet politiċi Ewropej jikkonkludu arranġamenti ta’ kooperazzjoni li abbażi tagħhom il-fondazzjonijiet jirċievu kumpens mill-partiti </w:t>
      </w:r>
      <w:r w:rsidRPr="003824EF">
        <w:t>għall-kontribut tagħhom fi kwalunkwe ħidma konġunta, filwaqt li jitqiesu r-rwoli distinti rispettivi tagħhom previsti fit-Trattati;</w:t>
      </w:r>
    </w:p>
    <w:p w:rsidR="007B5546" w:rsidRPr="003824EF" w:rsidP="007B5546" w14:paraId="76BA7277" w14:textId="77777777">
      <w:pPr>
        <w:pStyle w:val="NormalHanging12a"/>
      </w:pPr>
      <w:r w:rsidRPr="003824EF">
        <w:t>11.</w:t>
      </w:r>
      <w:r w:rsidRPr="003824EF">
        <w:tab/>
        <w:t>Jissottolinja, barra minn hekk, li r-Regolament ma jipprojbix lill-fondazzjonijiet nazzjonali li mhumiex fondazzjonijiet politiċi jsiru membri tal-fondazzjonijiet politiċi Ewropej u li jħallsu kontribuzzjoni ta’ sħubija lil dawn il-fondazzjonijiet;</w:t>
      </w:r>
    </w:p>
    <w:p w:rsidR="007B5546" w:rsidRPr="003824EF" w:rsidP="007B5546" w14:paraId="69C63ADC" w14:textId="77777777">
      <w:pPr>
        <w:pStyle w:val="NormalHanging12a"/>
      </w:pPr>
      <w:r w:rsidRPr="003824EF">
        <w:t>12.</w:t>
      </w:r>
      <w:r w:rsidRPr="003824EF">
        <w:tab/>
        <w:t>Iqis li l-Artikolu 25 tar-Regolament attwali jista’ jiġi ċċarat biex jikkonferma espliċitament li t-tariffi ta’ parteċipazzjoni jistgħu jiġu ddebitati lill-organizzazzjonijiet membri għall-involviment tagħhom f’attivitajiet organizzati minn fondazzjoni politika Ewropea;</w:t>
      </w:r>
    </w:p>
    <w:p w:rsidR="007B5546" w:rsidRPr="003824EF" w:rsidP="007B5546" w14:paraId="74CCFF08" w14:textId="77777777">
      <w:pPr>
        <w:pStyle w:val="NormalHanging12a"/>
      </w:pPr>
      <w:r w:rsidRPr="003824EF">
        <w:t>13.</w:t>
      </w:r>
      <w:r w:rsidRPr="003824EF">
        <w:tab/>
        <w:t>Josserva li applikazzjoni rigoruża tad-definizzjoni ta’ kontribuzzjonijiet mill-membri, il-pressjoni finanzjarja u amministrattiva eżerċitata biex jiġu kkomplementati l-għotjiet mill-baġit tal-UE b’riżorsi awtoġenerati, ir-regoli applikabbli għall-attivitajiet politiċi Ewropej konġunti mal-fondazzjonijiet membri u l-livell ġenerali ta’ finanzjament tal-UE jillimitaw l-awtonomija finanzjarja u s-sostenibbiltà tal-fondazzjonijiet politiċi Ewropej, speċjalment fid-dawl tar-responsabbiltajiet dejjem akbar tagħhom, u jissottolinja li huwa essenzjali li jkun hemm qafas ta’ finanzjament sostenibbli biex tinżamm l-indipendenza tagħhom u tiġi evitata influwenza privata indebita;</w:t>
      </w:r>
    </w:p>
    <w:p w:rsidR="007B5546" w:rsidRPr="003824EF" w:rsidP="007B5546" w14:paraId="7760D26F" w14:textId="77777777">
      <w:pPr>
        <w:pStyle w:val="NormalHanging12a"/>
      </w:pPr>
      <w:r w:rsidRPr="003824EF">
        <w:t>14.</w:t>
      </w:r>
      <w:r w:rsidRPr="003824EF">
        <w:tab/>
        <w:t>Jenfasizza li, fil-qafas tad-diversifikazzjoni tar-riżorsi proprji, il-fondazzjonijiet politiċi Ewropej jistgħu jirċievu donazzjonijiet minn persuni fiżiċi jew ġuridiċi sa valur ta’ EUR 18 000 kull sena għal kull donatur; jemmen li l-limitu massimu għal dawn id-donazzjonijiet jista’ jiżdied biex tingħata aktar flessibbiltà lill-fondazzjonijiet politiċi Ewropej;</w:t>
      </w:r>
    </w:p>
    <w:p w:rsidR="007B5546" w:rsidRPr="003824EF" w:rsidP="007B5546" w14:paraId="5875E854" w14:textId="77777777">
      <w:pPr>
        <w:pStyle w:val="NormalHanging12a"/>
      </w:pPr>
      <w:r w:rsidRPr="003824EF">
        <w:t>15.</w:t>
      </w:r>
      <w:r w:rsidRPr="003824EF">
        <w:tab/>
        <w:t>Jinkoraġġixxi lill-Awtorità, f’kooperazzjoni mal-Kummissjoni, tkompli u tiżviluppa aktar id-djalogu tagħha mal-awtoritajiet nazzjonali kompetenti, bil-għan li tissensibilizza dwar l-impatt tal-oqfsa ta’ finanzjament nazzjonali fuq il-funzjonament tal-fondazzjonijiet politiċi Ewropej u tidentifika soluzzjonijiet prattiċi mmirati biex jevitaw restrizzjonijiet mhux mixtieqa fuq is-sostenibbiltà finanzjarja tagħhom;</w:t>
      </w:r>
    </w:p>
    <w:p w:rsidR="007B5546" w:rsidRPr="003824EF" w:rsidP="007B5546" w14:paraId="3E5ED008" w14:textId="77777777">
      <w:pPr>
        <w:pStyle w:val="NormalHanging12a"/>
      </w:pPr>
      <w:r w:rsidRPr="003824EF">
        <w:t>16.</w:t>
      </w:r>
      <w:r w:rsidRPr="003824EF">
        <w:tab/>
        <w:t>Jipproponi l-istabbiliment ta’ sistema unika ta’ rappurtar u divulgazzjoni online għall-finanzjamenti, għad-donazzjonijiet u għall-kontribuzzjonijiet tal-UE lill-fondazzjonijiet politiċi Ewropej, bil-għan li jiġu żgurati livelli adegwati ta’ trasparenza għaċ-ċittadini, jitjieb il-monitoraġġ tal-konformità u jonqos il-piż amministrattiv u ta’ konformità tal-entitajiet ta’ rappurtar;</w:t>
      </w:r>
    </w:p>
    <w:p w:rsidR="007B5546" w:rsidRPr="003824EF" w:rsidP="007B5546" w14:paraId="565FA3DD" w14:textId="77777777">
      <w:pPr>
        <w:pStyle w:val="NormalHanging12a"/>
      </w:pPr>
      <w:r w:rsidRPr="003824EF">
        <w:t>17.</w:t>
      </w:r>
      <w:r w:rsidRPr="003824EF">
        <w:tab/>
        <w:t>Jirrikonoxxi l-isforzi li għamlu l-fondazzjonijiet politiċi Ewropej biex jiddiversifikaw u jistabbilizzaw is-sorsi ta’ finanzjament tagħhom fi ħdan il-qafas regolatorju eżistenti u jinkoraġġixxi jkomplu jintużaw b’mod ibbilanċjat u trasparenti l-mekkaniżmi tar-riżorsi proprji disponibbli;</w:t>
      </w:r>
    </w:p>
    <w:p w:rsidR="007B5546" w:rsidRPr="003824EF" w:rsidP="007B5546" w14:paraId="2E1E30C6" w14:textId="77777777">
      <w:pPr>
        <w:pStyle w:val="Normal12a"/>
      </w:pPr>
      <w:r w:rsidRPr="003824EF">
        <w:rPr>
          <w:b/>
          <w:i/>
        </w:rPr>
        <w:t>Kunsiderazzjonijiet finali</w:t>
      </w:r>
    </w:p>
    <w:p w:rsidR="007B5546" w:rsidRPr="003824EF" w:rsidP="007B5546" w14:paraId="5741ED73" w14:textId="77777777">
      <w:pPr>
        <w:pStyle w:val="NormalHanging12a"/>
      </w:pPr>
      <w:r w:rsidRPr="003824EF">
        <w:t>18.</w:t>
      </w:r>
      <w:r w:rsidRPr="003824EF">
        <w:tab/>
        <w:t>Jistieden lill-Kummissjoni tagħmel rieżami mmirat tad-dispożizzjonijiet ta’ finanzjament applikabbli għall-fondazzjonijiet politiċi Ewropej fl-ambitu tar-Regolament, abbażi tar-riżultati ta’ dan ir-rapport u tal-esperjenza miksuba minn mindu daħal fis-seħħ ir-Regolament ta’ riformulazzjoni;</w:t>
      </w:r>
    </w:p>
    <w:p w:rsidR="007B5546" w:rsidRPr="003824EF" w:rsidP="007B5546" w14:paraId="173F4699" w14:textId="77777777">
      <w:pPr>
        <w:pStyle w:val="NormalHanging12a"/>
      </w:pPr>
      <w:r w:rsidRPr="003824EF">
        <w:t>19.</w:t>
      </w:r>
      <w:r w:rsidRPr="003824EF">
        <w:tab/>
        <w:t>Jistieden lill-Kummissjoni tirrieżamina jekk hemmx oqfsa regolatorji jew politiċi nazzjonali li jipprojbixxu jew jostakolaw il-pagament tal-kontribuzzjonijiet, min-naħa tal-entitajiet nazzjonali, inklużi l-fondazzjonijiet politiċi, lill-fondazzjonijiet politiċi Ewropej, u tagħti segwitu bl-azzjonijiet neċessarji;</w:t>
      </w:r>
    </w:p>
    <w:p w:rsidR="007B5546" w:rsidRPr="003824EF" w:rsidP="007B5546" w14:paraId="71840BAF" w14:textId="77777777">
      <w:pPr>
        <w:pStyle w:val="NormalHanging12a"/>
      </w:pPr>
      <w:r w:rsidRPr="003824EF">
        <w:t>20.</w:t>
      </w:r>
      <w:r w:rsidRPr="003824EF">
        <w:tab/>
        <w:t>Jistieden lill-Kummissjoni tippreżenta proposta leġiżlattiva ta’ riformulazzjoni li tirrevedi r-regoli ta’ finanzjament tal-fondazzjonijiet politiċi Ewropej, inkluża emenda tal-Artikolu 22(4) tar-Regolament biex jiżdied il-limitu massimu tal-kontribuzzjonijiet finanzjarji jew tal-għotjiet mill-baġit ġenerali tal-UE għal 100 % tal-kostijiet eliġibbli mġarrba minn fondazzjoni politika Ewropea; Jistieden, barra minn hekk, lill-Kummissjoni tinkludi f’din il-proposta emenda tal-Artikolu 25 biex jiżdied il-limitu massimu għad-donazzjonijiet lill-fondazzjonijiet politiċi Ewropej, b’hekk jiġu żgurati aktar flessibbiltà u diversifikazzjoni tas-sorsi ta’ finanzjament;</w:t>
      </w:r>
    </w:p>
    <w:p w:rsidR="007B5546" w:rsidRPr="003824EF" w:rsidP="007B5546" w14:paraId="71C129F0" w14:textId="77777777">
      <w:pPr>
        <w:pStyle w:val="NormalHanging12a"/>
      </w:pPr>
      <w:r w:rsidRPr="003824EF">
        <w:t>21.</w:t>
      </w:r>
      <w:r w:rsidRPr="003824EF">
        <w:tab/>
        <w:t>Jimpenja ruħu li jżid il-livell ġenerali tal-finanzjamenti tal-UE għall-fondazzjonijiet politiċi fl-ambitu tal-qafas finanzjarju pluriennali li jmiss għall-perjodu 2028-2034, bil-għan li jqis l-assenza ta’ indiċizzazzjoni baġitarja f’dawn l-aħħar snin u l-inflazzjoni dejjem ogħla u l-kostijiet operattivi dejjem jiżdiedu, ħalli jiġu żgurati riżorsi finanzjarji xierqa, stabbli u prevedibbli, ikun possibbli għall-fondazzjonijiet biex jidħlu f’attivitajiet ta’ prospettiva strateġika fit-tul u ta’ tisħiħ tal-kapaċitajiet, iżommu standards għoljin ta’ trasparenza, responsabbiltà u indipendenza u tiġi żgurata proporzjonalità bejn l-obbligi ta’ konformità u l-finanzjamenti disponibbli;</w:t>
      </w:r>
    </w:p>
    <w:p w:rsidR="007B5546" w:rsidRPr="003824EF" w:rsidP="007B5546" w14:paraId="1A72D5A6" w14:textId="77777777">
      <w:pPr>
        <w:pStyle w:val="NormalHanging12a"/>
      </w:pPr>
      <w:r w:rsidRPr="003824EF">
        <w:t>22.</w:t>
      </w:r>
      <w:r w:rsidRPr="003824EF">
        <w:tab/>
        <w:t>Jikkonkludi li l-forniment ta’ finanzjamenti xierqa lill-fondazzjonijiet politiċi Ewropej jikkostitwixxi investiment strateġiku fir-reżiljenza demokratika u fil-kapaċità ta’ governanza fit-tul tal-UE;</w:t>
      </w:r>
    </w:p>
    <w:p w:rsidR="007B5546" w:rsidRPr="003824EF" w:rsidP="007B5546" w14:paraId="427B05B7" w14:textId="77777777">
      <w:pPr>
        <w:pStyle w:val="NormalCenter12a"/>
      </w:pPr>
      <w:r w:rsidRPr="003824EF">
        <w:t>°</w:t>
      </w:r>
    </w:p>
    <w:p w:rsidR="007B5546" w:rsidRPr="003824EF" w:rsidP="007B5546" w14:paraId="0497111B" w14:textId="77777777">
      <w:pPr>
        <w:pStyle w:val="NormalCenter12a"/>
      </w:pPr>
      <w:r w:rsidRPr="003824EF">
        <w:t>°</w:t>
      </w:r>
      <w:r w:rsidRPr="003824EF">
        <w:tab/>
        <w:t>°</w:t>
      </w:r>
    </w:p>
    <w:p w:rsidR="003824EF" w:rsidRPr="003824EF" w:rsidP="003824EF" w14:paraId="3277E132" w14:textId="7A01E54E">
      <w:pPr>
        <w:pStyle w:val="NormalHanging12a"/>
      </w:pPr>
      <w:r w:rsidRPr="003824EF">
        <w:t>23.</w:t>
      </w:r>
      <w:r w:rsidRPr="003824EF">
        <w:tab/>
        <w:t>Jagħti istruzzjonijiet lill-President tiegħu biex tgħaddi din ir-riżoluzzjoni lill-Kunsill u lill-Kummissjoni.</w:t>
      </w:r>
    </w:p>
    <w:p w:rsidR="00E365E1" w:rsidRPr="003824EF" w:rsidP="00F06348" w14:paraId="0AA09AC8" w14:textId="2CBA90C2"/>
    <w:sectPr w:rsidSect="003824E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824EF" w14:paraId="0A3CAA3E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824EF" w14:paraId="601803B4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824EF" w14:paraId="6270EEE6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F06348" w:rsidRPr="003824EF" w14:paraId="48BDBB1A" w14:textId="77777777">
      <w:r w:rsidRPr="003824EF">
        <w:separator/>
      </w:r>
    </w:p>
  </w:footnote>
  <w:footnote w:type="continuationSeparator" w:id="1">
    <w:p w:rsidR="00F06348" w:rsidRPr="003824EF" w14:paraId="2331A550" w14:textId="77777777">
      <w:r w:rsidRPr="003824EF">
        <w:continuationSeparator/>
      </w:r>
    </w:p>
  </w:footnote>
  <w:footnote w:id="2">
    <w:p w:rsidR="007B5546" w:rsidRPr="003824EF" w:rsidP="003824EF" w14:paraId="7630BF5E" w14:textId="24A033AA">
      <w:pPr>
        <w:pStyle w:val="FootnoteText"/>
        <w:ind w:left="567" w:hanging="567"/>
        <w:rPr>
          <w:sz w:val="24"/>
          <w:lang w:val="mt-MT"/>
        </w:rPr>
      </w:pPr>
      <w:r w:rsidRPr="003824EF">
        <w:rPr>
          <w:rStyle w:val="FootnoteReference"/>
          <w:sz w:val="24"/>
          <w:lang w:val="mt-MT"/>
        </w:rPr>
        <w:t>1</w:t>
      </w:r>
      <w:r w:rsidRPr="003824EF" w:rsidR="003824EF">
        <w:rPr>
          <w:sz w:val="24"/>
          <w:lang w:val="mt-MT"/>
        </w:rPr>
        <w:t xml:space="preserve"> </w:t>
      </w:r>
      <w:r w:rsidRPr="003824EF" w:rsidR="003824EF">
        <w:rPr>
          <w:sz w:val="24"/>
          <w:lang w:val="mt-MT"/>
        </w:rPr>
        <w:tab/>
      </w:r>
      <w:r w:rsidRPr="003824EF">
        <w:rPr>
          <w:sz w:val="24"/>
          <w:lang w:val="mt-MT"/>
        </w:rPr>
        <w:t xml:space="preserve">ĠU L, 2025/2445, 8.12.2025, ELI: </w:t>
      </w:r>
      <w:hyperlink r:id="rId1" w:tgtFrame="http://data.europa.eu/eli/reg/2025/2445/oj" w:history="1">
        <w:r w:rsidRPr="003824EF">
          <w:rPr>
            <w:rStyle w:val="Hyperlink"/>
            <w:sz w:val="24"/>
            <w:lang w:val="mt-MT"/>
          </w:rPr>
          <w:t>http://data.europa.eu/eli/reg/2025/2445/oj</w:t>
        </w:r>
      </w:hyperlink>
      <w:r w:rsidRPr="003824EF">
        <w:rPr>
          <w:sz w:val="24"/>
          <w:lang w:val="mt-MT"/>
        </w:rPr>
        <w:t>.</w:t>
      </w:r>
    </w:p>
  </w:footnote>
  <w:footnote w:id="3">
    <w:p w:rsidR="007B5546" w:rsidRPr="003824EF" w:rsidP="003824EF" w14:paraId="472A8304" w14:textId="13CD6C37">
      <w:pPr>
        <w:pStyle w:val="FootnoteText"/>
        <w:ind w:left="567" w:hanging="567"/>
        <w:rPr>
          <w:sz w:val="24"/>
          <w:lang w:val="mt-MT"/>
        </w:rPr>
      </w:pPr>
      <w:r w:rsidRPr="003824EF">
        <w:rPr>
          <w:rStyle w:val="FootnoteReference"/>
          <w:sz w:val="24"/>
          <w:lang w:val="mt-MT"/>
        </w:rPr>
        <w:t>2</w:t>
      </w:r>
      <w:r w:rsidRPr="003824EF" w:rsidR="003824EF">
        <w:rPr>
          <w:sz w:val="24"/>
          <w:lang w:val="mt-MT"/>
        </w:rPr>
        <w:t xml:space="preserve"> </w:t>
      </w:r>
      <w:r w:rsidRPr="003824EF" w:rsidR="003824EF">
        <w:rPr>
          <w:sz w:val="24"/>
          <w:lang w:val="mt-MT"/>
        </w:rPr>
        <w:tab/>
      </w:r>
      <w:r w:rsidRPr="003824EF">
        <w:rPr>
          <w:sz w:val="24"/>
          <w:lang w:val="mt-MT"/>
        </w:rPr>
        <w:t xml:space="preserve">ĠU L, 2024/2509, 26.9.2024, ELI: </w:t>
      </w:r>
      <w:hyperlink r:id="rId2" w:tgtFrame="http://data.europa.eu/eli/reg/2024/2509/oj" w:history="1">
        <w:r w:rsidRPr="003824EF">
          <w:rPr>
            <w:rStyle w:val="Hyperlink"/>
            <w:sz w:val="24"/>
            <w:lang w:val="mt-MT"/>
          </w:rPr>
          <w:t>http://data.europa.eu/eli/reg/2024/2509/oj</w:t>
        </w:r>
      </w:hyperlink>
      <w:r w:rsidRPr="003824EF">
        <w:rPr>
          <w:sz w:val="24"/>
          <w:lang w:val="mt-MT"/>
        </w:rPr>
        <w:t>.</w:t>
      </w:r>
    </w:p>
  </w:footnote>
  <w:footnote w:id="4">
    <w:p w:rsidR="007B5546" w:rsidRPr="003824EF" w:rsidP="003824EF" w14:paraId="44F112AF" w14:textId="153F42CA">
      <w:pPr>
        <w:pStyle w:val="FootnoteText"/>
        <w:ind w:left="567" w:hanging="567"/>
        <w:rPr>
          <w:sz w:val="24"/>
          <w:lang w:val="mt-MT"/>
        </w:rPr>
      </w:pPr>
      <w:r w:rsidRPr="003824EF">
        <w:rPr>
          <w:rStyle w:val="FootnoteReference"/>
          <w:sz w:val="24"/>
          <w:lang w:val="mt-MT"/>
        </w:rPr>
        <w:t>3</w:t>
      </w:r>
      <w:r w:rsidRPr="003824EF" w:rsidR="003824EF">
        <w:rPr>
          <w:sz w:val="24"/>
          <w:lang w:val="mt-MT"/>
        </w:rPr>
        <w:t xml:space="preserve"> </w:t>
      </w:r>
      <w:r w:rsidRPr="003824EF" w:rsidR="003824EF">
        <w:rPr>
          <w:sz w:val="24"/>
          <w:lang w:val="mt-MT"/>
        </w:rPr>
        <w:tab/>
      </w:r>
      <w:r w:rsidRPr="003824EF">
        <w:rPr>
          <w:sz w:val="24"/>
          <w:lang w:val="mt-MT"/>
        </w:rPr>
        <w:t>ĠU C 205, 20.5.2022, p. 37.</w:t>
      </w:r>
    </w:p>
  </w:footnote>
  <w:footnote w:id="5">
    <w:p w:rsidR="007B5546" w:rsidRPr="003824EF" w:rsidP="003824EF" w14:paraId="6F66A26E" w14:textId="52C0BECE">
      <w:pPr>
        <w:pStyle w:val="FootnoteText"/>
        <w:ind w:left="567" w:hanging="567"/>
        <w:rPr>
          <w:sz w:val="24"/>
          <w:lang w:val="mt-MT"/>
        </w:rPr>
      </w:pPr>
      <w:r w:rsidRPr="003824EF">
        <w:rPr>
          <w:rStyle w:val="FootnoteReference"/>
          <w:sz w:val="24"/>
          <w:lang w:val="mt-MT"/>
        </w:rPr>
        <w:t>4</w:t>
      </w:r>
      <w:r w:rsidRPr="003824EF" w:rsidR="003824EF">
        <w:rPr>
          <w:sz w:val="24"/>
          <w:lang w:val="mt-MT"/>
        </w:rPr>
        <w:t xml:space="preserve"> </w:t>
      </w:r>
      <w:r w:rsidRPr="003824EF" w:rsidR="003824EF">
        <w:rPr>
          <w:sz w:val="24"/>
          <w:lang w:val="mt-MT"/>
        </w:rPr>
        <w:tab/>
      </w:r>
      <w:r w:rsidRPr="003824EF">
        <w:rPr>
          <w:sz w:val="24"/>
          <w:lang w:val="mt-MT"/>
        </w:rPr>
        <w:t>Proposta tal-Kummissjoni tal-25 ta’ Novembru 2021 għal regolament tal-Parlament Ewropew u tal-Kunsill dwar l-istatut u l-finanzjament tal-partiti politiċi Ewropej u l-fondazzjonijiet politiċi Ewropej (riformulazzjoni),(COM(2021)0734).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824EF" w14:paraId="3D55179D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824EF" w14:paraId="018065C4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824EF" w14:paraId="4E29D180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91411225">
    <w:abstractNumId w:val="9"/>
  </w:num>
  <w:num w:numId="2" w16cid:durableId="188639911">
    <w:abstractNumId w:val="9"/>
  </w:num>
  <w:num w:numId="3" w16cid:durableId="1682393704">
    <w:abstractNumId w:val="7"/>
  </w:num>
  <w:num w:numId="4" w16cid:durableId="1030104622">
    <w:abstractNumId w:val="7"/>
  </w:num>
  <w:num w:numId="5" w16cid:durableId="1468745010">
    <w:abstractNumId w:val="6"/>
  </w:num>
  <w:num w:numId="6" w16cid:durableId="1462843308">
    <w:abstractNumId w:val="6"/>
  </w:num>
  <w:num w:numId="7" w16cid:durableId="31000299">
    <w:abstractNumId w:val="5"/>
  </w:num>
  <w:num w:numId="8" w16cid:durableId="2077051015">
    <w:abstractNumId w:val="5"/>
  </w:num>
  <w:num w:numId="9" w16cid:durableId="339966263">
    <w:abstractNumId w:val="4"/>
  </w:num>
  <w:num w:numId="10" w16cid:durableId="1361931413">
    <w:abstractNumId w:val="4"/>
  </w:num>
  <w:num w:numId="11" w16cid:durableId="130443995">
    <w:abstractNumId w:val="8"/>
  </w:num>
  <w:num w:numId="12" w16cid:durableId="152525613">
    <w:abstractNumId w:val="8"/>
  </w:num>
  <w:num w:numId="13" w16cid:durableId="1419057358">
    <w:abstractNumId w:val="3"/>
  </w:num>
  <w:num w:numId="14" w16cid:durableId="669067777">
    <w:abstractNumId w:val="3"/>
  </w:num>
  <w:num w:numId="15" w16cid:durableId="834536540">
    <w:abstractNumId w:val="2"/>
  </w:num>
  <w:num w:numId="16" w16cid:durableId="2121756220">
    <w:abstractNumId w:val="2"/>
  </w:num>
  <w:num w:numId="17" w16cid:durableId="1741520320">
    <w:abstractNumId w:val="1"/>
  </w:num>
  <w:num w:numId="18" w16cid:durableId="1679036023">
    <w:abstractNumId w:val="1"/>
  </w:num>
  <w:num w:numId="19" w16cid:durableId="314839507">
    <w:abstractNumId w:val="0"/>
  </w:num>
  <w:num w:numId="20" w16cid:durableId="1184902028">
    <w:abstractNumId w:val="0"/>
  </w:num>
  <w:num w:numId="21" w16cid:durableId="1657494054">
    <w:abstractNumId w:val="9"/>
  </w:num>
  <w:num w:numId="22" w16cid:durableId="1270704383">
    <w:abstractNumId w:val="7"/>
  </w:num>
  <w:num w:numId="23" w16cid:durableId="1434860400">
    <w:abstractNumId w:val="6"/>
  </w:num>
  <w:num w:numId="24" w16cid:durableId="1022973974">
    <w:abstractNumId w:val="5"/>
  </w:num>
  <w:num w:numId="25" w16cid:durableId="584850087">
    <w:abstractNumId w:val="4"/>
  </w:num>
  <w:num w:numId="26" w16cid:durableId="123932425">
    <w:abstractNumId w:val="8"/>
  </w:num>
  <w:num w:numId="27" w16cid:durableId="1713842398">
    <w:abstractNumId w:val="3"/>
  </w:num>
  <w:num w:numId="28" w16cid:durableId="602349198">
    <w:abstractNumId w:val="2"/>
  </w:num>
  <w:num w:numId="29" w16cid:durableId="1062022724">
    <w:abstractNumId w:val="1"/>
  </w:num>
  <w:num w:numId="30" w16cid:durableId="1154638472">
    <w:abstractNumId w:val="0"/>
  </w:num>
  <w:num w:numId="31" w16cid:durableId="2042170320">
    <w:abstractNumId w:val="9"/>
  </w:num>
  <w:num w:numId="32" w16cid:durableId="167134863">
    <w:abstractNumId w:val="7"/>
  </w:num>
  <w:num w:numId="33" w16cid:durableId="2061244024">
    <w:abstractNumId w:val="6"/>
  </w:num>
  <w:num w:numId="34" w16cid:durableId="708452654">
    <w:abstractNumId w:val="5"/>
  </w:num>
  <w:num w:numId="35" w16cid:durableId="1213427389">
    <w:abstractNumId w:val="4"/>
  </w:num>
  <w:num w:numId="36" w16cid:durableId="171378966">
    <w:abstractNumId w:val="8"/>
  </w:num>
  <w:num w:numId="37" w16cid:durableId="87703614">
    <w:abstractNumId w:val="3"/>
  </w:num>
  <w:num w:numId="38" w16cid:durableId="293368111">
    <w:abstractNumId w:val="2"/>
  </w:num>
  <w:num w:numId="39" w16cid:durableId="358434892">
    <w:abstractNumId w:val="1"/>
  </w:num>
  <w:num w:numId="40" w16cid:durableId="1267351717">
    <w:abstractNumId w:val="0"/>
  </w:num>
  <w:num w:numId="41" w16cid:durableId="356859807">
    <w:abstractNumId w:val="10"/>
  </w:num>
  <w:num w:numId="42" w16cid:durableId="1936671362">
    <w:abstractNumId w:val="10"/>
  </w:num>
  <w:num w:numId="43" w16cid:durableId="1968463453">
    <w:abstractNumId w:val="10"/>
  </w:num>
  <w:num w:numId="44" w16cid:durableId="185148415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34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9147C"/>
    <w:rsid w:val="002B18FE"/>
    <w:rsid w:val="002B5493"/>
    <w:rsid w:val="00343214"/>
    <w:rsid w:val="00361C00"/>
    <w:rsid w:val="003824EF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002A5"/>
    <w:rsid w:val="00731ADD"/>
    <w:rsid w:val="00734777"/>
    <w:rsid w:val="00747932"/>
    <w:rsid w:val="00751A4A"/>
    <w:rsid w:val="00756632"/>
    <w:rsid w:val="00762C74"/>
    <w:rsid w:val="00786EC0"/>
    <w:rsid w:val="007B5546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081A"/>
    <w:rsid w:val="00981893"/>
    <w:rsid w:val="00A1687D"/>
    <w:rsid w:val="00A43E52"/>
    <w:rsid w:val="00A4678D"/>
    <w:rsid w:val="00A778C7"/>
    <w:rsid w:val="00A86E0E"/>
    <w:rsid w:val="00AB441E"/>
    <w:rsid w:val="00AB6293"/>
    <w:rsid w:val="00AE0928"/>
    <w:rsid w:val="00AF3B82"/>
    <w:rsid w:val="00B057C8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79D3"/>
    <w:rsid w:val="00E820A4"/>
    <w:rsid w:val="00EB006A"/>
    <w:rsid w:val="00EB4772"/>
    <w:rsid w:val="00ED169E"/>
    <w:rsid w:val="00ED4235"/>
    <w:rsid w:val="00F04346"/>
    <w:rsid w:val="00F06348"/>
    <w:rsid w:val="00F075DC"/>
    <w:rsid w:val="00F149E9"/>
    <w:rsid w:val="00F35939"/>
    <w:rsid w:val="00F5134D"/>
    <w:rsid w:val="00F74202"/>
    <w:rsid w:val="00F87713"/>
    <w:rsid w:val="00FB4360"/>
    <w:rsid w:val="00FD0C70"/>
  </w:rsids>
  <w:docVars>
    <w:docVar w:name="dvdocse" w:val="A10-0145/2026"/>
    <w:docVar w:name="dvlangue" w:val="MT"/>
    <w:docVar w:name="dvnumam" w:val="0"/>
    <w:docVar w:name="dvpe" w:val="784.388"/>
    <w:docVar w:name="dvrapporteur" w:val="Rapporteur: "/>
    <w:docVar w:name="dvtitre" w:val="Riżoluzzjoni tal-Parlament Ewropew xx xx xxxx 2026 Il-Partiti Politiċi Ewropej u l-Fondazzjonijiet Politiċi Ewropej – Rapport 2026 dwar l-applikazzjoni tar-Regolament (UE, Euratom) Nru 2025/2445 u dwar l-attivitajiet iffinanzjati(2026/2013(INI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72E97A7"/>
  <w15:chartTrackingRefBased/>
  <w15:docId w15:val="{91E023E3-A0B5-4D8E-BC74-499450707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7B5546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7B5546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7B5546"/>
    <w:pPr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7B5546"/>
    <w:pPr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7B5546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7B554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reg/2025/2445/oj" TargetMode="External" /><Relationship Id="rId2" Type="http://schemas.openxmlformats.org/officeDocument/2006/relationships/hyperlink" Target="http://data.europa.eu/eli/reg/2024/2509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1798</Words>
  <Characters>14575</Characters>
  <Application>Microsoft Office Word</Application>
  <DocSecurity>0</DocSecurity>
  <Lines>231</Lines>
  <Paragraphs>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2026-07-16T12:41:00Z</dcterms:created>
  <dcterms:modified xsi:type="dcterms:W3CDTF">2026-07-16T12:41:00Z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A10-0145/2026</vt:lpwstr>
  </property>
  <property fmtid="{D5CDD505-2E9C-101B-9397-08002B2CF9AE}" pid="4" name="&lt;Type&gt;">
    <vt:lpwstr>RR</vt:lpwstr>
  </property>
</Properties>
</file>