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653BD5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E2064" w:rsidP="0010095E" w14:paraId="6FFCC977" w14:textId="6769B7DF">
            <w:pPr>
              <w:pStyle w:val="EPName"/>
            </w:pPr>
            <w:r w:rsidRPr="00FE2064">
              <w:t>Parlament Europejski</w:t>
            </w:r>
          </w:p>
          <w:p w:rsidR="00751A4A" w:rsidRPr="00FE2064" w:rsidP="005F1B17" w14:paraId="4FC9BFF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2064">
              <w:t>2024</w:t>
            </w:r>
            <w:r w:rsidRPr="00FE2064" w:rsidR="00817416">
              <w:t>-202</w:t>
            </w:r>
            <w:r w:rsidRPr="00FE206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E2064" w:rsidP="0010095E" w14:paraId="09D6F3CD" w14:textId="77777777">
            <w:pPr>
              <w:pStyle w:val="EPLogo"/>
            </w:pPr>
            <w:r w:rsidRPr="00FE206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E2064" w:rsidP="004C5D52" w14:paraId="259473FA" w14:textId="77777777">
      <w:pPr>
        <w:pStyle w:val="LineTop"/>
      </w:pPr>
    </w:p>
    <w:p w:rsidR="00680577" w:rsidRPr="00FE2064" w:rsidP="00680577" w14:paraId="4B31F378" w14:textId="223DE834">
      <w:pPr>
        <w:pStyle w:val="EPBodyTA1"/>
      </w:pPr>
      <w:r w:rsidRPr="00FE2064">
        <w:t>TEKSTY PRZYJĘTE</w:t>
      </w:r>
    </w:p>
    <w:p w:rsidR="00D058B8" w:rsidRPr="00FE2064" w:rsidP="00D058B8" w14:paraId="56561E88" w14:textId="77777777">
      <w:pPr>
        <w:pStyle w:val="LineBottom"/>
      </w:pPr>
    </w:p>
    <w:p w:rsidR="005F37F3" w:rsidRPr="00FE2064" w:rsidP="005F37F3" w14:paraId="200F85AE" w14:textId="3721D420">
      <w:pPr>
        <w:pStyle w:val="ATHeading1"/>
      </w:pPr>
      <w:bookmarkStart w:id="0" w:name="TANumber"/>
      <w:r w:rsidRPr="00FE2064">
        <w:t>P10_TA(2026)0</w:t>
      </w:r>
      <w:bookmarkEnd w:id="0"/>
      <w:r w:rsidR="00192A3A">
        <w:t>202</w:t>
      </w:r>
    </w:p>
    <w:p w:rsidR="005F37F3" w:rsidRPr="00FE2064" w:rsidP="007D6717" w14:paraId="7160CA56" w14:textId="12CEBC37">
      <w:pPr>
        <w:pStyle w:val="ATHeading2"/>
      </w:pPr>
      <w:bookmarkStart w:id="1" w:name="title"/>
      <w:r w:rsidRPr="001274A0">
        <w:t>Europejskie partie i fundacje polityczne – sprawozdanie 2026 w sprawie stosowania rozporządzenia (UE,</w:t>
      </w:r>
      <w:r>
        <w:t xml:space="preserve"> </w:t>
      </w:r>
      <w:r w:rsidRPr="001274A0">
        <w:t>Euratom</w:t>
      </w:r>
      <w:r w:rsidRPr="001274A0">
        <w:t>) 2025/2445 i finansowanych działań</w:t>
      </w:r>
      <w:bookmarkEnd w:id="1"/>
    </w:p>
    <w:p w:rsidR="005F37F3" w:rsidRPr="00FE2064" w:rsidP="005F37F3" w14:paraId="4DA0B1BB" w14:textId="77777777">
      <w:pPr>
        <w:rPr>
          <w:i/>
          <w:vanish/>
        </w:rPr>
      </w:pPr>
      <w:r>
        <w:rPr>
          <w:i/>
        </w:rPr>
        <w:fldChar w:fldCharType="begin"/>
      </w:r>
      <w:r w:rsidRPr="00FE2064">
        <w:rPr>
          <w:i/>
        </w:rPr>
        <w:instrText xml:space="preserve"> TC"(</w:instrText>
      </w:r>
      <w:bookmarkStart w:id="2" w:name="DocNumber"/>
      <w:r w:rsidRPr="00FE2064">
        <w:rPr>
          <w:i/>
        </w:rPr>
        <w:instrText>A10-0145/2026</w:instrText>
      </w:r>
      <w:bookmarkEnd w:id="2"/>
      <w:r w:rsidRPr="00FE2064">
        <w:rPr>
          <w:i/>
        </w:rPr>
        <w:instrText xml:space="preserve"> - Sprawozdawca: Loránt Vincze, Charles Goerens)"\l3 \n&gt; \* MERGEFORMAT </w:instrText>
      </w:r>
      <w:r>
        <w:rPr>
          <w:i/>
        </w:rPr>
        <w:fldChar w:fldCharType="end"/>
      </w:r>
    </w:p>
    <w:p w:rsidR="005F37F3" w:rsidRPr="00FE2064" w:rsidP="005F37F3" w14:paraId="3B75D32B" w14:textId="77777777">
      <w:pPr>
        <w:rPr>
          <w:vanish/>
        </w:rPr>
      </w:pPr>
      <w:bookmarkStart w:id="3" w:name="Commission"/>
      <w:r w:rsidRPr="00FE2064">
        <w:rPr>
          <w:vanish/>
        </w:rPr>
        <w:t>Komisja Spraw Konstytucyjnych</w:t>
      </w:r>
      <w:bookmarkEnd w:id="3"/>
    </w:p>
    <w:p w:rsidR="005F37F3" w:rsidRPr="00FE2064" w:rsidP="005F37F3" w14:paraId="6554D89E" w14:textId="77777777">
      <w:pPr>
        <w:rPr>
          <w:vanish/>
        </w:rPr>
      </w:pPr>
      <w:bookmarkStart w:id="4" w:name="PE"/>
      <w:r w:rsidRPr="00FE2064">
        <w:rPr>
          <w:vanish/>
        </w:rPr>
        <w:t>PE784.388</w:t>
      </w:r>
      <w:bookmarkEnd w:id="4"/>
    </w:p>
    <w:p w:rsidR="005F37F3" w:rsidRPr="00FE2064" w:rsidP="00BB218C" w14:paraId="6E9CA84E" w14:textId="0CE58049">
      <w:pPr>
        <w:pStyle w:val="ATHeading3"/>
        <w:spacing w:after="576" w:afterLines="240"/>
      </w:pPr>
      <w:bookmarkStart w:id="5" w:name="Sujet"/>
      <w:r w:rsidRPr="00FE2064">
        <w:t xml:space="preserve">Rezolucja Parlamentu Europejskiego z dnia </w:t>
      </w:r>
      <w:r w:rsidR="007D6717">
        <w:t>16 czerwca</w:t>
      </w:r>
      <w:r w:rsidRPr="00FE2064">
        <w:t xml:space="preserve"> 2026 r. Europejskie partie i fundacje polityczne – sprawozdanie 2026 w sprawie stosowania rozporządzenia (UE, </w:t>
      </w:r>
      <w:r w:rsidRPr="00FE2064">
        <w:t>Euratom</w:t>
      </w:r>
      <w:r w:rsidRPr="00FE2064">
        <w:t>) 2025/2445 i finansowanych działań</w:t>
      </w:r>
      <w:bookmarkEnd w:id="5"/>
      <w:r w:rsidRPr="00FE2064">
        <w:t xml:space="preserve"> </w:t>
      </w:r>
      <w:bookmarkStart w:id="6" w:name="References"/>
      <w:r w:rsidRPr="00FE2064">
        <w:t>(2026/2013(INI))</w:t>
      </w:r>
      <w:bookmarkEnd w:id="6"/>
    </w:p>
    <w:p w:rsidR="00087ACF" w:rsidRPr="00FE2064" w:rsidP="00BB218C" w14:paraId="2FC25B71" w14:textId="77777777">
      <w:pPr>
        <w:pStyle w:val="Normal12"/>
      </w:pPr>
      <w:r w:rsidRPr="00FE2064">
        <w:rPr>
          <w:i/>
        </w:rPr>
        <w:t>Parlament Europejski</w:t>
      </w:r>
      <w:r w:rsidRPr="00FE2064">
        <w:t>,</w:t>
      </w:r>
    </w:p>
    <w:p w:rsidR="00087ACF" w:rsidRPr="00FE2064" w:rsidP="00087ACF" w14:paraId="4E3AC622" w14:textId="77777777">
      <w:pPr>
        <w:pStyle w:val="NormalHanging"/>
      </w:pPr>
      <w:r w:rsidRPr="00FE2064">
        <w:t>–</w:t>
      </w:r>
      <w:r w:rsidRPr="00FE2064">
        <w:tab/>
        <w:t>uwzględniając art. 2 i art. 10 ust. 4 Traktatu o Unii Europejskiej oraz art. 12 ust. 2 Karty praw podstawowych Unii Europejskiej,</w:t>
      </w:r>
    </w:p>
    <w:p w:rsidR="00087ACF" w:rsidRPr="00FE2064" w:rsidP="00087ACF" w14:paraId="3FCFD627" w14:textId="77777777">
      <w:pPr>
        <w:pStyle w:val="NormalHanging"/>
      </w:pPr>
      <w:r w:rsidRPr="00FE2064">
        <w:t>–</w:t>
      </w:r>
      <w:r w:rsidRPr="00FE2064">
        <w:tab/>
        <w:t>uwzględniając art. 224 i 325 Traktatu o funkcjonowaniu Unii Europejskiej,</w:t>
      </w:r>
    </w:p>
    <w:p w:rsidR="00087ACF" w:rsidRPr="00FE2064" w:rsidP="00087ACF" w14:paraId="23575ACE" w14:textId="77777777">
      <w:pPr>
        <w:pStyle w:val="NormalHanging"/>
      </w:pPr>
      <w:r w:rsidRPr="00FE2064">
        <w:t>–</w:t>
      </w:r>
      <w:r w:rsidRPr="00FE2064">
        <w:tab/>
        <w:t xml:space="preserve">uwzględniając rozporządzenie Parlamentu Europejskiego i Rady (UE, </w:t>
      </w:r>
      <w:r w:rsidRPr="00FE2064">
        <w:t>Euratom</w:t>
      </w:r>
      <w:r w:rsidRPr="00FE2064">
        <w:t>) 2025/2445 z dnia 26 listopada 2025 r. w sprawie statusu i finansowania europejskich partii politycznych i europejskich fundacji politycznych</w:t>
      </w:r>
      <w:r>
        <w:rPr>
          <w:rStyle w:val="FootnoteReference"/>
        </w:rPr>
        <w:footnoteReference w:customMarkFollows="1" w:id="2"/>
        <w:t xml:space="preserve">1</w:t>
      </w:r>
      <w:r w:rsidRPr="00FE2064">
        <w:t xml:space="preserve"> (dalej „rozporządzenie”),</w:t>
      </w:r>
    </w:p>
    <w:p w:rsidR="00087ACF" w:rsidRPr="00FE2064" w:rsidP="00087ACF" w14:paraId="694352FF" w14:textId="77777777">
      <w:pPr>
        <w:pStyle w:val="NormalHanging"/>
      </w:pPr>
      <w:r w:rsidRPr="00FE2064">
        <w:t>–</w:t>
      </w:r>
      <w:r w:rsidRPr="00FE2064">
        <w:tab/>
        <w:t xml:space="preserve">uwzględniając rozporządzenie Parlamentu Europejskiego i Rady (UE, </w:t>
      </w:r>
      <w:r w:rsidRPr="00FE2064">
        <w:t>Euratom</w:t>
      </w:r>
      <w:r w:rsidRPr="00FE2064">
        <w:t>) 2024/2509 z dnia 23 września 2024 r. w sprawie zasad finansowych mających zastosowanie do budżetu ogólnego Unii</w:t>
      </w:r>
      <w:r>
        <w:rPr>
          <w:rStyle w:val="FootnoteReference"/>
        </w:rPr>
        <w:footnoteReference w:customMarkFollows="1" w:id="3"/>
        <w:t xml:space="preserve">2</w:t>
      </w:r>
      <w:r w:rsidRPr="00FE2064">
        <w:t xml:space="preserve"> (rozporządzenie finansowe),</w:t>
      </w:r>
    </w:p>
    <w:p w:rsidR="00087ACF" w:rsidRPr="00FE2064" w:rsidP="00087ACF" w14:paraId="56D3E963" w14:textId="03C9EF4B">
      <w:pPr>
        <w:pStyle w:val="NormalHanging"/>
      </w:pPr>
      <w:r w:rsidRPr="00FE2064">
        <w:t>–</w:t>
      </w:r>
      <w:r w:rsidRPr="00FE2064">
        <w:tab/>
        <w:t xml:space="preserve">uwzględniając swoją rezolucję z </w:t>
      </w:r>
      <w:r w:rsidRPr="00FE2064" w:rsidR="007D6717">
        <w:t xml:space="preserve">dnia </w:t>
      </w:r>
      <w:r w:rsidRPr="00FE2064">
        <w:t xml:space="preserve">11 listopada 2021 r. w sprawie stosowania rozporządzenia (UE, </w:t>
      </w:r>
      <w:r w:rsidRPr="00FE2064">
        <w:t>Euratom</w:t>
      </w:r>
      <w:r w:rsidRPr="00FE2064">
        <w:t>) nr 1141/2014 w sprawie statusu i finansowania europejskich partii politycznych i europejskich fundacji politycznych</w:t>
      </w:r>
      <w:r>
        <w:rPr>
          <w:rStyle w:val="FootnoteReference"/>
        </w:rPr>
        <w:footnoteReference w:customMarkFollows="1" w:id="4"/>
        <w:t xml:space="preserve">3</w:t>
      </w:r>
      <w:r w:rsidRPr="00FE2064">
        <w:t>,</w:t>
      </w:r>
    </w:p>
    <w:p w:rsidR="00087ACF" w:rsidRPr="00FE2064" w:rsidP="00087ACF" w14:paraId="1AAD5242" w14:textId="77777777">
      <w:pPr>
        <w:pStyle w:val="NormalHanging"/>
      </w:pPr>
      <w:r w:rsidRPr="00FE2064">
        <w:t>–</w:t>
      </w:r>
      <w:r w:rsidRPr="00FE2064">
        <w:tab/>
        <w:t>uwzględniając konsultacje z Urzędem ds. Europejskich Partii Politycznych i Europejskich Fundacji Politycznych (dalej „Urząd”) i jego roczne sprawozdania z działalności,</w:t>
      </w:r>
    </w:p>
    <w:p w:rsidR="00087ACF" w:rsidRPr="00FE2064" w:rsidP="00087ACF" w14:paraId="063978E9" w14:textId="77777777">
      <w:pPr>
        <w:pStyle w:val="NormalHanging"/>
      </w:pPr>
      <w:r w:rsidRPr="00FE2064">
        <w:t>–</w:t>
      </w:r>
      <w:r w:rsidRPr="00FE2064">
        <w:tab/>
        <w:t>uwzględniając wymianę poglądów z europejskimi fundacjami politycznymi i zainteresowanymi stronami instytucjonalnymi, która odbyła się 18 marca 2026 r. w Komisji Spraw Konstytucyjnych,</w:t>
      </w:r>
    </w:p>
    <w:p w:rsidR="00087ACF" w:rsidRPr="00FE2064" w:rsidP="00087ACF" w14:paraId="65E02855" w14:textId="77777777">
      <w:pPr>
        <w:pStyle w:val="NormalHanging"/>
      </w:pPr>
      <w:r w:rsidRPr="00FE2064">
        <w:t>–</w:t>
      </w:r>
      <w:r w:rsidRPr="00FE2064">
        <w:tab/>
        <w:t>uwzględniając art. 55 Regulaminu,</w:t>
      </w:r>
    </w:p>
    <w:p w:rsidR="00087ACF" w:rsidRPr="00FE2064" w:rsidP="00087ACF" w14:paraId="63782CBA" w14:textId="77777777">
      <w:pPr>
        <w:pStyle w:val="NormalHanging"/>
      </w:pPr>
      <w:r w:rsidRPr="00FE2064">
        <w:t>–</w:t>
      </w:r>
      <w:r w:rsidRPr="00FE2064">
        <w:tab/>
        <w:t>uwzględniając sprawozdanie Komisji Spraw Konstytucyjnych (A10-0145/2026),</w:t>
      </w:r>
    </w:p>
    <w:p w:rsidR="00087ACF" w:rsidRPr="00FE2064" w:rsidP="00087ACF" w14:paraId="1458D256" w14:textId="77777777">
      <w:pPr>
        <w:pStyle w:val="NormalHanging"/>
      </w:pPr>
      <w:r w:rsidRPr="00FE2064">
        <w:t>A.</w:t>
      </w:r>
      <w:r w:rsidRPr="00FE2064">
        <w:tab/>
        <w:t>mając na uwadze, że silne partie i fundacje polityczne na poziomie UE mają zasadnicze znaczenie dla rozwoju prawdziwie europejskiej sfery publicznej;</w:t>
      </w:r>
    </w:p>
    <w:p w:rsidR="00087ACF" w:rsidRPr="00FE2064" w:rsidP="00087ACF" w14:paraId="2E89DCE6" w14:textId="77777777">
      <w:pPr>
        <w:pStyle w:val="NormalHanging"/>
      </w:pPr>
      <w:r w:rsidRPr="00FE2064">
        <w:t>B.</w:t>
      </w:r>
      <w:r w:rsidRPr="00FE2064">
        <w:tab/>
        <w:t>mając na uwadze, że europejskie partie polityczne i europejskie fundacje polityczne powinny odgrywać bardziej centralną rolę w procesie wyborów europejskich i przyczyniać się do kształtowania unijnej świadomości politycznej i wyrażania woli obywateli UE; mając na uwadze, że różnorodność polityczna ma zasadnicze znaczenie dla debaty publicznej i dla wyrażania preferencji obywateli;</w:t>
      </w:r>
    </w:p>
    <w:p w:rsidR="00087ACF" w:rsidRPr="00FE2064" w:rsidP="00087ACF" w14:paraId="79EC2B1C" w14:textId="77777777">
      <w:pPr>
        <w:pStyle w:val="NormalHanging"/>
      </w:pPr>
      <w:r w:rsidRPr="00FE2064">
        <w:t>C.</w:t>
      </w:r>
      <w:r w:rsidRPr="00FE2064">
        <w:tab/>
        <w:t>mając na uwadze, że europejskie partie i fundacje polityczne powinny współpracować z należącymi do nich partiami i partnerami krajowymi, aby wspierać ich w zbliżaniu UE i jej polityki do obywateli oraz zwiększać legitymację demokratyczną;</w:t>
      </w:r>
    </w:p>
    <w:p w:rsidR="00087ACF" w:rsidRPr="00FE2064" w:rsidP="00087ACF" w14:paraId="743EBCEA" w14:textId="77777777">
      <w:pPr>
        <w:pStyle w:val="NormalHanging"/>
      </w:pPr>
      <w:r w:rsidRPr="00FE2064">
        <w:t>D.</w:t>
      </w:r>
      <w:r w:rsidRPr="00FE2064">
        <w:tab/>
        <w:t>mając na uwadze, że w 2025 r. w Urzędzie zarejestrowano dwie dodatkowe fundacje, co oznacza, że na dzień 31 grudnia 2025 r. z budżetu UE sfinansowano 12 europejskich partii politycznych i 12 powiązanych europejskich fundacji politycznych;</w:t>
      </w:r>
    </w:p>
    <w:p w:rsidR="00087ACF" w:rsidRPr="00FE2064" w:rsidP="00087ACF" w14:paraId="25E26501" w14:textId="77777777">
      <w:pPr>
        <w:pStyle w:val="NormalHanging"/>
      </w:pPr>
      <w:r w:rsidRPr="00FE2064">
        <w:t>E.</w:t>
      </w:r>
      <w:r w:rsidRPr="00FE2064">
        <w:tab/>
        <w:t>mając na uwadze, że przekształcone rozporządzenie weszło w życie 28 grudnia 2025 r. i wprowadziło szereg ważnych innowacji, w tym jaśniejsze przepisy dotyczące wspólnych europejskich działań politycznych, zwiększone obowiązki w dziedzinie przejrzystości i sprawozdawczości, zaostrzone wymogi dotyczące należytej staranności w odniesieniu do darowizn oraz wyraźne uznanie samodzielnie wygenerowanych zasobów za kategorię dochodów;</w:t>
      </w:r>
    </w:p>
    <w:p w:rsidR="00087ACF" w:rsidRPr="00FE2064" w:rsidP="00087ACF" w14:paraId="7949A4E9" w14:textId="77777777">
      <w:pPr>
        <w:pStyle w:val="NormalHanging"/>
      </w:pPr>
      <w:r w:rsidRPr="00FE2064">
        <w:t>F.</w:t>
      </w:r>
      <w:r w:rsidRPr="00FE2064">
        <w:tab/>
        <w:t>mając na uwadze, że rozporządzenie to obowiązuje jedynie od niedawna; mając na uwadze, że w związku z tym dane i doświadczenia związane z wykonaniem rozporządzenia są jak dotąd ograniczone; mając na uwadze, że kompleksowa ocena wdrożenia i skutków rozporządzenia wymaga wystarczającego czasu i dowodów; mając jednak na uwadze, że bezpośrednio po wejściu w życie rozporządzenia pojawiły się nieprzewidziane wyzwania polityczne, które wymagają pilnych działań, w szczególności w odniesieniu do finansowania fundacji politycznych;</w:t>
      </w:r>
    </w:p>
    <w:p w:rsidR="00087ACF" w:rsidRPr="00FE2064" w:rsidP="00087ACF" w14:paraId="19487EC6" w14:textId="77777777">
      <w:pPr>
        <w:pStyle w:val="NormalHanging"/>
      </w:pPr>
      <w:r w:rsidRPr="00FE2064">
        <w:t>G.</w:t>
      </w:r>
      <w:r w:rsidRPr="00FE2064">
        <w:tab/>
        <w:t>mając na uwadze, że zgodnie z przekształconym rozporządzeniem Parlament ma opublikować do 29 czerwca 2026 r. sprawozdanie na temat stosowania rozporządzenia i finansowanych działań; mając na uwadze, że po opublikowaniu sprawozdania Parlamentu Komisja będzie miała rok na przedstawienie sprawozdania ze stosowania rozporządzenia, w stosownych przypadkach wraz z wnioskiem dotyczącym jego zmiany;</w:t>
      </w:r>
    </w:p>
    <w:p w:rsidR="00087ACF" w:rsidRPr="00FE2064" w:rsidP="00087ACF" w14:paraId="0D343CC9" w14:textId="77777777">
      <w:pPr>
        <w:pStyle w:val="NormalHanging"/>
      </w:pPr>
      <w:r w:rsidRPr="00FE2064">
        <w:t>H.</w:t>
      </w:r>
      <w:r w:rsidRPr="00FE2064">
        <w:tab/>
        <w:t>mając na uwadze, że sprawozdanie Komisji powinno w szczególności uwzględnić skutki niniejszego rozporządzenia dla sytuacji małych europejskich partii politycznych i europejskich fundacji politycznych oraz dla przepisów regulujących finansowanie europejskich fundacji politycznych;</w:t>
      </w:r>
    </w:p>
    <w:p w:rsidR="00087ACF" w:rsidRPr="00FE2064" w:rsidP="00087ACF" w14:paraId="280CB01B" w14:textId="77777777">
      <w:pPr>
        <w:pStyle w:val="NormalHanging"/>
      </w:pPr>
      <w:r w:rsidRPr="00FE2064">
        <w:t>I.</w:t>
      </w:r>
      <w:r w:rsidRPr="00FE2064">
        <w:tab/>
        <w:t>mając na uwadze, że europejskie fundacje polityczne stanowią integralną część architektury demokratycznej UE, ponieważ wspierają debatę polityczną, rozwój polityki, badania naukowe, szkolenia i zaangażowanie obywatelskie na szczeblu unijnym i krajowym;</w:t>
      </w:r>
    </w:p>
    <w:p w:rsidR="00087ACF" w:rsidRPr="00FE2064" w:rsidP="00087ACF" w14:paraId="09CCC16C" w14:textId="77777777">
      <w:pPr>
        <w:pStyle w:val="NormalHanging"/>
      </w:pPr>
      <w:r w:rsidRPr="00FE2064">
        <w:t>J.</w:t>
      </w:r>
      <w:r w:rsidRPr="00FE2064">
        <w:tab/>
        <w:t>mając na uwadze, że mandat europejskich fundacji politycznych obejmuje podnoszenie świadomości politycznej na temat kwestii politycznych UE i procesu integracji europejskiej oraz wnoszenie wkładu w debatę na ten temat, a także świadczenie usług, które nie są skierowane wyłącznie do członków lub wyborców danej partii, ale są otwarte dla wszystkich na równych warunkach;</w:t>
      </w:r>
    </w:p>
    <w:p w:rsidR="00087ACF" w:rsidRPr="00FE2064" w:rsidP="00087ACF" w14:paraId="0F24F5E6" w14:textId="77777777">
      <w:pPr>
        <w:pStyle w:val="NormalHanging"/>
      </w:pPr>
      <w:r w:rsidRPr="00FE2064">
        <w:t>K.</w:t>
      </w:r>
      <w:r w:rsidRPr="00FE2064">
        <w:tab/>
        <w:t>mając na uwadze, że wdrażanie rozporządzenia odbywa się w kontekście głębokiej niestabilności geopolitycznej, charakteryzującej się zwiększoną konkurencją strategiczną, zagrożeniami hybrydowymi, dezinformacją, zakłóceniami technologicznymi, zmianą klimatu i długoterminowymi przemianami społeczno-gospodarczymi;</w:t>
      </w:r>
    </w:p>
    <w:p w:rsidR="00087ACF" w:rsidRPr="00FE2064" w:rsidP="00087ACF" w14:paraId="17FA2BBC" w14:textId="77777777">
      <w:pPr>
        <w:pStyle w:val="NormalHanging"/>
      </w:pPr>
      <w:r w:rsidRPr="00FE2064">
        <w:t>L.</w:t>
      </w:r>
      <w:r w:rsidRPr="00FE2064">
        <w:tab/>
        <w:t>mając na uwadze, że zmiany te wymagają od UE wzmocnienia jej zdolności w zakresie prognoz strategicznych, zarządzania antycypacyjnego i długoterminowego planowania polityki, aby skutecznie przygotować się na wyzwania w okresie do 2040 r. i później;</w:t>
      </w:r>
    </w:p>
    <w:p w:rsidR="00087ACF" w:rsidRPr="00FE2064" w:rsidP="00087ACF" w14:paraId="736C8118" w14:textId="77777777">
      <w:pPr>
        <w:pStyle w:val="NormalHanging"/>
      </w:pPr>
      <w:r w:rsidRPr="00FE2064">
        <w:t>M.</w:t>
      </w:r>
      <w:r w:rsidRPr="00FE2064">
        <w:tab/>
        <w:t>mając na uwadze, że europejskie fundacje polityczne mają wyjątkową możliwość wniesienia wkładu w te wysiłki poprzez długoterminowe badania, analizę porównawczą, dialog ponadnarodowy, edukację polityczną i budowanie zdolności;</w:t>
      </w:r>
    </w:p>
    <w:p w:rsidR="00087ACF" w:rsidRPr="00FE2064" w:rsidP="00087ACF" w14:paraId="24A15F98" w14:textId="77777777">
      <w:pPr>
        <w:pStyle w:val="NormalHanging"/>
      </w:pPr>
      <w:r w:rsidRPr="00FE2064">
        <w:t>N.</w:t>
      </w:r>
      <w:r w:rsidRPr="00FE2064">
        <w:tab/>
        <w:t>mając na uwadze, że obecny poziom i struktura finansowania UE dostępnego dla europejskich fundacji politycznych nie jest już współmierny do zakresu, znaczenia strategicznego i rosnącej złożoności ich zadań;</w:t>
      </w:r>
    </w:p>
    <w:p w:rsidR="00087ACF" w:rsidRPr="00FE2064" w:rsidP="00087ACF" w14:paraId="5DDD1705" w14:textId="77777777">
      <w:pPr>
        <w:pStyle w:val="NormalHanging"/>
      </w:pPr>
      <w:r w:rsidRPr="00FE2064">
        <w:t>O.</w:t>
      </w:r>
      <w:r w:rsidRPr="00FE2064">
        <w:tab/>
        <w:t>mając na uwadze, że fundacje polityczne zgłosiły nieproporcjonalne obciążenia regulacyjne i wezwały do uproszczenia wymogów regulacyjnych, zwłaszcza w odniesieniu do wymogów dotyczących sprawozdawczości i przejrzystości, a także do możliwości przywrócenia środków naprawczych niezbędnych do zapewnienia właściwego funkcjonowania procesu finansowania;</w:t>
      </w:r>
    </w:p>
    <w:p w:rsidR="00087ACF" w:rsidRPr="00FE2064" w:rsidP="00087ACF" w14:paraId="05C8FBA1" w14:textId="77777777">
      <w:pPr>
        <w:pStyle w:val="Normal12a"/>
      </w:pPr>
      <w:r w:rsidRPr="00FE2064">
        <w:rPr>
          <w:b/>
          <w:i/>
        </w:rPr>
        <w:t>Ogólna ocena przekształconego rozporządzenia</w:t>
      </w:r>
    </w:p>
    <w:p w:rsidR="00087ACF" w:rsidRPr="00FE2064" w:rsidP="00087ACF" w14:paraId="0A69F6AE" w14:textId="77777777">
      <w:pPr>
        <w:pStyle w:val="NormalHanging12a"/>
      </w:pPr>
      <w:r w:rsidRPr="00FE2064">
        <w:t>1.</w:t>
      </w:r>
      <w:r w:rsidRPr="00FE2064">
        <w:tab/>
        <w:t>z zadowoleniem przyjmuje przyjęcie przekształconego rozporządzenia jako ważny krok w kierunku modernizacji ram prawnych dla europejskich partii i fundacji politycznych oraz wzmocnienia integralności demokratycznej na szczeblu UE;</w:t>
      </w:r>
    </w:p>
    <w:p w:rsidR="00087ACF" w:rsidRPr="00FE2064" w:rsidP="00087ACF" w14:paraId="1E29249D" w14:textId="77777777">
      <w:pPr>
        <w:pStyle w:val="NormalHanging12a"/>
      </w:pPr>
      <w:r w:rsidRPr="00FE2064">
        <w:t>2.</w:t>
      </w:r>
      <w:r w:rsidRPr="00FE2064">
        <w:tab/>
        <w:t>zauważa, że rozporządzenie poprawiło jasność prawa w kilku obszarach, zwłaszcza w odniesieniu do wspólnych europejskich działań politycznych, wymogów przejrzystości i zabezpieczeń przed ingerencją zagraniczną;</w:t>
      </w:r>
    </w:p>
    <w:p w:rsidR="00087ACF" w:rsidRPr="00FE2064" w:rsidP="00087ACF" w14:paraId="2B6E65BE" w14:textId="77777777">
      <w:pPr>
        <w:pStyle w:val="NormalHanging12a"/>
      </w:pPr>
      <w:r w:rsidRPr="00FE2064">
        <w:t>3.</w:t>
      </w:r>
      <w:r w:rsidRPr="00FE2064">
        <w:tab/>
        <w:t>podkreśla jednak, że dotychczasowe doświadczenia i dane dotyczące wdrażania przekształconego rozporządzenia pozostają ograniczone oraz że bardziej dogłębną i horyzontalną ocenę można przeprowadzić dopiero na późniejszym etapie; zwraca uwagę, że nieprzewidziane wyzwania polityczne, które pojawiły się bezpośrednio po wejściu w życie rozporządzenia, w szczególności w odniesieniu do finansowania fundacji politycznych, wymagają niemniej pilnych działań;</w:t>
      </w:r>
    </w:p>
    <w:p w:rsidR="00087ACF" w:rsidRPr="00FE2064" w:rsidP="00087ACF" w14:paraId="4541E12C" w14:textId="77777777">
      <w:pPr>
        <w:pStyle w:val="NormalHanging12a"/>
      </w:pPr>
      <w:r w:rsidRPr="00FE2064">
        <w:t>4.</w:t>
      </w:r>
      <w:r w:rsidRPr="00FE2064">
        <w:tab/>
        <w:t>z zaniepokojeniem odnotowuje doniesienia fundacji o nieproporcjonalnym obciążeniu regulacyjnym i podejmuje się dalszego badania i śledzenia tej kwestii w ramach zbliżającej się systematycznej oceny; podkreśla w tym kontekście znaczenie skutecznych i proporcjonalnych środków naprawczych jako narzędzia zapewniającego zgodność z rozporządzeniem oraz przystąpi do przeglądu stosowania tych środków w niedawnej praktyce;</w:t>
      </w:r>
    </w:p>
    <w:p w:rsidR="00087ACF" w:rsidRPr="00FE2064" w:rsidP="00087ACF" w14:paraId="0B6822D7" w14:textId="77777777">
      <w:pPr>
        <w:pStyle w:val="NormalHanging12a"/>
      </w:pPr>
      <w:r w:rsidRPr="00FE2064">
        <w:t>5.</w:t>
      </w:r>
      <w:r w:rsidRPr="00FE2064">
        <w:tab/>
        <w:t>zwraca uwagę na niepewność prawa i ograniczenia operacyjne, z którymi nadal borykają się europejskie fundacje polityczne, w szczególności w odniesieniu do klasyfikacji kosztów kwalifikowalnych, i uważa, że kwestie te wymagają terminowego wyjaśnienia;</w:t>
      </w:r>
    </w:p>
    <w:p w:rsidR="00087ACF" w:rsidRPr="00FE2064" w:rsidP="00087ACF" w14:paraId="350D3B04" w14:textId="77777777">
      <w:pPr>
        <w:pStyle w:val="Normal12a"/>
      </w:pPr>
      <w:r w:rsidRPr="00FE2064">
        <w:rPr>
          <w:b/>
          <w:i/>
        </w:rPr>
        <w:t>Rola europejskich fundacji politycznych</w:t>
      </w:r>
    </w:p>
    <w:p w:rsidR="00087ACF" w:rsidRPr="00FE2064" w:rsidP="00087ACF" w14:paraId="579DE909" w14:textId="77777777">
      <w:pPr>
        <w:pStyle w:val="NormalHanging12a"/>
      </w:pPr>
      <w:r w:rsidRPr="00FE2064">
        <w:t>6.</w:t>
      </w:r>
      <w:r w:rsidRPr="00FE2064">
        <w:tab/>
        <w:t>przypomina, że europejskie fundacje polityczne pełnią odrębną rolę instytucjonalną na mocy traktatów, wspierając europejską świadomość polityczną, kształtowanie polityki w oparciu o dowody oraz wzmacniając kulturę demokratyczną i zaangażowanie obywatelskie w całej UE;</w:t>
      </w:r>
    </w:p>
    <w:p w:rsidR="00087ACF" w:rsidRPr="00FE2064" w:rsidP="00087ACF" w14:paraId="6001DD47" w14:textId="77777777">
      <w:pPr>
        <w:pStyle w:val="NormalHanging12a"/>
      </w:pPr>
      <w:r w:rsidRPr="00FE2064">
        <w:t>7.</w:t>
      </w:r>
      <w:r w:rsidRPr="00FE2064">
        <w:tab/>
        <w:t xml:space="preserve">zwraca uwagę na fakt, że otoczenie geopolityczne i technologiczne jest coraz bardziej niestabilne od czasu opublikowania wniosku Komisji z 2021 r. dotyczącego przekształcenia rozporządzenia (UE, </w:t>
      </w:r>
      <w:r w:rsidRPr="00FE2064">
        <w:t>Euratom</w:t>
      </w:r>
      <w:r w:rsidRPr="00FE2064">
        <w:t>) nr 1141/2014</w:t>
      </w:r>
      <w:r>
        <w:rPr>
          <w:rStyle w:val="FootnoteReference"/>
        </w:rPr>
        <w:footnoteReference w:customMarkFollows="1" w:id="5"/>
        <w:t xml:space="preserve">4</w:t>
      </w:r>
      <w:r w:rsidRPr="00FE2064">
        <w:t xml:space="preserve"> i charakteryzuje się zwiększonymi napięciami w zakresie bezpieczeństwa, zagraniczną ingerencją w procesy demokratyczne i przyspieszoną transformacją społeczno-gospodarczą; podkreśla, że zmiany te zwiększają znaczenie długoterminowego planowania polityki, edukacji demokratycznej i dialogu transgranicznego, do czego europejskie fundacje polityczne wnoszą szczególny wkład;</w:t>
      </w:r>
    </w:p>
    <w:p w:rsidR="00087ACF" w:rsidRPr="00FE2064" w:rsidP="00087ACF" w14:paraId="4292D2EC" w14:textId="77777777">
      <w:pPr>
        <w:pStyle w:val="NormalHanging12a"/>
      </w:pPr>
      <w:r w:rsidRPr="00FE2064">
        <w:t>8.</w:t>
      </w:r>
      <w:r w:rsidRPr="00FE2064">
        <w:tab/>
        <w:t>zauważa, że w związku z rozszerzaniem zakresu odpowiedzialności europejskie fundacje polityczne potrzebują niezbędnych narzędzi finansowych oraz odpowiednich i stabilnych zasobów, aby w pełni odgrywać swoją rolę instytucjonalną, w oparciu o ulepszenia wprowadzone rozporządzeniem;</w:t>
      </w:r>
    </w:p>
    <w:p w:rsidR="00087ACF" w:rsidRPr="00FE2064" w:rsidP="00087ACF" w14:paraId="15B27151" w14:textId="77777777">
      <w:pPr>
        <w:pStyle w:val="Normal12a"/>
      </w:pPr>
      <w:r w:rsidRPr="00FE2064">
        <w:rPr>
          <w:b/>
          <w:i/>
        </w:rPr>
        <w:t>Propozycje ulepszeń</w:t>
      </w:r>
    </w:p>
    <w:p w:rsidR="00087ACF" w:rsidRPr="00FE2064" w:rsidP="00087ACF" w14:paraId="79B1F222" w14:textId="77777777">
      <w:pPr>
        <w:pStyle w:val="NormalHanging12a"/>
      </w:pPr>
      <w:r w:rsidRPr="00FE2064">
        <w:t>9.</w:t>
      </w:r>
      <w:r w:rsidRPr="00FE2064">
        <w:tab/>
        <w:t>podkreśla potrzebę zapewnienia europejskim fundacjom politycznym solidnych ram prawnych i bezpieczeństwa finansowego; zobowiązuje się do współpracy z fundacjami w celu zapewnienia tego bezpieczeństwa w miarę możliwości w istniejących ramach, w szczególności poprzez przegląd sposobu, w jaki fundacje otrzymują wsparcie finansowe od swoich organizacji członkowskich; zwraca uwagę, że rozporządzenie nie zakazuje elastycznego i opartego na uczestnictwie modelu opłat członkowskich, za pośrednictwem którego organizacje członkowskie wnoszą wkład w zależności od stopnia swojego zaangażowania we wspólne działania; podkreśla, że same wspólne działania powinny pozostać neutralne dla budżetu i nie powinny generować dochodów dla fundacji przekraczających faktycznie poniesione koszty;</w:t>
      </w:r>
    </w:p>
    <w:p w:rsidR="00087ACF" w:rsidRPr="00FE2064" w:rsidP="00087ACF" w14:paraId="3AA30E05" w14:textId="77777777">
      <w:pPr>
        <w:pStyle w:val="NormalHanging12a"/>
      </w:pPr>
      <w:r w:rsidRPr="00FE2064">
        <w:t>10.</w:t>
      </w:r>
      <w:r w:rsidRPr="00FE2064">
        <w:tab/>
        <w:t>zachęca europejskie fundacje polityczne do maksymalizacji możliwości finansowych w istniejących ramach; podkreśla, że finansowanie europejskich fundacji politycznych z zasobów własnych europejskich partii politycznych jest obecnie dozwolone na mocy art. 2 ust. 10 obecnego rozporządzenia; wzywa zarówno europejskie partie polityczne, jak i fundacje do zawierania porozumień o współpracy, w ramach których fundacje są wynagradzane przez partie za ich wkład we wszelkie wspólne prace, z uwzględnieniem ich odrębnych ról wynikających z traktatów;</w:t>
      </w:r>
    </w:p>
    <w:p w:rsidR="00087ACF" w:rsidRPr="00FE2064" w:rsidP="00087ACF" w14:paraId="1C5D9F79" w14:textId="77777777">
      <w:pPr>
        <w:pStyle w:val="NormalHanging12a"/>
      </w:pPr>
      <w:r w:rsidRPr="00FE2064">
        <w:t>11.</w:t>
      </w:r>
      <w:r w:rsidRPr="00FE2064">
        <w:tab/>
        <w:t>podkreśla ponadto, że rozporządzenie nie zakazuje fundacjom krajowym innym niż fundacje polityczne przystępowania do europejskich fundacji politycznych i wnoszenia na ich rzecz składki członkowskiej;</w:t>
      </w:r>
    </w:p>
    <w:p w:rsidR="00087ACF" w:rsidRPr="00FE2064" w:rsidP="00087ACF" w14:paraId="4EBBADA3" w14:textId="77777777">
      <w:pPr>
        <w:pStyle w:val="NormalHanging12a"/>
      </w:pPr>
      <w:r w:rsidRPr="00FE2064">
        <w:t>12.</w:t>
      </w:r>
      <w:r w:rsidRPr="00FE2064">
        <w:tab/>
        <w:t>uważa, że można by doprecyzować art. 25 obecnego rozporządzenia, aby wyraźnie potwierdzić, że od organizacji członkowskich można pobierać opłaty za udział w działaniach organizowanych przez europejską fundację polityczną;</w:t>
      </w:r>
    </w:p>
    <w:p w:rsidR="00087ACF" w:rsidRPr="00FE2064" w:rsidP="00087ACF" w14:paraId="11012766" w14:textId="77777777">
      <w:pPr>
        <w:pStyle w:val="NormalHanging12a"/>
      </w:pPr>
      <w:r w:rsidRPr="00FE2064">
        <w:t>13.</w:t>
      </w:r>
      <w:r w:rsidRPr="00FE2064">
        <w:tab/>
        <w:t>zauważa, że ścisłe stosowanie definicji wkładów członkowskich, presja finansowa i administracyjna mająca na celu uzupełnienie dotacji z budżetu UE samodzielnie wygenerowanymi zasobami, zasady mające zastosowanie do wspólnej europejskiej działalności politycznej z fundacjami członkowskimi oraz ogólny poziom finansowania unijnego ograniczają autonomię finansową i stabilność europejskich fundacji politycznych, zwłaszcza w świetle ich rosnącej odpowiedzialności, oraz podkreśla, że zrównoważone ramy finansowania mają zasadnicze znaczenie dla zachowania ich niezależności i zapobiegania nadmiernym wpływom prywatnym;</w:t>
      </w:r>
    </w:p>
    <w:p w:rsidR="00087ACF" w:rsidRPr="00FE2064" w:rsidP="00087ACF" w14:paraId="74513E15" w14:textId="77777777">
      <w:pPr>
        <w:pStyle w:val="NormalHanging12a"/>
      </w:pPr>
      <w:r w:rsidRPr="00FE2064">
        <w:t>14.</w:t>
      </w:r>
      <w:r w:rsidRPr="00FE2064">
        <w:tab/>
        <w:t>podkreśla, że w ramach dywersyfikacji zasobów własnych europejskie fundacje polityczne mogą otrzymywać darowizny od osób fizycznych lub prawnych o wartości nie przekraczającej 18 000 EUR rocznie na darczyńcę; uważa, że można by zwiększyć pułap tych darowizn, aby zapewnić europejskim fundacjom politycznym większą elastyczność;</w:t>
      </w:r>
    </w:p>
    <w:p w:rsidR="00087ACF" w:rsidRPr="00FE2064" w:rsidP="00087ACF" w14:paraId="6BC79726" w14:textId="77777777">
      <w:pPr>
        <w:pStyle w:val="NormalHanging12a"/>
      </w:pPr>
      <w:r w:rsidRPr="00FE2064">
        <w:t>15.</w:t>
      </w:r>
      <w:r w:rsidRPr="00FE2064">
        <w:tab/>
        <w:t>zachęca Urząd, aby we współpracy z Komisją kontynuował i dalej rozwijał dialog z właściwymi organami krajowymi w celu podnoszenia świadomości na temat wpływu krajowych ram finansowania na funkcjonowanie europejskich fundacji politycznych oraz określenia praktycznych rozwiązań mających na celu uniknięcie niezamierzonych ograniczeń ich stabilności finansowej;</w:t>
      </w:r>
    </w:p>
    <w:p w:rsidR="00087ACF" w:rsidRPr="00FE2064" w:rsidP="00087ACF" w14:paraId="62FE7FD1" w14:textId="77777777">
      <w:pPr>
        <w:pStyle w:val="NormalHanging12a"/>
      </w:pPr>
      <w:r w:rsidRPr="00FE2064">
        <w:t>16.</w:t>
      </w:r>
      <w:r w:rsidRPr="00FE2064">
        <w:tab/>
        <w:t>proponuje ustanowienie jednolitego internetowego systemu sprawozdawczości i ujawniania informacji na temat finansowania unijnego, darowizn i wkładów na rzecz europejskich fundacji politycznych, aby zapewnić obywatelom odpowiedni poziom przejrzystości, poprawić monitorowanie przestrzegania przepisów oraz zmniejszyć obciążenia administracyjne i obciążeń związane z przestrzeganiem przepisów przez jednostki sprawozdawcze;</w:t>
      </w:r>
    </w:p>
    <w:p w:rsidR="00087ACF" w:rsidRPr="00FE2064" w:rsidP="00087ACF" w14:paraId="587A6E3C" w14:textId="77777777">
      <w:pPr>
        <w:pStyle w:val="NormalHanging12a"/>
      </w:pPr>
      <w:r w:rsidRPr="00FE2064">
        <w:t>17.</w:t>
      </w:r>
      <w:r w:rsidRPr="00FE2064">
        <w:tab/>
        <w:t>uznaje wysiłki europejskich fundacji politycznych na rzecz dywersyfikacji i stabilizacji źródeł finansowania w istniejących ramach regulacyjnych oraz zachęca do dalszego zrównoważonego i przejrzystego wykorzystywania dostępnych mechanizmów zasobów własnych;</w:t>
      </w:r>
    </w:p>
    <w:p w:rsidR="00087ACF" w:rsidRPr="00FE2064" w:rsidP="00087ACF" w14:paraId="6BE3D08E" w14:textId="77777777">
      <w:pPr>
        <w:pStyle w:val="Normal12a"/>
      </w:pPr>
      <w:r w:rsidRPr="00FE2064">
        <w:rPr>
          <w:b/>
          <w:i/>
        </w:rPr>
        <w:t>Uwagi końcowe</w:t>
      </w:r>
    </w:p>
    <w:p w:rsidR="00087ACF" w:rsidRPr="00FE2064" w:rsidP="00087ACF" w14:paraId="1DC4D2D8" w14:textId="77777777">
      <w:pPr>
        <w:pStyle w:val="NormalHanging12a"/>
      </w:pPr>
      <w:r w:rsidRPr="00FE2064">
        <w:t>18.</w:t>
      </w:r>
      <w:r w:rsidRPr="00FE2064">
        <w:tab/>
        <w:t>wzywa Komisję do przeprowadzenia ukierunkowanego przeglądu przepisów dotyczących finansowania mających zastosowanie do europejskich fundacji politycznych na mocy rozporządzenia, w oparciu o ustalenia zawarte w niniejszym sprawozdaniu oraz doświadczenia zdobyte od czasu wejścia w życie przekształconego rozporządzenia;</w:t>
      </w:r>
    </w:p>
    <w:p w:rsidR="00087ACF" w:rsidRPr="00FE2064" w:rsidP="00087ACF" w14:paraId="22D97AAB" w14:textId="77777777">
      <w:pPr>
        <w:pStyle w:val="NormalHanging12a"/>
      </w:pPr>
      <w:r w:rsidRPr="00FE2064">
        <w:t>19.</w:t>
      </w:r>
      <w:r w:rsidRPr="00FE2064">
        <w:tab/>
        <w:t>wzywa Komisję, aby zbadała, czy jakiekolwiek krajowe ramy regulacyjne lub polityczne zakazują lub utrudniają wpłacanie wkładów przez podmioty krajowe, w tym fundacje polityczne, na rzecz europejskich fundacji politycznych, oraz aby podjęła niezbędne działania następcze;</w:t>
      </w:r>
    </w:p>
    <w:p w:rsidR="00087ACF" w:rsidRPr="00FE2064" w:rsidP="00087ACF" w14:paraId="0C43AF91" w14:textId="77777777">
      <w:pPr>
        <w:pStyle w:val="NormalHanging12a"/>
      </w:pPr>
      <w:r w:rsidRPr="00FE2064">
        <w:t>20.</w:t>
      </w:r>
      <w:r w:rsidRPr="00FE2064">
        <w:tab/>
        <w:t>wzywa Komisję do przedstawienia przekształconego wniosku ustawodawczego zmieniającego zasady finansowania europejskich fundacji politycznych, w tym zmiany art. 22 ust. 4 rozporządzenia, aby zwiększyć pułap wkładów finansowych lub dotacji z budżetu ogólnego UE do 100 % kosztów kwalifikowalnych poniesionych przez europejską fundację polityczną; ponadto wzywa Komisję do uwzględnienia w niniejszym wniosku zmiany art. 25, aby zwiększyć pułap darowizn na rzecz europejskich fundacji politycznych, zapewniając w ten sposób większą elastyczność i dywersyfikację źródeł finansowania;</w:t>
      </w:r>
    </w:p>
    <w:p w:rsidR="00087ACF" w:rsidRPr="00FE2064" w:rsidP="00087ACF" w14:paraId="1BB2FF0E" w14:textId="77777777">
      <w:pPr>
        <w:pStyle w:val="NormalHanging12a"/>
      </w:pPr>
      <w:r w:rsidRPr="00FE2064">
        <w:t>21.</w:t>
      </w:r>
      <w:r w:rsidRPr="00FE2064">
        <w:tab/>
        <w:t>zobowiązuje się do zwiększenia ogólnego poziomu finansowania unijnego dla fundacji politycznych w przyszłych wieloletnich ramach finansowych na lata 2028–2034, uwzględnienia braku indeksacji budżetowej w ostatnich latach oraz wzrostu inflacji i zwiększających się kosztów operacyjnych, aby zapewnić odpowiednie, stabilne i przewidywalne zasoby finansowe, umożliwić fundacjom angażowanie się w długoterminowe prognozy strategiczne i działania w zakresie budowania zdolności, utrzymania wysokich standardów przejrzystości, rozliczalności i niezależności, a także zapewnić proporcjonalność między obowiązkami w zakresie zgodności a dostępnym finansowaniem;</w:t>
      </w:r>
    </w:p>
    <w:p w:rsidR="00087ACF" w:rsidRPr="00FE2064" w:rsidP="00087ACF" w14:paraId="3CEF8A76" w14:textId="77777777">
      <w:pPr>
        <w:pStyle w:val="NormalHanging12a"/>
      </w:pPr>
      <w:r w:rsidRPr="00FE2064">
        <w:t>22.</w:t>
      </w:r>
      <w:r w:rsidRPr="00FE2064">
        <w:tab/>
        <w:t>stwierdza, że zapewnienie europejskim fundacjom politycznym odpowiedniego finansowania stanowi strategiczną inwestycję w odporność demokratyczną UE i jej długoterminowe zdolności w zakresie sprawowania rządów;</w:t>
      </w:r>
    </w:p>
    <w:p w:rsidR="00087ACF" w:rsidRPr="00FE2064" w:rsidP="00087ACF" w14:paraId="4C9FAA8E" w14:textId="77777777">
      <w:pPr>
        <w:pStyle w:val="NormalCenter12a"/>
      </w:pPr>
      <w:r w:rsidRPr="00FE2064">
        <w:t>°</w:t>
      </w:r>
    </w:p>
    <w:p w:rsidR="00087ACF" w:rsidRPr="00FE2064" w:rsidP="00087ACF" w14:paraId="245EF3B0" w14:textId="77777777">
      <w:pPr>
        <w:pStyle w:val="NormalCenter12a"/>
      </w:pPr>
      <w:r w:rsidRPr="00FE2064">
        <w:t>°</w:t>
      </w:r>
      <w:r w:rsidRPr="00FE2064">
        <w:tab/>
        <w:t>°</w:t>
      </w:r>
    </w:p>
    <w:p w:rsidR="00FE2064" w:rsidRPr="00FE2064" w:rsidP="00FE2064" w14:paraId="69B76234" w14:textId="1A7340EE">
      <w:pPr>
        <w:pStyle w:val="NormalHanging12a"/>
      </w:pPr>
      <w:r w:rsidRPr="00FE2064">
        <w:t>23.</w:t>
      </w:r>
      <w:r w:rsidRPr="00FE2064">
        <w:tab/>
        <w:t>zobowiązuje swoją przewodniczącą do przekazania niniejszej rezolucji Radzie i Komisji.</w:t>
      </w:r>
    </w:p>
    <w:p w:rsidR="00E365E1" w:rsidRPr="00FE2064" w:rsidP="005F37F3" w14:paraId="147E7846" w14:textId="28DEC321"/>
    <w:sectPr w:rsidSect="00FE20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2064" w14:paraId="255A088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2064" w14:paraId="0B4E69F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2064" w14:paraId="03C112A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F37F3" w:rsidRPr="00FE2064" w14:paraId="27D8294C" w14:textId="77777777">
      <w:r w:rsidRPr="00FE2064">
        <w:separator/>
      </w:r>
    </w:p>
  </w:footnote>
  <w:footnote w:type="continuationSeparator" w:id="1">
    <w:p w:rsidR="005F37F3" w:rsidRPr="00FE2064" w14:paraId="7EBE6C90" w14:textId="77777777">
      <w:r w:rsidRPr="00FE2064">
        <w:continuationSeparator/>
      </w:r>
    </w:p>
  </w:footnote>
  <w:footnote w:id="2">
    <w:p w:rsidR="00087ACF" w:rsidRPr="001274A0" w:rsidP="00FE2064" w14:paraId="083BD0BC" w14:textId="5B53A571">
      <w:pPr>
        <w:pStyle w:val="FootnoteText"/>
        <w:ind w:left="567" w:hanging="567"/>
        <w:rPr>
          <w:sz w:val="24"/>
          <w:lang w:val="fi-FI"/>
        </w:rPr>
      </w:pPr>
      <w:r w:rsidRPr="001274A0">
        <w:rPr>
          <w:rStyle w:val="FootnoteReference"/>
          <w:sz w:val="24"/>
          <w:lang w:val="fi-FI"/>
        </w:rPr>
        <w:t>1</w:t>
      </w:r>
      <w:r w:rsidRPr="001274A0" w:rsidR="00FE2064">
        <w:rPr>
          <w:sz w:val="24"/>
          <w:lang w:val="fi-FI"/>
        </w:rPr>
        <w:t xml:space="preserve"> </w:t>
      </w:r>
      <w:r w:rsidRPr="001274A0" w:rsidR="00FE2064">
        <w:rPr>
          <w:sz w:val="24"/>
          <w:lang w:val="fi-FI"/>
        </w:rPr>
        <w:tab/>
      </w:r>
      <w:r w:rsidRPr="001274A0">
        <w:rPr>
          <w:sz w:val="24"/>
          <w:lang w:val="fi-FI"/>
        </w:rPr>
        <w:t>Dz.U</w:t>
      </w:r>
      <w:r w:rsidRPr="001274A0">
        <w:rPr>
          <w:sz w:val="24"/>
          <w:lang w:val="fi-FI"/>
        </w:rPr>
        <w:t xml:space="preserve">. L, 2025/2445, 8.12.2025, ELI: </w:t>
      </w:r>
      <w:hyperlink r:id="rId1" w:tgtFrame="http://data.europa.eu/eli/reg/2025/2445/oj" w:history="1">
        <w:r w:rsidRPr="001274A0">
          <w:rPr>
            <w:rStyle w:val="Hyperlink"/>
            <w:sz w:val="24"/>
            <w:lang w:val="fi-FI"/>
          </w:rPr>
          <w:t>http://data.europa.eu/eli/reg/2025/2445/oj</w:t>
        </w:r>
      </w:hyperlink>
      <w:r w:rsidRPr="001274A0">
        <w:rPr>
          <w:sz w:val="24"/>
          <w:lang w:val="fi-FI"/>
        </w:rPr>
        <w:t>.</w:t>
      </w:r>
    </w:p>
  </w:footnote>
  <w:footnote w:id="3">
    <w:p w:rsidR="00087ACF" w:rsidRPr="007D6717" w:rsidP="00FE2064" w14:paraId="79C364C1" w14:textId="3762C6E5">
      <w:pPr>
        <w:pStyle w:val="FootnoteText"/>
        <w:ind w:left="567" w:hanging="567"/>
        <w:rPr>
          <w:sz w:val="24"/>
          <w:lang w:val="fi-FI"/>
        </w:rPr>
      </w:pPr>
      <w:r w:rsidRPr="007D6717">
        <w:rPr>
          <w:rStyle w:val="FootnoteReference"/>
          <w:sz w:val="24"/>
          <w:lang w:val="fi-FI"/>
        </w:rPr>
        <w:t>2</w:t>
      </w:r>
      <w:r w:rsidRPr="007D6717" w:rsidR="00FE2064">
        <w:rPr>
          <w:sz w:val="24"/>
          <w:lang w:val="fi-FI"/>
        </w:rPr>
        <w:t xml:space="preserve"> </w:t>
      </w:r>
      <w:r w:rsidRPr="007D6717" w:rsidR="00FE2064">
        <w:rPr>
          <w:sz w:val="24"/>
          <w:lang w:val="fi-FI"/>
        </w:rPr>
        <w:tab/>
      </w:r>
      <w:r w:rsidRPr="007D6717">
        <w:rPr>
          <w:sz w:val="24"/>
          <w:lang w:val="fi-FI"/>
        </w:rPr>
        <w:t>Dz.U</w:t>
      </w:r>
      <w:r w:rsidRPr="007D6717">
        <w:rPr>
          <w:sz w:val="24"/>
          <w:lang w:val="fi-FI"/>
        </w:rPr>
        <w:t xml:space="preserve">. L, 2024/2509, 26.9.2024, ELI: </w:t>
      </w:r>
      <w:hyperlink r:id="rId2" w:tgtFrame="http://data.europa.eu/eli/reg/2024/2509/oj" w:history="1">
        <w:r w:rsidRPr="007D6717">
          <w:rPr>
            <w:rStyle w:val="Hyperlink"/>
            <w:sz w:val="24"/>
            <w:lang w:val="fi-FI"/>
          </w:rPr>
          <w:t>http://data.europa.eu/eli/reg/2024/2509/oj</w:t>
        </w:r>
      </w:hyperlink>
      <w:r w:rsidRPr="007D6717">
        <w:rPr>
          <w:sz w:val="24"/>
          <w:lang w:val="fi-FI"/>
        </w:rPr>
        <w:t>.</w:t>
      </w:r>
    </w:p>
  </w:footnote>
  <w:footnote w:id="4">
    <w:p w:rsidR="00087ACF" w:rsidRPr="00FE2064" w:rsidP="00FE2064" w14:paraId="57FD439C" w14:textId="02115B00">
      <w:pPr>
        <w:pStyle w:val="FootnoteText"/>
        <w:ind w:left="567" w:hanging="567"/>
        <w:rPr>
          <w:sz w:val="24"/>
          <w:lang w:val="pl-PL"/>
        </w:rPr>
      </w:pPr>
      <w:r w:rsidRPr="00FE2064">
        <w:rPr>
          <w:rStyle w:val="FootnoteReference"/>
          <w:sz w:val="24"/>
          <w:lang w:val="pl-PL"/>
        </w:rPr>
        <w:t>3</w:t>
      </w:r>
      <w:r w:rsidRPr="00FE2064" w:rsidR="00FE2064">
        <w:rPr>
          <w:sz w:val="24"/>
          <w:lang w:val="pl-PL"/>
        </w:rPr>
        <w:t xml:space="preserve"> </w:t>
      </w:r>
      <w:r w:rsidRPr="00FE2064" w:rsidR="00FE2064">
        <w:rPr>
          <w:sz w:val="24"/>
          <w:lang w:val="pl-PL"/>
        </w:rPr>
        <w:tab/>
      </w:r>
      <w:r w:rsidRPr="00FE2064">
        <w:rPr>
          <w:sz w:val="24"/>
          <w:lang w:val="pl-PL"/>
        </w:rPr>
        <w:t>Dz.U. C 205 z </w:t>
      </w:r>
      <w:r w:rsidRPr="00FE2064">
        <w:rPr>
          <w:sz w:val="24"/>
          <w:lang w:val="pl-PL"/>
        </w:rPr>
        <w:t>20.5.2022</w:t>
      </w:r>
      <w:r w:rsidRPr="00FE2064">
        <w:rPr>
          <w:sz w:val="24"/>
          <w:lang w:val="pl-PL"/>
        </w:rPr>
        <w:t>, s. 37.</w:t>
      </w:r>
    </w:p>
  </w:footnote>
  <w:footnote w:id="5">
    <w:p w:rsidR="00087ACF" w:rsidRPr="00FE2064" w:rsidP="00FE2064" w14:paraId="2A17AF7C" w14:textId="629FA25C">
      <w:pPr>
        <w:pStyle w:val="FootnoteText"/>
        <w:ind w:left="567" w:hanging="567"/>
        <w:rPr>
          <w:sz w:val="24"/>
          <w:lang w:val="pl-PL"/>
        </w:rPr>
      </w:pPr>
      <w:r w:rsidRPr="00FE2064">
        <w:rPr>
          <w:rStyle w:val="FootnoteReference"/>
          <w:sz w:val="24"/>
          <w:lang w:val="pl-PL"/>
        </w:rPr>
        <w:t>4</w:t>
      </w:r>
      <w:r w:rsidRPr="00FE2064" w:rsidR="00FE2064">
        <w:rPr>
          <w:sz w:val="24"/>
          <w:lang w:val="pl-PL"/>
        </w:rPr>
        <w:t xml:space="preserve"> </w:t>
      </w:r>
      <w:r w:rsidRPr="00FE2064" w:rsidR="00FE2064">
        <w:rPr>
          <w:sz w:val="24"/>
          <w:lang w:val="pl-PL"/>
        </w:rPr>
        <w:tab/>
      </w:r>
      <w:r w:rsidRPr="00FE2064">
        <w:rPr>
          <w:sz w:val="24"/>
          <w:lang w:val="pl-PL"/>
        </w:rPr>
        <w:t xml:space="preserve">Wniosek Komisji z </w:t>
      </w:r>
      <w:r w:rsidRPr="001274A0" w:rsidR="007D6717">
        <w:rPr>
          <w:lang w:val="pl-PL"/>
        </w:rPr>
        <w:t xml:space="preserve">dnia </w:t>
      </w:r>
      <w:r w:rsidRPr="00FE2064">
        <w:rPr>
          <w:sz w:val="24"/>
          <w:lang w:val="pl-PL"/>
        </w:rPr>
        <w:t>25 listopada 2021 r. dotyczący rozporządzenia Parlamentu Europejskiego i Rady w sprawie statutu i finansowania europejskich partii politycznych i europejskich fundacji politycznych (przekształcenie</w:t>
      </w:r>
      <w:r w:rsidRPr="00FE2064">
        <w:rPr>
          <w:sz w:val="24"/>
          <w:lang w:val="pl-PL"/>
        </w:rPr>
        <w:t>),(</w:t>
      </w:r>
      <w:r w:rsidRPr="00FE2064">
        <w:rPr>
          <w:sz w:val="24"/>
          <w:lang w:val="pl-PL"/>
        </w:rPr>
        <w:t>COM(2021)0734).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2064" w14:paraId="4B9C4FA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2064" w14:paraId="43F4B2B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E2064" w14:paraId="5267446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82636616">
    <w:abstractNumId w:val="9"/>
  </w:num>
  <w:num w:numId="2" w16cid:durableId="23756765">
    <w:abstractNumId w:val="9"/>
  </w:num>
  <w:num w:numId="3" w16cid:durableId="1349789648">
    <w:abstractNumId w:val="7"/>
  </w:num>
  <w:num w:numId="4" w16cid:durableId="1559240837">
    <w:abstractNumId w:val="7"/>
  </w:num>
  <w:num w:numId="5" w16cid:durableId="1134830964">
    <w:abstractNumId w:val="6"/>
  </w:num>
  <w:num w:numId="6" w16cid:durableId="1470785001">
    <w:abstractNumId w:val="6"/>
  </w:num>
  <w:num w:numId="7" w16cid:durableId="441342619">
    <w:abstractNumId w:val="5"/>
  </w:num>
  <w:num w:numId="8" w16cid:durableId="716390222">
    <w:abstractNumId w:val="5"/>
  </w:num>
  <w:num w:numId="9" w16cid:durableId="1942251494">
    <w:abstractNumId w:val="4"/>
  </w:num>
  <w:num w:numId="10" w16cid:durableId="1403796286">
    <w:abstractNumId w:val="4"/>
  </w:num>
  <w:num w:numId="11" w16cid:durableId="1576234820">
    <w:abstractNumId w:val="8"/>
  </w:num>
  <w:num w:numId="12" w16cid:durableId="1672680488">
    <w:abstractNumId w:val="8"/>
  </w:num>
  <w:num w:numId="13" w16cid:durableId="725450236">
    <w:abstractNumId w:val="3"/>
  </w:num>
  <w:num w:numId="14" w16cid:durableId="471404219">
    <w:abstractNumId w:val="3"/>
  </w:num>
  <w:num w:numId="15" w16cid:durableId="64692339">
    <w:abstractNumId w:val="2"/>
  </w:num>
  <w:num w:numId="16" w16cid:durableId="1793790991">
    <w:abstractNumId w:val="2"/>
  </w:num>
  <w:num w:numId="17" w16cid:durableId="353305454">
    <w:abstractNumId w:val="1"/>
  </w:num>
  <w:num w:numId="18" w16cid:durableId="1999646841">
    <w:abstractNumId w:val="1"/>
  </w:num>
  <w:num w:numId="19" w16cid:durableId="629366330">
    <w:abstractNumId w:val="0"/>
  </w:num>
  <w:num w:numId="20" w16cid:durableId="2132554674">
    <w:abstractNumId w:val="0"/>
  </w:num>
  <w:num w:numId="21" w16cid:durableId="855002352">
    <w:abstractNumId w:val="9"/>
  </w:num>
  <w:num w:numId="22" w16cid:durableId="404106840">
    <w:abstractNumId w:val="7"/>
  </w:num>
  <w:num w:numId="23" w16cid:durableId="1967734115">
    <w:abstractNumId w:val="6"/>
  </w:num>
  <w:num w:numId="24" w16cid:durableId="2041777432">
    <w:abstractNumId w:val="5"/>
  </w:num>
  <w:num w:numId="25" w16cid:durableId="2088335558">
    <w:abstractNumId w:val="4"/>
  </w:num>
  <w:num w:numId="26" w16cid:durableId="1659722758">
    <w:abstractNumId w:val="8"/>
  </w:num>
  <w:num w:numId="27" w16cid:durableId="911045499">
    <w:abstractNumId w:val="3"/>
  </w:num>
  <w:num w:numId="28" w16cid:durableId="275717045">
    <w:abstractNumId w:val="2"/>
  </w:num>
  <w:num w:numId="29" w16cid:durableId="1652295141">
    <w:abstractNumId w:val="1"/>
  </w:num>
  <w:num w:numId="30" w16cid:durableId="2003577653">
    <w:abstractNumId w:val="0"/>
  </w:num>
  <w:num w:numId="31" w16cid:durableId="42601334">
    <w:abstractNumId w:val="9"/>
  </w:num>
  <w:num w:numId="32" w16cid:durableId="301084670">
    <w:abstractNumId w:val="7"/>
  </w:num>
  <w:num w:numId="33" w16cid:durableId="1918251090">
    <w:abstractNumId w:val="6"/>
  </w:num>
  <w:num w:numId="34" w16cid:durableId="679936309">
    <w:abstractNumId w:val="5"/>
  </w:num>
  <w:num w:numId="35" w16cid:durableId="2087990810">
    <w:abstractNumId w:val="4"/>
  </w:num>
  <w:num w:numId="36" w16cid:durableId="212624817">
    <w:abstractNumId w:val="8"/>
  </w:num>
  <w:num w:numId="37" w16cid:durableId="464664595">
    <w:abstractNumId w:val="3"/>
  </w:num>
  <w:num w:numId="38" w16cid:durableId="901863538">
    <w:abstractNumId w:val="2"/>
  </w:num>
  <w:num w:numId="39" w16cid:durableId="349184274">
    <w:abstractNumId w:val="1"/>
  </w:num>
  <w:num w:numId="40" w16cid:durableId="1133401348">
    <w:abstractNumId w:val="0"/>
  </w:num>
  <w:num w:numId="41" w16cid:durableId="234358368">
    <w:abstractNumId w:val="10"/>
  </w:num>
  <w:num w:numId="42" w16cid:durableId="765541401">
    <w:abstractNumId w:val="10"/>
  </w:num>
  <w:num w:numId="43" w16cid:durableId="1139348349">
    <w:abstractNumId w:val="10"/>
  </w:num>
  <w:num w:numId="44" w16cid:durableId="10783572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7F3"/>
    <w:rsid w:val="00002272"/>
    <w:rsid w:val="00064002"/>
    <w:rsid w:val="000677B9"/>
    <w:rsid w:val="000831BA"/>
    <w:rsid w:val="00087ACF"/>
    <w:rsid w:val="000A42CC"/>
    <w:rsid w:val="000E7DD9"/>
    <w:rsid w:val="0010095E"/>
    <w:rsid w:val="00125B37"/>
    <w:rsid w:val="001274A0"/>
    <w:rsid w:val="00187494"/>
    <w:rsid w:val="00192A3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37F3"/>
    <w:rsid w:val="006037C0"/>
    <w:rsid w:val="006631B6"/>
    <w:rsid w:val="00680577"/>
    <w:rsid w:val="006F0A3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717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43EE"/>
    <w:rsid w:val="00AF3B82"/>
    <w:rsid w:val="00B12E95"/>
    <w:rsid w:val="00B22876"/>
    <w:rsid w:val="00B558F0"/>
    <w:rsid w:val="00B92269"/>
    <w:rsid w:val="00BB218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0B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064"/>
  </w:rsids>
  <w:docVars>
    <w:docVar w:name="dvdocse" w:val="A10-0145/2026"/>
    <w:docVar w:name="dvlangue" w:val="PL"/>
    <w:docVar w:name="dvnumam" w:val="0"/>
    <w:docVar w:name="dvpe" w:val="784.388"/>
    <w:docVar w:name="dvrapporteur" w:val="Sprawozdawca: "/>
    <w:docVar w:name="dvtitre" w:val="Rezolucja Parlamentu Europejskiego z dnia  2026 r. Europejskie partie i fundacje polityczne – sprawozdanie 2026 w sprawie stosowania rozporządzenia (UE, Euratom) 2025/2445 i finansowanych działań(2026/2013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A513BB3"/>
  <w15:chartTrackingRefBased/>
  <w15:docId w15:val="{57B9DE92-9065-47B3-93C1-ED342E6A7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087ACF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087AC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087ACF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087ACF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087ACF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087ACF"/>
    <w:rPr>
      <w:color w:val="0000FF"/>
      <w:u w:val="single"/>
    </w:rPr>
  </w:style>
  <w:style w:type="paragraph" w:styleId="Revision">
    <w:name w:val="Revision"/>
    <w:hidden/>
    <w:uiPriority w:val="99"/>
    <w:semiHidden/>
    <w:rsid w:val="007D6717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5/2445/oj" TargetMode="External" /><Relationship Id="rId2" Type="http://schemas.openxmlformats.org/officeDocument/2006/relationships/hyperlink" Target="http://data.europa.eu/eli/reg/2024/250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1876</Words>
  <Characters>13507</Characters>
  <Application>Microsoft Office Word</Application>
  <DocSecurity>0</DocSecurity>
  <Lines>112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2026-06-16T11:03:00Z</dcterms:created>
  <dcterms:modified xsi:type="dcterms:W3CDTF">2026-06-16T11:03:00Z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A10-0145/2026</vt:lpwstr>
  </property>
  <property fmtid="{D5CDD505-2E9C-101B-9397-08002B2CF9AE}" pid="4" name="&lt;Type&gt;">
    <vt:lpwstr>RR</vt:lpwstr>
  </property>
</Properties>
</file>