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7300AC7" w14:textId="77777777" w:rsidTr="0010095E">
        <w:tblPrEx>
          <w:tblW w:w="9072" w:type="dxa"/>
          <w:tblLook w:val="01E0"/>
        </w:tblPrEx>
        <w:trPr>
          <w:trHeight w:hRule="exact" w:val="1418"/>
        </w:trPr>
        <w:tc>
          <w:tcPr>
            <w:tcW w:w="6804" w:type="dxa"/>
            <w:shd w:val="clear" w:color="auto" w:fill="auto"/>
            <w:vAlign w:val="center"/>
          </w:tcPr>
          <w:p w:rsidR="00751A4A" w:rsidRPr="009057C3" w:rsidP="0010095E" w14:paraId="1F726F12" w14:textId="77777777">
            <w:pPr>
              <w:pStyle w:val="EPName"/>
            </w:pPr>
            <w:r w:rsidRPr="009057C3">
              <w:t>Parlamentul European</w:t>
            </w:r>
          </w:p>
          <w:p w:rsidR="00751A4A" w:rsidRPr="009057C3" w:rsidP="005F1B17" w14:paraId="041BCB00" w14:textId="77777777">
            <w:pPr>
              <w:pStyle w:val="EPTerm"/>
              <w:rPr>
                <w:rStyle w:val="HideTWBExt"/>
                <w:noProof w:val="0"/>
                <w:vanish w:val="0"/>
                <w:color w:val="auto"/>
              </w:rPr>
            </w:pPr>
            <w:r w:rsidRPr="009057C3">
              <w:t>2024</w:t>
            </w:r>
            <w:r w:rsidRPr="009057C3" w:rsidR="00817416">
              <w:t>-202</w:t>
            </w:r>
            <w:r w:rsidRPr="009057C3">
              <w:t>9</w:t>
            </w:r>
          </w:p>
        </w:tc>
        <w:tc>
          <w:tcPr>
            <w:tcW w:w="2268" w:type="dxa"/>
            <w:shd w:val="clear" w:color="auto" w:fill="auto"/>
          </w:tcPr>
          <w:p w:rsidR="00751A4A" w:rsidRPr="009057C3" w:rsidP="0010095E" w14:paraId="39478116" w14:textId="77777777">
            <w:pPr>
              <w:pStyle w:val="EPLogo"/>
            </w:pPr>
            <w:r w:rsidRPr="009057C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057C3" w:rsidP="004C5D52" w14:paraId="591A2957" w14:textId="77777777">
      <w:pPr>
        <w:pStyle w:val="LineTop"/>
      </w:pPr>
    </w:p>
    <w:p w:rsidR="00680577" w:rsidRPr="009057C3" w:rsidP="00680577" w14:paraId="5BB0DF85" w14:textId="77777777">
      <w:pPr>
        <w:pStyle w:val="EPBodyTA1"/>
      </w:pPr>
      <w:r w:rsidRPr="009057C3">
        <w:t>TEXTE ADOPTATE</w:t>
      </w:r>
    </w:p>
    <w:p w:rsidR="00D058B8" w:rsidRPr="009057C3" w:rsidP="00D058B8" w14:paraId="2B7BE741" w14:textId="77777777">
      <w:pPr>
        <w:pStyle w:val="LineBottom"/>
      </w:pPr>
    </w:p>
    <w:p w:rsidR="00F337A1" w:rsidRPr="009057C3" w:rsidP="00F337A1" w14:paraId="4B637EB5" w14:textId="03A719F4">
      <w:pPr>
        <w:pStyle w:val="ATHeading1"/>
      </w:pPr>
      <w:bookmarkStart w:id="0" w:name="TANumber"/>
      <w:r w:rsidRPr="009057C3">
        <w:t>P10_TA(2026)0</w:t>
      </w:r>
      <w:bookmarkEnd w:id="0"/>
      <w:r w:rsidRPr="009057C3" w:rsidR="00700651">
        <w:t>202</w:t>
      </w:r>
    </w:p>
    <w:p w:rsidR="00F337A1" w:rsidRPr="009057C3" w:rsidP="00F337A1" w14:paraId="4300B447" w14:textId="77777777">
      <w:pPr>
        <w:pStyle w:val="ATHeading2"/>
      </w:pPr>
      <w:bookmarkStart w:id="1" w:name="title"/>
      <w:r w:rsidRPr="009057C3">
        <w:t>Partidele și fundațiile politice europene – Raportul din 2026 privind aplicarea Regulamentului (UE, Euratom) 2025/2445 și activitățile finanțate</w:t>
      </w:r>
      <w:bookmarkEnd w:id="1"/>
    </w:p>
    <w:p w:rsidR="00F337A1" w:rsidRPr="009057C3" w:rsidP="00F337A1" w14:paraId="0D10EF6C" w14:textId="77777777">
      <w:pPr>
        <w:rPr>
          <w:i/>
          <w:vanish/>
        </w:rPr>
      </w:pPr>
      <w:r>
        <w:rPr>
          <w:i/>
        </w:rPr>
        <w:fldChar w:fldCharType="begin"/>
      </w:r>
      <w:r w:rsidRPr="009057C3">
        <w:rPr>
          <w:i/>
        </w:rPr>
        <w:instrText xml:space="preserve"> TC"(</w:instrText>
      </w:r>
      <w:bookmarkStart w:id="2" w:name="DocNumber"/>
      <w:r w:rsidRPr="009057C3">
        <w:rPr>
          <w:i/>
        </w:rPr>
        <w:instrText>A10-0145/2026</w:instrText>
      </w:r>
      <w:bookmarkEnd w:id="2"/>
      <w:r w:rsidRPr="009057C3">
        <w:rPr>
          <w:i/>
        </w:rPr>
        <w:instrText xml:space="preserve"> - Raportori: Loránt Vincze, Charles Goerens)"\l3 \n&gt; \* MERGEFORMAT </w:instrText>
      </w:r>
      <w:r>
        <w:rPr>
          <w:i/>
        </w:rPr>
        <w:fldChar w:fldCharType="end"/>
      </w:r>
    </w:p>
    <w:p w:rsidR="00F337A1" w:rsidRPr="009057C3" w:rsidP="00F337A1" w14:paraId="5DBDBDBA" w14:textId="77777777">
      <w:pPr>
        <w:rPr>
          <w:vanish/>
        </w:rPr>
      </w:pPr>
      <w:bookmarkStart w:id="3" w:name="Commission"/>
      <w:r w:rsidRPr="009057C3">
        <w:rPr>
          <w:vanish/>
        </w:rPr>
        <w:t>Comisia pentru afaceri constituționale</w:t>
      </w:r>
      <w:bookmarkEnd w:id="3"/>
    </w:p>
    <w:p w:rsidR="00F337A1" w:rsidRPr="009057C3" w:rsidP="00F337A1" w14:paraId="53246AF3" w14:textId="77777777">
      <w:pPr>
        <w:rPr>
          <w:vanish/>
        </w:rPr>
      </w:pPr>
      <w:bookmarkStart w:id="4" w:name="PE"/>
      <w:r w:rsidRPr="009057C3">
        <w:rPr>
          <w:vanish/>
        </w:rPr>
        <w:t>PE784.388</w:t>
      </w:r>
      <w:bookmarkEnd w:id="4"/>
    </w:p>
    <w:p w:rsidR="00F337A1" w:rsidRPr="009057C3" w:rsidP="002F3CCB" w14:paraId="3727D913" w14:textId="25E584B7">
      <w:pPr>
        <w:pStyle w:val="ATHeading3"/>
        <w:spacing w:after="480"/>
      </w:pPr>
      <w:bookmarkStart w:id="5" w:name="Sujet"/>
      <w:r w:rsidRPr="009057C3">
        <w:t xml:space="preserve">Rezoluția Parlamentului European din 16 iunie 2026 </w:t>
      </w:r>
      <w:r w:rsidR="00E924DA">
        <w:t>referitoare la p</w:t>
      </w:r>
      <w:r w:rsidRPr="009057C3">
        <w:t>artidele și fundațiile politice europene – Raportul din 2026 privind aplicarea Regulamentului (UE, Euratom) 2025/2445 și activitățile finanțate</w:t>
      </w:r>
      <w:bookmarkEnd w:id="5"/>
      <w:r w:rsidRPr="009057C3">
        <w:t xml:space="preserve"> </w:t>
      </w:r>
      <w:bookmarkStart w:id="6" w:name="References"/>
      <w:r w:rsidRPr="009057C3">
        <w:t>(2026/2013(INI))</w:t>
      </w:r>
      <w:bookmarkEnd w:id="6"/>
    </w:p>
    <w:p w:rsidR="00D85A55" w:rsidRPr="009057C3" w:rsidP="00D85A55" w14:paraId="7929287E" w14:textId="77777777">
      <w:pPr>
        <w:pStyle w:val="Normal12"/>
      </w:pPr>
      <w:r w:rsidRPr="009057C3">
        <w:t>Parlamentul European,</w:t>
      </w:r>
    </w:p>
    <w:p w:rsidR="00D85A55" w:rsidRPr="009057C3" w:rsidP="00D85A55" w14:paraId="3B0375AB" w14:textId="77777777">
      <w:pPr>
        <w:pStyle w:val="NormalHanging"/>
      </w:pPr>
      <w:r w:rsidRPr="009057C3">
        <w:t>–</w:t>
      </w:r>
      <w:r w:rsidRPr="009057C3">
        <w:tab/>
        <w:t>având în vedere articolele 2 și 10 alineatul (4) din Tratatul privind Uniunea Europeană și articolul 12 alineatul (2) din Carta drepturilor fundamentale a Uniunii Europene,</w:t>
      </w:r>
    </w:p>
    <w:p w:rsidR="00D85A55" w:rsidRPr="009057C3" w:rsidP="00D85A55" w14:paraId="0EC5E4EF" w14:textId="77777777">
      <w:pPr>
        <w:pStyle w:val="NormalHanging"/>
      </w:pPr>
      <w:r w:rsidRPr="009057C3">
        <w:t>–</w:t>
      </w:r>
      <w:r w:rsidRPr="009057C3">
        <w:tab/>
        <w:t>având în vedere articolele 224 și 325 din Tratatul privind funcționarea Uniunii Europene,</w:t>
      </w:r>
    </w:p>
    <w:p w:rsidR="00D85A55" w:rsidRPr="009057C3" w:rsidP="00D85A55" w14:paraId="58EC670F" w14:textId="77777777">
      <w:pPr>
        <w:pStyle w:val="NormalHanging"/>
      </w:pPr>
      <w:r w:rsidRPr="009057C3">
        <w:t>–</w:t>
      </w:r>
      <w:r w:rsidRPr="009057C3">
        <w:tab/>
        <w:t>având în vedere Regulamentul (UE, Euratom) 2025/2445 al Parlamentului European și al Consiliului din 26 noiembrie 2025 privind statutul și finanțarea partidelor politice europene și a fundațiilor politice europene</w:t>
      </w:r>
      <w:r>
        <w:rPr>
          <w:rStyle w:val="FootnoteReference"/>
        </w:rPr>
        <w:footnoteReference w:customMarkFollows="1" w:id="2"/>
        <w:t xml:space="preserve">1</w:t>
      </w:r>
      <w:r w:rsidRPr="009057C3">
        <w:t xml:space="preserve"> (denumit în continuare „Regulamentul”),</w:t>
      </w:r>
    </w:p>
    <w:p w:rsidR="00D85A55" w:rsidRPr="009057C3" w:rsidP="00D85A55" w14:paraId="003A9A2C" w14:textId="77777777">
      <w:pPr>
        <w:pStyle w:val="NormalHanging"/>
      </w:pPr>
      <w:r w:rsidRPr="009057C3">
        <w:t>–</w:t>
      </w:r>
      <w:r w:rsidRPr="009057C3">
        <w:tab/>
        <w:t>având în vedere Regulamentul (UE, Euratom) 2024/2509 al Parlamentului European și al Consiliului din 23 septembrie 2024 privind normele financiare aplicabile bugetului general al Uniunii</w:t>
      </w:r>
      <w:r>
        <w:rPr>
          <w:rStyle w:val="FootnoteReference"/>
        </w:rPr>
        <w:footnoteReference w:customMarkFollows="1" w:id="3"/>
        <w:t xml:space="preserve">2</w:t>
      </w:r>
      <w:r w:rsidRPr="009057C3">
        <w:t xml:space="preserve"> (Regulamentul financiar),</w:t>
      </w:r>
    </w:p>
    <w:p w:rsidR="00D85A55" w:rsidRPr="009057C3" w:rsidP="00D85A55" w14:paraId="633936CA" w14:textId="77777777">
      <w:pPr>
        <w:pStyle w:val="NormalHanging"/>
      </w:pPr>
      <w:r w:rsidRPr="009057C3">
        <w:t>–</w:t>
      </w:r>
      <w:r w:rsidRPr="009057C3">
        <w:tab/>
        <w:t>având în vedere rezoluția sa din 11 noiembrie 2021 referitoare la aplicarea Regulamentului (UE, Euratom) nr. 1141/2014 privind statutul și finanțarea partidelor politice europene și a fundațiilor politice europene</w:t>
      </w:r>
      <w:r>
        <w:rPr>
          <w:rStyle w:val="FootnoteReference"/>
        </w:rPr>
        <w:footnoteReference w:customMarkFollows="1" w:id="4"/>
        <w:t xml:space="preserve">3</w:t>
      </w:r>
      <w:r w:rsidRPr="009057C3">
        <w:t>,</w:t>
      </w:r>
    </w:p>
    <w:p w:rsidR="00D85A55" w:rsidRPr="009057C3" w:rsidP="00D85A55" w14:paraId="24F7D50D" w14:textId="77777777">
      <w:pPr>
        <w:pStyle w:val="NormalHanging"/>
      </w:pPr>
      <w:r w:rsidRPr="009057C3">
        <w:t>–</w:t>
      </w:r>
      <w:r w:rsidRPr="009057C3">
        <w:tab/>
        <w:t>având în vedere consultările cu Autoritatea pentru partidele politice europene și fundațiile politice europene (denumită în continuare „Autoritatea”) și rapoartele sale anuale de activitate,</w:t>
      </w:r>
    </w:p>
    <w:p w:rsidR="00D85A55" w:rsidRPr="009057C3" w:rsidP="00D85A55" w14:paraId="52B52AA3" w14:textId="77777777">
      <w:pPr>
        <w:pStyle w:val="NormalHanging"/>
      </w:pPr>
      <w:r w:rsidRPr="009057C3">
        <w:t>–</w:t>
      </w:r>
      <w:r w:rsidRPr="009057C3">
        <w:tab/>
        <w:t>având în vedere schimbul de opinii cu fundațiile politice europene și cu părțile interesate instituționale din 18 martie 2026, organizat de Comisia pentru afaceri constituționale,</w:t>
      </w:r>
    </w:p>
    <w:p w:rsidR="00D85A55" w:rsidRPr="009057C3" w:rsidP="00D85A55" w14:paraId="0B31A408" w14:textId="77777777">
      <w:pPr>
        <w:pStyle w:val="NormalHanging"/>
      </w:pPr>
      <w:r w:rsidRPr="009057C3">
        <w:t>–</w:t>
      </w:r>
      <w:r w:rsidRPr="009057C3">
        <w:tab/>
        <w:t>având în vedere articolul 55 din Regulamentul său de procedură,</w:t>
      </w:r>
    </w:p>
    <w:p w:rsidR="00D85A55" w:rsidRPr="009057C3" w:rsidP="00D85A55" w14:paraId="0A6E8134" w14:textId="77777777">
      <w:pPr>
        <w:pStyle w:val="NormalHanging"/>
      </w:pPr>
      <w:r w:rsidRPr="009057C3">
        <w:t>–</w:t>
      </w:r>
      <w:r w:rsidRPr="009057C3">
        <w:tab/>
        <w:t>având în vedere raportul Comisiei pentru afaceri constituționale (A10-0145/2026),</w:t>
      </w:r>
    </w:p>
    <w:p w:rsidR="00D85A55" w:rsidRPr="009057C3" w:rsidP="00D85A55" w14:paraId="4C5F6781" w14:textId="77777777">
      <w:pPr>
        <w:pStyle w:val="NormalHanging"/>
      </w:pPr>
      <w:r w:rsidRPr="009057C3">
        <w:t>A.</w:t>
      </w:r>
      <w:r w:rsidRPr="009057C3">
        <w:tab/>
        <w:t>întrucât partidele și fundațiile politice puternice la nivelul UE sunt esențiale pentru dezvoltarea unei sfere publice cu adevărat europene;</w:t>
      </w:r>
    </w:p>
    <w:p w:rsidR="00D85A55" w:rsidRPr="009057C3" w:rsidP="00D85A55" w14:paraId="0312A1E0" w14:textId="77777777">
      <w:pPr>
        <w:pStyle w:val="NormalHanging"/>
      </w:pPr>
      <w:r w:rsidRPr="009057C3">
        <w:t>B.</w:t>
      </w:r>
      <w:r w:rsidRPr="009057C3">
        <w:tab/>
        <w:t>întrucât partidele politice europene și fundațiile politice europene ar trebui să joace un rol mai important în procesul electoral european și să contribuie la formarea conștiinței politice a UE și la exprimarea voinței cetățenilor UE; întrucât diversitatea politică este esențială pentru discursul public și pentru exprimarea alegerilor cetățenilor;</w:t>
      </w:r>
    </w:p>
    <w:p w:rsidR="00D85A55" w:rsidRPr="009057C3" w:rsidP="00D85A55" w14:paraId="7CD8B1F6" w14:textId="77777777">
      <w:pPr>
        <w:pStyle w:val="NormalHanging"/>
      </w:pPr>
      <w:r w:rsidRPr="009057C3">
        <w:t>C.</w:t>
      </w:r>
      <w:r w:rsidRPr="009057C3">
        <w:tab/>
        <w:t>întrucât partidele și fundațiile politice europene ar trebui să coopereze cu partidele lor naționale membre și partenerii lor naționali, pentru a le sprijini în aducerea UE și a politicilor sale mai aproape de cetățeni și pentru a consolida legitimitatea democratică;</w:t>
      </w:r>
    </w:p>
    <w:p w:rsidR="00D85A55" w:rsidRPr="009057C3" w:rsidP="00D85A55" w14:paraId="2030354A" w14:textId="77777777">
      <w:pPr>
        <w:pStyle w:val="NormalHanging"/>
      </w:pPr>
      <w:r w:rsidRPr="009057C3">
        <w:t>D.</w:t>
      </w:r>
      <w:r w:rsidRPr="009057C3">
        <w:tab/>
        <w:t>întrucât, în 2025, alte două fundații au fost înregistrate la Autoritate, ceea ce înseamnă că, începând din 31 decembrie 2025, 12 partide politice europene și 12 fundații politice europene afiliate au fost finanțate din bugetul UE;</w:t>
      </w:r>
    </w:p>
    <w:p w:rsidR="00D85A55" w:rsidRPr="009057C3" w:rsidP="00D85A55" w14:paraId="7479194B" w14:textId="77777777">
      <w:pPr>
        <w:pStyle w:val="NormalHanging"/>
      </w:pPr>
      <w:r w:rsidRPr="009057C3">
        <w:t>E.</w:t>
      </w:r>
      <w:r w:rsidRPr="009057C3">
        <w:tab/>
        <w:t>întrucât regulamentul reformat a intrat în vigoare la 28 decembrie 2025 și a introdus o serie de inovații importante, inclusiv norme mai clare privind activitățile politice europene comune, obligații crescute de transparență și de informare, cerințe consolidate privind obligația de diligență pentru donații și recunoașterea explicită a resurselor autogenerate ca o categorie de venituri;</w:t>
      </w:r>
    </w:p>
    <w:p w:rsidR="00D85A55" w:rsidRPr="009057C3" w:rsidP="00D85A55" w14:paraId="64CC420A" w14:textId="77777777">
      <w:pPr>
        <w:pStyle w:val="NormalHanging"/>
      </w:pPr>
      <w:r w:rsidRPr="009057C3">
        <w:t>F.</w:t>
      </w:r>
      <w:r w:rsidRPr="009057C3">
        <w:tab/>
        <w:t>întrucât regulamentul este în vigoare doar de puțin timp; întrucât, în consecință, datele și experiența privind punerea în aplicare a regulamentului sunt încă limitate; întrucât o evaluare cuprinzătoare a punerii în aplicare și a impactului regulamentului necesită timp și dovezi suficiente; întrucât, cu toate acestea, în perioada imediat următoare intrării în vigoare a regulamentului au apărut provocări politice neprevăzute, în special în ceea ce privește finanțarea fundațiilor politice, care necesită măsuri urgente;</w:t>
      </w:r>
    </w:p>
    <w:p w:rsidR="00D85A55" w:rsidRPr="009057C3" w:rsidP="00D85A55" w14:paraId="0B0E53C6" w14:textId="77777777">
      <w:pPr>
        <w:pStyle w:val="NormalHanging"/>
      </w:pPr>
      <w:r w:rsidRPr="009057C3">
        <w:t>G.</w:t>
      </w:r>
      <w:r w:rsidRPr="009057C3">
        <w:tab/>
        <w:t>întrucât, în conformitate cu regulamentul reformat, Parlamentul urmează să publice, până la 29 iunie 2026, un raport privind aplicarea regulamentului și activitățile finanțate; întrucât, în urma publicării raportului Parlamentului, Comisia va avea la dispoziție un an pentru a prezenta un raport privind aplicarea regulamentului, însoțit, dacă este cazul, de o propunere de modificare a acestuia;</w:t>
      </w:r>
    </w:p>
    <w:p w:rsidR="00D85A55" w:rsidRPr="009057C3" w:rsidP="00D85A55" w14:paraId="3FB09A1D" w14:textId="77777777">
      <w:pPr>
        <w:pStyle w:val="NormalHanging"/>
      </w:pPr>
      <w:r w:rsidRPr="009057C3">
        <w:t>H.</w:t>
      </w:r>
      <w:r w:rsidRPr="009057C3">
        <w:tab/>
        <w:t>întrucât raportul Comisiei ar trebui să acorde o atenție deosebită implicațiilor regulamentului asupra situației micilor partide politice și fundații politice europene și asupra normelor care reglementează finanțarea fundațiilor politice europene;</w:t>
      </w:r>
    </w:p>
    <w:p w:rsidR="00D85A55" w:rsidRPr="009057C3" w:rsidP="00D85A55" w14:paraId="75151370" w14:textId="77777777">
      <w:pPr>
        <w:pStyle w:val="NormalHanging"/>
      </w:pPr>
      <w:r w:rsidRPr="009057C3">
        <w:t>I.</w:t>
      </w:r>
      <w:r w:rsidRPr="009057C3">
        <w:tab/>
        <w:t>întrucât fundațiile politice europene constituie o parte integrantă a arhitecturii democratice a UE prin sprijinirea dezbaterii politice, a elaborării de politici, a cercetării, a formării și a implicării civice la nivelul UE și la nivel național;</w:t>
      </w:r>
    </w:p>
    <w:p w:rsidR="00D85A55" w:rsidRPr="009057C3" w:rsidP="00D85A55" w14:paraId="4497A5C6" w14:textId="77777777">
      <w:pPr>
        <w:pStyle w:val="NormalHanging"/>
      </w:pPr>
      <w:r w:rsidRPr="009057C3">
        <w:t>J.</w:t>
      </w:r>
      <w:r w:rsidRPr="009057C3">
        <w:tab/>
        <w:t>întrucât mandatul fundațiilor politice europene include sensibilizarea politică și contribuția la dezbaterea privind chestiunile de politică ale UE și procesul de integrare europeană, precum și furnizarea de servicii care nu sunt destinate exclusiv membrilor sau alegătorilor unui anumit partid, ci sunt deschise tuturor în condiții de egalitate;</w:t>
      </w:r>
    </w:p>
    <w:p w:rsidR="00D85A55" w:rsidRPr="009057C3" w:rsidP="00D85A55" w14:paraId="08BF80F6" w14:textId="77777777">
      <w:pPr>
        <w:pStyle w:val="NormalHanging"/>
      </w:pPr>
      <w:r w:rsidRPr="009057C3">
        <w:t>K.</w:t>
      </w:r>
      <w:r w:rsidRPr="009057C3">
        <w:tab/>
        <w:t>întrucât punerea în aplicare a regulamentului are loc într-un context de instabilitate geopolitică profundă, caracterizată de creșterea concurenței strategice, amenințări hibride, dezinformare, perturbări tehnologice, schimbări climatice și transformări socioeconomice pe termen lung;</w:t>
      </w:r>
    </w:p>
    <w:p w:rsidR="00D85A55" w:rsidRPr="009057C3" w:rsidP="00D85A55" w14:paraId="35C323A7" w14:textId="77777777">
      <w:pPr>
        <w:pStyle w:val="NormalHanging"/>
      </w:pPr>
      <w:r w:rsidRPr="009057C3">
        <w:t>L.</w:t>
      </w:r>
      <w:r w:rsidRPr="009057C3">
        <w:tab/>
        <w:t>întrucât aceste evoluții impun UE să își consolideze capacitatea de analiză prospectivă strategică, de guvernare anticipativă și de planificare a politicilor pe termen lung, pentru a se pregăti în mod eficace pentru provocările din perioada până la 2040 și ulterior;</w:t>
      </w:r>
    </w:p>
    <w:p w:rsidR="00D85A55" w:rsidRPr="009057C3" w:rsidP="00D85A55" w14:paraId="1A3B7FAF" w14:textId="77777777">
      <w:pPr>
        <w:pStyle w:val="NormalHanging"/>
      </w:pPr>
      <w:r w:rsidRPr="009057C3">
        <w:t>M.</w:t>
      </w:r>
      <w:r w:rsidRPr="009057C3">
        <w:tab/>
        <w:t>întrucât fundațiile politice europene se află într-o poziție unică pentru a contribui la acest efort prin cercetare pe termen lung, analiză comparativă, dialog transnațional, educație politică și consolidarea capacităților;</w:t>
      </w:r>
    </w:p>
    <w:p w:rsidR="00D85A55" w:rsidRPr="009057C3" w:rsidP="00D85A55" w14:paraId="779E1105" w14:textId="77777777">
      <w:pPr>
        <w:pStyle w:val="NormalHanging"/>
      </w:pPr>
      <w:r w:rsidRPr="009057C3">
        <w:t>N.</w:t>
      </w:r>
      <w:r w:rsidRPr="009057C3">
        <w:tab/>
        <w:t>întrucât nivelul și structura actuală a finanțării UE disponibile pentru fundațiile politice europene nu mai sunt proporționale cu domeniul de aplicare, relevanța strategică și complexitatea tot mai mare a sarcinilor lor;</w:t>
      </w:r>
    </w:p>
    <w:p w:rsidR="00D85A55" w:rsidRPr="009057C3" w:rsidP="00D85A55" w14:paraId="05FFF2B8" w14:textId="77777777">
      <w:pPr>
        <w:pStyle w:val="NormalHanging"/>
      </w:pPr>
      <w:r w:rsidRPr="009057C3">
        <w:t>O.</w:t>
      </w:r>
      <w:r w:rsidRPr="009057C3">
        <w:tab/>
        <w:t>întrucât fundațiile politice au raportat o sarcină de reglementare disproporționată și au solicitat simplificarea cerințelor de reglementare, în special în ceea ce privește obligațiile de raportare și transparență, precum și posibilitatea de a reinstitui măsurile corective necesare pentru a asigura buna funcționare a procesului de finanțare,</w:t>
      </w:r>
    </w:p>
    <w:p w:rsidR="00D85A55" w:rsidRPr="009057C3" w:rsidP="00D85A55" w14:paraId="470F20BC" w14:textId="77777777">
      <w:pPr>
        <w:pStyle w:val="Normal12a"/>
      </w:pPr>
      <w:r w:rsidRPr="009057C3">
        <w:rPr>
          <w:b/>
          <w:i/>
        </w:rPr>
        <w:t>Evaluarea generală a regulamentului reformat</w:t>
      </w:r>
    </w:p>
    <w:p w:rsidR="00D85A55" w:rsidRPr="009057C3" w:rsidP="00D85A55" w14:paraId="2A67A65D" w14:textId="77777777">
      <w:pPr>
        <w:pStyle w:val="NormalHanging12a"/>
      </w:pPr>
      <w:r w:rsidRPr="009057C3">
        <w:t>1.</w:t>
      </w:r>
      <w:r w:rsidRPr="009057C3">
        <w:tab/>
        <w:t>salută adoptarea regulamentului reformat ca un pas important în direcția modernizării cadrului juridic pentru partidele și fundațiile politice europene și a consolidării integrității democratice la nivelul UE;</w:t>
      </w:r>
    </w:p>
    <w:p w:rsidR="00D85A55" w:rsidRPr="009057C3" w:rsidP="00D85A55" w14:paraId="6565FDFF" w14:textId="77777777">
      <w:pPr>
        <w:pStyle w:val="NormalHanging12a"/>
      </w:pPr>
      <w:r w:rsidRPr="009057C3">
        <w:t>2.</w:t>
      </w:r>
      <w:r w:rsidRPr="009057C3">
        <w:tab/>
        <w:t>observă că regulamentul a îmbunătățit claritatea juridică în mai multe domenii, în special în ceea ce privește activitățile politice europene comune, cerințele de transparență și garanțiile împotriva ingerințelor străine;</w:t>
      </w:r>
    </w:p>
    <w:p w:rsidR="00D85A55" w:rsidRPr="009057C3" w:rsidP="00D85A55" w14:paraId="14CE1307" w14:textId="77777777">
      <w:pPr>
        <w:pStyle w:val="NormalHanging12a"/>
      </w:pPr>
      <w:r w:rsidRPr="009057C3">
        <w:t>3.</w:t>
      </w:r>
      <w:r w:rsidRPr="009057C3">
        <w:tab/>
        <w:t>subliniază, cu toate acestea, că, până în prezent, experiența și datele privind punerea în aplicare a regulamentului reformat rămân limitate și că o evaluare mai aprofundată și orizontală poate fi efectuată numai într-o etapă ulterioară; evidențiază că provocările politice neprevăzute apărute imediat după intrarea în vigoare a regulamentului, în special în ceea ce privește finanțarea fundațiilor politice, necesită totuși măsuri urgente;</w:t>
      </w:r>
    </w:p>
    <w:p w:rsidR="00D85A55" w:rsidRPr="009057C3" w:rsidP="00D85A55" w14:paraId="40BCC2E4" w14:textId="77777777">
      <w:pPr>
        <w:pStyle w:val="NormalHanging12a"/>
      </w:pPr>
      <w:r w:rsidRPr="009057C3">
        <w:t>4.</w:t>
      </w:r>
      <w:r w:rsidRPr="009057C3">
        <w:tab/>
        <w:t>ia act cu îngrijorare de rapoartele fundațiilor privind sarcina disproporțională de reglementare și se angajează să investigheze mai în detaliu și să urmărească această chestiune în cadrul viitoarei sale evaluări sistematice; subliniază, în acest context, importanța unor măsuri corective eficace și proporționale ca instrument de asigurare a conformității cu regulamentul și se angajează să revizuiască utilizarea acestor măsuri în practica recentă;</w:t>
      </w:r>
    </w:p>
    <w:p w:rsidR="00D85A55" w:rsidRPr="009057C3" w:rsidP="00D85A55" w14:paraId="248D8C62" w14:textId="77777777">
      <w:pPr>
        <w:pStyle w:val="NormalHanging12a"/>
      </w:pPr>
      <w:r w:rsidRPr="009057C3">
        <w:t>5.</w:t>
      </w:r>
      <w:r w:rsidRPr="009057C3">
        <w:tab/>
        <w:t>ia act de insecuritatea juridică și de constrângerile operaționale cu care se confruntă în continuare fundațiile politice europene, în special în ceea ce privește clasificarea costurilor admisibile, și consideră că aceste aspecte trebuie clarificate în timp util;</w:t>
      </w:r>
    </w:p>
    <w:p w:rsidR="00D85A55" w:rsidRPr="009057C3" w:rsidP="00D85A55" w14:paraId="654F4020" w14:textId="77777777">
      <w:pPr>
        <w:pStyle w:val="Normal12a"/>
      </w:pPr>
      <w:r w:rsidRPr="009057C3">
        <w:rPr>
          <w:b/>
          <w:i/>
        </w:rPr>
        <w:t>Rolul fundațiilor politice europene</w:t>
      </w:r>
    </w:p>
    <w:p w:rsidR="00D85A55" w:rsidRPr="009057C3" w:rsidP="00D85A55" w14:paraId="2C5BF221" w14:textId="77777777">
      <w:pPr>
        <w:pStyle w:val="NormalHanging12a"/>
      </w:pPr>
      <w:r w:rsidRPr="009057C3">
        <w:t>6.</w:t>
      </w:r>
      <w:r w:rsidRPr="009057C3">
        <w:tab/>
        <w:t>reiterează că fundațiile politice europene îndeplinesc un rol instituțional distinct în temeiul tratatelor, promovând conștiința politică europeană, sprijinind elaborarea de politici bazate pe date concrete și consolidând cultura democratică și angajamentul civic în întreaga UE;</w:t>
      </w:r>
    </w:p>
    <w:p w:rsidR="00D85A55" w:rsidRPr="009057C3" w:rsidP="00D85A55" w14:paraId="5E64A20B" w14:textId="77777777">
      <w:pPr>
        <w:pStyle w:val="NormalHanging12a"/>
      </w:pPr>
      <w:r w:rsidRPr="009057C3">
        <w:t>7.</w:t>
      </w:r>
      <w:r w:rsidRPr="009057C3">
        <w:tab/>
        <w:t>atrage atenția asupra faptului că mediul geopolitic și tehnologic a devenit din ce în ce mai volatil de la publicarea propunerii Comisiei din 2021 de reformare a Regulamentului (UE, Euratom) nr. 1141/2014</w:t>
      </w:r>
      <w:r>
        <w:rPr>
          <w:rStyle w:val="FootnoteReference"/>
        </w:rPr>
        <w:footnoteReference w:customMarkFollows="1" w:id="5"/>
        <w:t xml:space="preserve">4</w:t>
      </w:r>
      <w:r w:rsidRPr="009057C3">
        <w:t xml:space="preserve"> și este marcat de tensiuni sporite în materie de securitate, de ingerințe străine în procesele democratice și de o transformare socioeconomică accelerată; subliniază că aceste evoluții consolidează importanța planificării politicilor pe termen lung, a educației democratice și a dialogului transfrontalier, la care fundațiile politice europene aduc o contribuție specială;</w:t>
      </w:r>
    </w:p>
    <w:p w:rsidR="00D85A55" w:rsidRPr="009057C3" w:rsidP="00D85A55" w14:paraId="55A979D4" w14:textId="77777777">
      <w:pPr>
        <w:pStyle w:val="NormalHanging12a"/>
      </w:pPr>
      <w:r w:rsidRPr="009057C3">
        <w:t>8.</w:t>
      </w:r>
      <w:r w:rsidRPr="009057C3">
        <w:tab/>
        <w:t>observă că, având în vedere responsabilitățile lor tot mai mari, fundațiile politice europene au nevoie de instrumentele financiare necesare și de resurse adecvate și stabile pentru a-și asuma pe deplin rolul instituțional, pe baza îmbunătățirilor introduse de regulament;</w:t>
      </w:r>
    </w:p>
    <w:p w:rsidR="00D85A55" w:rsidRPr="009057C3" w:rsidP="00D85A55" w14:paraId="61B3A131" w14:textId="77777777">
      <w:pPr>
        <w:pStyle w:val="Normal12a"/>
      </w:pPr>
      <w:r w:rsidRPr="009057C3">
        <w:rPr>
          <w:b/>
          <w:i/>
        </w:rPr>
        <w:t>Propuneri de remediere</w:t>
      </w:r>
    </w:p>
    <w:p w:rsidR="00D85A55" w:rsidRPr="009057C3" w:rsidP="00D85A55" w14:paraId="433BB336" w14:textId="77777777">
      <w:pPr>
        <w:pStyle w:val="NormalHanging12a"/>
      </w:pPr>
      <w:r w:rsidRPr="009057C3">
        <w:t>9.</w:t>
      </w:r>
      <w:r w:rsidRPr="009057C3">
        <w:tab/>
        <w:t>subliniază necesitatea de a se asigura că fundațiile politice europene beneficiază de un cadru juridic solid și de securitate financiară; se angajează să colaboreze cu fundațiile pentru a asigura această securitate în măsura posibilului în cadrul existent, în special printr-o revizuire a modului în care fundațiile sunt sprijinite financiar de organizațiile lor membre; subliniază că regulamentul nu interzice un model de cotizație de membru flexibil și bazat pe participare, prin care organizațiile membre contribuie în funcție de nivelul lor de implicare în activități comune; subliniază că activitățile comune în sine ar trebui să rămână neutre din punct de vedere bugetar și nu ar trebui să genereze venituri pentru fundații care să depășească costurile reale suportate;</w:t>
      </w:r>
    </w:p>
    <w:p w:rsidR="00D85A55" w:rsidRPr="009057C3" w:rsidP="00D85A55" w14:paraId="6456F35C" w14:textId="77777777">
      <w:pPr>
        <w:pStyle w:val="NormalHanging12a"/>
      </w:pPr>
      <w:r w:rsidRPr="009057C3">
        <w:t>10.</w:t>
      </w:r>
      <w:r w:rsidRPr="009057C3">
        <w:tab/>
        <w:t>încurajează fundațiile politice europene să valorifice la maximum posibilitățile financiare oferite de cadrul existent; subliniază că finanțarea fundațiilor politice europene cu propriile resurse ale partidelor politice europene este permisă în prezent de articolul 2 alineatul (10) din prezentul regulament; sugerează atât partidelor politice, cât și fundațiilor europene să încheie acorduri de cooperare prin care fundațiile să fie despăgubite de către partide pentru contribuția lor la activități comune, luând în considerare respectivele lor roluri distincte prevăzute în tratate;</w:t>
      </w:r>
    </w:p>
    <w:p w:rsidR="00D85A55" w:rsidRPr="009057C3" w:rsidP="00D85A55" w14:paraId="76C2FAF8" w14:textId="77777777">
      <w:pPr>
        <w:pStyle w:val="NormalHanging12a"/>
      </w:pPr>
      <w:r w:rsidRPr="009057C3">
        <w:t>11.</w:t>
      </w:r>
      <w:r w:rsidRPr="009057C3">
        <w:tab/>
        <w:t>subliniază, în continuare, că regulamentul nu interzice fundațiilor naționale, altele decât cele politice, să devină membre și să plătească o cotizație fundațiilor politice europene;</w:t>
      </w:r>
    </w:p>
    <w:p w:rsidR="00D85A55" w:rsidRPr="009057C3" w:rsidP="00D85A55" w14:paraId="3122E12C" w14:textId="77777777">
      <w:pPr>
        <w:pStyle w:val="NormalHanging12a"/>
      </w:pPr>
      <w:r w:rsidRPr="009057C3">
        <w:t>12.</w:t>
      </w:r>
      <w:r w:rsidRPr="009057C3">
        <w:tab/>
        <w:t>consideră că articolul 25 din prezentul regulament ar putea fi clarificat astfel încât să confirme explicit că se pot percepe taxe de la organizațiile membre pentru implicarea lor în activități organizate de o fundație politică europeană;</w:t>
      </w:r>
    </w:p>
    <w:p w:rsidR="00D85A55" w:rsidRPr="009057C3" w:rsidP="00D85A55" w14:paraId="2225302D" w14:textId="77777777">
      <w:pPr>
        <w:pStyle w:val="NormalHanging12a"/>
      </w:pPr>
      <w:r w:rsidRPr="009057C3">
        <w:t>13.</w:t>
      </w:r>
      <w:r w:rsidRPr="009057C3">
        <w:tab/>
        <w:t xml:space="preserve">constată că o aplicare strictă a definiției contribuțiilor membrilor, presiunea financiară și administrativă pentru a completa subvențiile de la bugetul UE cu resurse autogenerate, </w:t>
      </w:r>
      <w:r w:rsidRPr="009057C3">
        <w:t>normele aplicabile activităților politice europene comune cu fundațiile membre și nivelul general de finanțare din partea UE limitează autonomia financiară și sustenabilitatea fundațiilor politice europene, în special având în vedere responsabilitățile lor tot mai mari, și subliniază că un cadru de finanțare sustenabil este esențial pentru a le menține independența și a împiedica influența privată nejustificată;</w:t>
      </w:r>
    </w:p>
    <w:p w:rsidR="00D85A55" w:rsidRPr="009057C3" w:rsidP="00D85A55" w14:paraId="07B5E400" w14:textId="77777777">
      <w:pPr>
        <w:pStyle w:val="NormalHanging12a"/>
      </w:pPr>
      <w:r w:rsidRPr="009057C3">
        <w:t>14.</w:t>
      </w:r>
      <w:r w:rsidRPr="009057C3">
        <w:tab/>
        <w:t>subliniază că, ca o formă de diversificare a resurselor proprii, fundațiile politice europene pot să accepte donații de la persoane fizice sau juridice în valoare maximă de 18 000 EUR pe an și pe donator; consideră că plafonul acestor donații ar putea fi majorat pentru a oferi fundațiilor politice europene o mai mare flexibilitate;</w:t>
      </w:r>
    </w:p>
    <w:p w:rsidR="00D85A55" w:rsidRPr="009057C3" w:rsidP="00D85A55" w14:paraId="67F88992" w14:textId="77777777">
      <w:pPr>
        <w:pStyle w:val="NormalHanging12a"/>
      </w:pPr>
      <w:r w:rsidRPr="009057C3">
        <w:t>15.</w:t>
      </w:r>
      <w:r w:rsidRPr="009057C3">
        <w:tab/>
        <w:t>încurajează Autoritatea ca, în cooperare cu Comisia, să își continue și să își dezvolte în continuare dialogul cu autoritățile naționale competente, cu scopul de a sensibiliza publicul cu privire la impactul cadrelor naționale de finanțare asupra funcționării fundațiilor politice europene și de a identifica soluții practice menite să evite constrângerile nedorite asupra sustenabilității lor financiare;</w:t>
      </w:r>
    </w:p>
    <w:p w:rsidR="00D85A55" w:rsidRPr="009057C3" w:rsidP="00D85A55" w14:paraId="44C2A15F" w14:textId="77777777">
      <w:pPr>
        <w:pStyle w:val="NormalHanging12a"/>
      </w:pPr>
      <w:r w:rsidRPr="009057C3">
        <w:t>16.</w:t>
      </w:r>
      <w:r w:rsidRPr="009057C3">
        <w:tab/>
        <w:t>propune instituirea unui sistem unic de raportare și publicare pentru finanțarea, donațiile și contribuțiile UE către fundațiile politice europene, pentru a asigura o transparență adecvată pentru cetățeni, a îmbunătăți monitorizarea conformității și a reduce sarcina administrativă și de conformitate a entităților raportoare;</w:t>
      </w:r>
    </w:p>
    <w:p w:rsidR="00D85A55" w:rsidRPr="009057C3" w:rsidP="00D85A55" w14:paraId="79B59299" w14:textId="77777777">
      <w:pPr>
        <w:pStyle w:val="NormalHanging12a"/>
      </w:pPr>
      <w:r w:rsidRPr="009057C3">
        <w:t>17.</w:t>
      </w:r>
      <w:r w:rsidRPr="009057C3">
        <w:tab/>
        <w:t>recunoaște eforturile fundațiilor politice europene de a-și diversifica și stabiliza sursele de finanțare în cadrul de reglementare existent și încurajează utilizarea continuă, echilibrată și transparentă a mecanismelor disponibile în materie de resurse proprii;</w:t>
      </w:r>
    </w:p>
    <w:p w:rsidR="00D85A55" w:rsidRPr="009057C3" w:rsidP="00D85A55" w14:paraId="45C5F6A9" w14:textId="77777777">
      <w:pPr>
        <w:pStyle w:val="Normal12a"/>
      </w:pPr>
      <w:r w:rsidRPr="009057C3">
        <w:rPr>
          <w:b/>
          <w:i/>
        </w:rPr>
        <w:t>Considerații finale</w:t>
      </w:r>
    </w:p>
    <w:p w:rsidR="00D85A55" w:rsidRPr="009057C3" w:rsidP="00D85A55" w14:paraId="56948DA1" w14:textId="77777777">
      <w:pPr>
        <w:pStyle w:val="NormalHanging12a"/>
      </w:pPr>
      <w:r w:rsidRPr="009057C3">
        <w:t>18.</w:t>
      </w:r>
      <w:r w:rsidRPr="009057C3">
        <w:tab/>
        <w:t>invită Comisia să efectueze o reexaminare specifică a dispozițiilor de finanțare aplicabile fundațiilor politice europene în temeiul regulamentului, pe baza constatărilor prezentului raport și a experienței dobândite de la intrarea în vigoare a regulamentului reformat;</w:t>
      </w:r>
    </w:p>
    <w:p w:rsidR="00D85A55" w:rsidRPr="009057C3" w:rsidP="00D85A55" w14:paraId="1C0A4A55" w14:textId="77777777">
      <w:pPr>
        <w:pStyle w:val="NormalHanging12a"/>
      </w:pPr>
      <w:r w:rsidRPr="009057C3">
        <w:t>19.</w:t>
      </w:r>
      <w:r w:rsidRPr="009057C3">
        <w:tab/>
        <w:t>solicită Comisiei să examineze dacă există cadre naționale de reglementare sau de politică care să le interzică sau să le pună piedici entităților naționale, inclusiv fundațiilor politice, care doresc să plătească contribuții către fundațiile politice europene și să adopte măsurile ulterioare necesare;</w:t>
      </w:r>
    </w:p>
    <w:p w:rsidR="00D85A55" w:rsidRPr="009057C3" w:rsidP="00D85A55" w14:paraId="51D2677C" w14:textId="77777777">
      <w:pPr>
        <w:pStyle w:val="NormalHanging12a"/>
      </w:pPr>
      <w:r w:rsidRPr="009057C3">
        <w:t>20.</w:t>
      </w:r>
      <w:r w:rsidRPr="009057C3">
        <w:tab/>
        <w:t>invită Comisia să prezinte o propunere legislativă reformată de revizuire a normelor de finanțare pentru fundațiile politice europene, inclusiv o modificare a articolului 22 alineatul (4) din regulament pentru a majora plafonul pentru contribuțiile financiare sau subvențiile de la bugetul general al UE la 100 % din costurile eligibile suportate de o fundație politică europeană; în plus, solicită Comisiei să includă în această propunere o modificare a articolului 25 pentru a majora plafonul pentru donațiile destinate fundațiilor politice europene, asigurând astfel un nivel mai ridicat de flexibilitate și diversificare a surselor de finanțare;</w:t>
      </w:r>
    </w:p>
    <w:p w:rsidR="00D85A55" w:rsidRPr="009057C3" w:rsidP="00D85A55" w14:paraId="0FD8DA44" w14:textId="77777777">
      <w:pPr>
        <w:pStyle w:val="NormalHanging12a"/>
      </w:pPr>
      <w:r w:rsidRPr="009057C3">
        <w:t>21.</w:t>
      </w:r>
      <w:r w:rsidRPr="009057C3">
        <w:tab/>
        <w:t xml:space="preserve">se angajează să mărească nivelul general al finanțării UE pentru fundațiile politice în viitorul cadru financiar multianual pentru perioada 2028-2034, pentru a ține seama de absența indexării bugetare din ultimii ani și de creșterea inflației și a costurilor operaționale, cu scopul de a asigura resurse financiare adecvate, stabile și previzibile, de </w:t>
      </w:r>
      <w:r w:rsidRPr="009057C3">
        <w:t>a permite fundațiilor să se implice în activități de analiză prospectivă strategică pe termen lung și de consolidare a capacităților și de a menține standarde ridicate de transparență, responsabilitate și independență, precum și de a asigura proporționalitatea între obligațiile de conformitate și finanțarea disponibilă;</w:t>
      </w:r>
    </w:p>
    <w:p w:rsidR="00D85A55" w:rsidRPr="009057C3" w:rsidP="00D85A55" w14:paraId="0D3A0A7E" w14:textId="77777777">
      <w:pPr>
        <w:pStyle w:val="NormalHanging12a"/>
      </w:pPr>
      <w:r w:rsidRPr="009057C3">
        <w:t>22.</w:t>
      </w:r>
      <w:r w:rsidRPr="009057C3">
        <w:tab/>
        <w:t>conchide că asigurarea unei finanțări adecvate pentru fundațiile politice europene constituie o investiție strategică în reziliența democratică a UE și în capacitatea sa de guvernare pe termen lung;</w:t>
      </w:r>
    </w:p>
    <w:p w:rsidR="00D85A55" w:rsidRPr="009057C3" w:rsidP="00D85A55" w14:paraId="06B14890" w14:textId="77777777">
      <w:pPr>
        <w:pStyle w:val="NormalCenter12a"/>
      </w:pPr>
      <w:r w:rsidRPr="009057C3">
        <w:t>°</w:t>
      </w:r>
    </w:p>
    <w:p w:rsidR="00D85A55" w:rsidRPr="009057C3" w:rsidP="00D85A55" w14:paraId="5A39660C" w14:textId="77777777">
      <w:pPr>
        <w:pStyle w:val="NormalCenter12a"/>
      </w:pPr>
      <w:r w:rsidRPr="009057C3">
        <w:t>°</w:t>
      </w:r>
      <w:r w:rsidRPr="009057C3">
        <w:tab/>
        <w:t>°</w:t>
      </w:r>
    </w:p>
    <w:p w:rsidR="00295389" w:rsidRPr="009057C3" w:rsidP="00295389" w14:paraId="670CBADD" w14:textId="16FE1C5B">
      <w:pPr>
        <w:pStyle w:val="NormalHanging12a"/>
      </w:pPr>
      <w:r w:rsidRPr="009057C3">
        <w:t>23.</w:t>
      </w:r>
      <w:r w:rsidRPr="009057C3">
        <w:tab/>
        <w:t>încredințează Președintei sarcina de a transmite prezenta rezoluție Consiliului și Comisiei.</w:t>
      </w:r>
    </w:p>
    <w:p w:rsidR="00E365E1" w:rsidRPr="009057C3" w:rsidP="00F337A1" w14:paraId="71E0CD7C" w14:textId="4584F2F3"/>
    <w:sectPr w:rsidSect="0029538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5389" w14:paraId="7CCF1B0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5389" w14:paraId="0C21A7F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5389" w14:paraId="4C4E180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337A1" w:rsidRPr="00295389" w14:paraId="03C19456" w14:textId="77777777">
      <w:r w:rsidRPr="00295389">
        <w:separator/>
      </w:r>
    </w:p>
  </w:footnote>
  <w:footnote w:type="continuationSeparator" w:id="1">
    <w:p w:rsidR="00F337A1" w:rsidRPr="00295389" w14:paraId="06D12F5A" w14:textId="77777777">
      <w:r w:rsidRPr="00295389">
        <w:continuationSeparator/>
      </w:r>
    </w:p>
  </w:footnote>
  <w:footnote w:id="2">
    <w:p w:rsidR="00D85A55" w:rsidRPr="00295389" w:rsidP="00295389" w14:paraId="675F802F" w14:textId="4A0095FD">
      <w:pPr>
        <w:pStyle w:val="FootnoteText"/>
        <w:ind w:left="567" w:hanging="567"/>
        <w:rPr>
          <w:sz w:val="24"/>
          <w:lang w:val="ro-RO"/>
        </w:rPr>
      </w:pPr>
      <w:r w:rsidRPr="00295389">
        <w:rPr>
          <w:rStyle w:val="FootnoteReference"/>
          <w:sz w:val="24"/>
          <w:lang w:val="ro-RO"/>
        </w:rPr>
        <w:t>1</w:t>
      </w:r>
      <w:r w:rsidRPr="00295389" w:rsidR="00295389">
        <w:rPr>
          <w:sz w:val="24"/>
          <w:lang w:val="ro-RO"/>
        </w:rPr>
        <w:t xml:space="preserve"> </w:t>
      </w:r>
      <w:r w:rsidRPr="00295389" w:rsidR="00295389">
        <w:rPr>
          <w:sz w:val="24"/>
          <w:lang w:val="ro-RO"/>
        </w:rPr>
        <w:tab/>
      </w:r>
      <w:r w:rsidRPr="00295389">
        <w:rPr>
          <w:sz w:val="24"/>
          <w:lang w:val="ro-RO"/>
        </w:rPr>
        <w:t xml:space="preserve">JO L, 2025/2445, 8.12.2025, ELI: </w:t>
      </w:r>
      <w:hyperlink r:id="rId1" w:tgtFrame="http://data.europa.eu/eli/reg/2025/2445/oj" w:history="1">
        <w:r w:rsidRPr="00295389">
          <w:rPr>
            <w:rStyle w:val="Hyperlink"/>
            <w:sz w:val="24"/>
            <w:lang w:val="ro-RO"/>
          </w:rPr>
          <w:t>http://data.europa.eu/eli/reg/2025/2445/oj</w:t>
        </w:r>
      </w:hyperlink>
      <w:r w:rsidRPr="00295389">
        <w:rPr>
          <w:sz w:val="24"/>
          <w:lang w:val="ro-RO"/>
        </w:rPr>
        <w:t>.</w:t>
      </w:r>
    </w:p>
  </w:footnote>
  <w:footnote w:id="3">
    <w:p w:rsidR="00D85A55" w:rsidRPr="00295389" w:rsidP="00295389" w14:paraId="55C57ACB" w14:textId="092E8132">
      <w:pPr>
        <w:pStyle w:val="FootnoteText"/>
        <w:ind w:left="567" w:hanging="567"/>
        <w:rPr>
          <w:sz w:val="24"/>
          <w:lang w:val="ro-RO"/>
        </w:rPr>
      </w:pPr>
      <w:r w:rsidRPr="00295389">
        <w:rPr>
          <w:rStyle w:val="FootnoteReference"/>
          <w:sz w:val="24"/>
          <w:lang w:val="ro-RO"/>
        </w:rPr>
        <w:t>2</w:t>
      </w:r>
      <w:r w:rsidRPr="00295389" w:rsidR="00295389">
        <w:rPr>
          <w:sz w:val="24"/>
          <w:lang w:val="ro-RO"/>
        </w:rPr>
        <w:t xml:space="preserve"> </w:t>
      </w:r>
      <w:r w:rsidRPr="00295389" w:rsidR="00295389">
        <w:rPr>
          <w:sz w:val="24"/>
          <w:lang w:val="ro-RO"/>
        </w:rPr>
        <w:tab/>
      </w:r>
      <w:r w:rsidRPr="00295389">
        <w:rPr>
          <w:sz w:val="24"/>
          <w:lang w:val="ro-RO"/>
        </w:rPr>
        <w:t xml:space="preserve">JO L, 2024/2509, 26.9.2024, ELI: </w:t>
      </w:r>
      <w:hyperlink r:id="rId2" w:tgtFrame="http://data.europa.eu/eli/reg/2024/2509/oj" w:history="1">
        <w:r w:rsidRPr="00295389">
          <w:rPr>
            <w:rStyle w:val="Hyperlink"/>
            <w:sz w:val="24"/>
            <w:lang w:val="ro-RO"/>
          </w:rPr>
          <w:t>http://data.europa.eu/eli/reg/2024/2509/oj</w:t>
        </w:r>
      </w:hyperlink>
      <w:r w:rsidRPr="00295389">
        <w:rPr>
          <w:sz w:val="24"/>
          <w:lang w:val="ro-RO"/>
        </w:rPr>
        <w:t>.</w:t>
      </w:r>
    </w:p>
  </w:footnote>
  <w:footnote w:id="4">
    <w:p w:rsidR="00D85A55" w:rsidRPr="00295389" w:rsidP="00295389" w14:paraId="140490EB" w14:textId="10753A68">
      <w:pPr>
        <w:pStyle w:val="FootnoteText"/>
        <w:ind w:left="567" w:hanging="567"/>
        <w:rPr>
          <w:sz w:val="24"/>
          <w:lang w:val="ro-RO"/>
        </w:rPr>
      </w:pPr>
      <w:r w:rsidRPr="00295389">
        <w:rPr>
          <w:rStyle w:val="FootnoteReference"/>
          <w:sz w:val="24"/>
          <w:lang w:val="ro-RO"/>
        </w:rPr>
        <w:t>3</w:t>
      </w:r>
      <w:r w:rsidRPr="00295389" w:rsidR="00295389">
        <w:rPr>
          <w:sz w:val="24"/>
          <w:lang w:val="ro-RO"/>
        </w:rPr>
        <w:t xml:space="preserve"> </w:t>
      </w:r>
      <w:r w:rsidRPr="00295389" w:rsidR="00295389">
        <w:rPr>
          <w:sz w:val="24"/>
          <w:lang w:val="ro-RO"/>
        </w:rPr>
        <w:tab/>
      </w:r>
      <w:r w:rsidRPr="00295389">
        <w:rPr>
          <w:sz w:val="24"/>
          <w:lang w:val="ro-RO"/>
        </w:rPr>
        <w:t>JO C 205, 20.5.2022, p. 37.</w:t>
      </w:r>
    </w:p>
  </w:footnote>
  <w:footnote w:id="5">
    <w:p w:rsidR="00D85A55" w:rsidRPr="00295389" w:rsidP="00295389" w14:paraId="0E3852AD" w14:textId="5D891E7C">
      <w:pPr>
        <w:pStyle w:val="FootnoteText"/>
        <w:ind w:left="567" w:hanging="567"/>
        <w:rPr>
          <w:sz w:val="24"/>
          <w:lang w:val="ro-RO"/>
        </w:rPr>
      </w:pPr>
      <w:r w:rsidRPr="00295389">
        <w:rPr>
          <w:rStyle w:val="FootnoteReference"/>
          <w:sz w:val="24"/>
          <w:lang w:val="ro-RO"/>
        </w:rPr>
        <w:t>4</w:t>
      </w:r>
      <w:r w:rsidRPr="00295389" w:rsidR="00295389">
        <w:rPr>
          <w:sz w:val="24"/>
          <w:lang w:val="ro-RO"/>
        </w:rPr>
        <w:t xml:space="preserve"> </w:t>
      </w:r>
      <w:r w:rsidRPr="00295389" w:rsidR="00295389">
        <w:rPr>
          <w:sz w:val="24"/>
          <w:lang w:val="ro-RO"/>
        </w:rPr>
        <w:tab/>
      </w:r>
      <w:r w:rsidRPr="00295389">
        <w:rPr>
          <w:sz w:val="24"/>
          <w:lang w:val="ro-RO"/>
        </w:rPr>
        <w:t>Propunerea Comisiei din 25 noiembrie 2021 de regulament al Parlamentului European și al Consiliului privind statutul și finanțarea partidelor politice europene și a fundațiilor politice europene (COM(2021)0734).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5389" w14:paraId="2668B54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5389" w14:paraId="5C0A853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5389" w14:paraId="5C3DA9C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2710918">
    <w:abstractNumId w:val="9"/>
  </w:num>
  <w:num w:numId="2" w16cid:durableId="786659379">
    <w:abstractNumId w:val="9"/>
  </w:num>
  <w:num w:numId="3" w16cid:durableId="664822244">
    <w:abstractNumId w:val="7"/>
  </w:num>
  <w:num w:numId="4" w16cid:durableId="2051681876">
    <w:abstractNumId w:val="7"/>
  </w:num>
  <w:num w:numId="5" w16cid:durableId="156893223">
    <w:abstractNumId w:val="6"/>
  </w:num>
  <w:num w:numId="6" w16cid:durableId="589242840">
    <w:abstractNumId w:val="6"/>
  </w:num>
  <w:num w:numId="7" w16cid:durableId="1052119837">
    <w:abstractNumId w:val="5"/>
  </w:num>
  <w:num w:numId="8" w16cid:durableId="2065444285">
    <w:abstractNumId w:val="5"/>
  </w:num>
  <w:num w:numId="9" w16cid:durableId="2128547441">
    <w:abstractNumId w:val="4"/>
  </w:num>
  <w:num w:numId="10" w16cid:durableId="1427532563">
    <w:abstractNumId w:val="4"/>
  </w:num>
  <w:num w:numId="11" w16cid:durableId="1294214987">
    <w:abstractNumId w:val="8"/>
  </w:num>
  <w:num w:numId="12" w16cid:durableId="1276056329">
    <w:abstractNumId w:val="8"/>
  </w:num>
  <w:num w:numId="13" w16cid:durableId="618025129">
    <w:abstractNumId w:val="3"/>
  </w:num>
  <w:num w:numId="14" w16cid:durableId="2006543091">
    <w:abstractNumId w:val="3"/>
  </w:num>
  <w:num w:numId="15" w16cid:durableId="111242295">
    <w:abstractNumId w:val="2"/>
  </w:num>
  <w:num w:numId="16" w16cid:durableId="236940899">
    <w:abstractNumId w:val="2"/>
  </w:num>
  <w:num w:numId="17" w16cid:durableId="1547984482">
    <w:abstractNumId w:val="1"/>
  </w:num>
  <w:num w:numId="18" w16cid:durableId="1465729363">
    <w:abstractNumId w:val="1"/>
  </w:num>
  <w:num w:numId="19" w16cid:durableId="1703364240">
    <w:abstractNumId w:val="0"/>
  </w:num>
  <w:num w:numId="20" w16cid:durableId="1720468575">
    <w:abstractNumId w:val="0"/>
  </w:num>
  <w:num w:numId="21" w16cid:durableId="545483926">
    <w:abstractNumId w:val="9"/>
  </w:num>
  <w:num w:numId="22" w16cid:durableId="1869289716">
    <w:abstractNumId w:val="7"/>
  </w:num>
  <w:num w:numId="23" w16cid:durableId="638732356">
    <w:abstractNumId w:val="6"/>
  </w:num>
  <w:num w:numId="24" w16cid:durableId="646595592">
    <w:abstractNumId w:val="5"/>
  </w:num>
  <w:num w:numId="25" w16cid:durableId="1771120129">
    <w:abstractNumId w:val="4"/>
  </w:num>
  <w:num w:numId="26" w16cid:durableId="753281314">
    <w:abstractNumId w:val="8"/>
  </w:num>
  <w:num w:numId="27" w16cid:durableId="827938507">
    <w:abstractNumId w:val="3"/>
  </w:num>
  <w:num w:numId="28" w16cid:durableId="1755786462">
    <w:abstractNumId w:val="2"/>
  </w:num>
  <w:num w:numId="29" w16cid:durableId="1019163567">
    <w:abstractNumId w:val="1"/>
  </w:num>
  <w:num w:numId="30" w16cid:durableId="508250132">
    <w:abstractNumId w:val="0"/>
  </w:num>
  <w:num w:numId="31" w16cid:durableId="1059012147">
    <w:abstractNumId w:val="9"/>
  </w:num>
  <w:num w:numId="32" w16cid:durableId="1639526520">
    <w:abstractNumId w:val="7"/>
  </w:num>
  <w:num w:numId="33" w16cid:durableId="1561860881">
    <w:abstractNumId w:val="6"/>
  </w:num>
  <w:num w:numId="34" w16cid:durableId="1125083511">
    <w:abstractNumId w:val="5"/>
  </w:num>
  <w:num w:numId="35" w16cid:durableId="46950836">
    <w:abstractNumId w:val="4"/>
  </w:num>
  <w:num w:numId="36" w16cid:durableId="1716075931">
    <w:abstractNumId w:val="8"/>
  </w:num>
  <w:num w:numId="37" w16cid:durableId="88042843">
    <w:abstractNumId w:val="3"/>
  </w:num>
  <w:num w:numId="38" w16cid:durableId="1388383575">
    <w:abstractNumId w:val="2"/>
  </w:num>
  <w:num w:numId="39" w16cid:durableId="1786582313">
    <w:abstractNumId w:val="1"/>
  </w:num>
  <w:num w:numId="40" w16cid:durableId="1207109900">
    <w:abstractNumId w:val="0"/>
  </w:num>
  <w:num w:numId="41" w16cid:durableId="183249801">
    <w:abstractNumId w:val="10"/>
  </w:num>
  <w:num w:numId="42" w16cid:durableId="669604830">
    <w:abstractNumId w:val="10"/>
  </w:num>
  <w:num w:numId="43" w16cid:durableId="579414577">
    <w:abstractNumId w:val="10"/>
  </w:num>
  <w:num w:numId="44" w16cid:durableId="19062611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7A1"/>
    <w:rsid w:val="00002272"/>
    <w:rsid w:val="00022600"/>
    <w:rsid w:val="00064002"/>
    <w:rsid w:val="000677B9"/>
    <w:rsid w:val="000831BA"/>
    <w:rsid w:val="000A42CC"/>
    <w:rsid w:val="000E7DD9"/>
    <w:rsid w:val="0010095E"/>
    <w:rsid w:val="00125B37"/>
    <w:rsid w:val="00187494"/>
    <w:rsid w:val="001F32AE"/>
    <w:rsid w:val="002767FF"/>
    <w:rsid w:val="00295389"/>
    <w:rsid w:val="002B18FE"/>
    <w:rsid w:val="002B5493"/>
    <w:rsid w:val="002F3CC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63A5"/>
    <w:rsid w:val="005C2568"/>
    <w:rsid w:val="005F1B17"/>
    <w:rsid w:val="006037C0"/>
    <w:rsid w:val="006631B6"/>
    <w:rsid w:val="00680577"/>
    <w:rsid w:val="006F74FA"/>
    <w:rsid w:val="0070065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7C3"/>
    <w:rsid w:val="00911A79"/>
    <w:rsid w:val="00930C23"/>
    <w:rsid w:val="0093193B"/>
    <w:rsid w:val="009509D8"/>
    <w:rsid w:val="00950B64"/>
    <w:rsid w:val="00981893"/>
    <w:rsid w:val="00A1687D"/>
    <w:rsid w:val="00A43E52"/>
    <w:rsid w:val="00A4678D"/>
    <w:rsid w:val="00A778C7"/>
    <w:rsid w:val="00A97C5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5A55"/>
    <w:rsid w:val="00D872DF"/>
    <w:rsid w:val="00D91E21"/>
    <w:rsid w:val="00DA7FCD"/>
    <w:rsid w:val="00E365E1"/>
    <w:rsid w:val="00E820A4"/>
    <w:rsid w:val="00E924DA"/>
    <w:rsid w:val="00EB006A"/>
    <w:rsid w:val="00EB4772"/>
    <w:rsid w:val="00ED169E"/>
    <w:rsid w:val="00ED4235"/>
    <w:rsid w:val="00F04346"/>
    <w:rsid w:val="00F075DC"/>
    <w:rsid w:val="00F149E9"/>
    <w:rsid w:val="00F337A1"/>
    <w:rsid w:val="00F5134D"/>
    <w:rsid w:val="00F74202"/>
    <w:rsid w:val="00F87713"/>
    <w:rsid w:val="00FB4360"/>
    <w:rsid w:val="00FD0C70"/>
  </w:rsids>
  <w:docVars>
    <w:docVar w:name="dvdocse" w:val="A10-0145/2026"/>
    <w:docVar w:name="dvlangue" w:val="RO"/>
    <w:docVar w:name="dvnumam" w:val="0"/>
    <w:docVar w:name="dvpe" w:val="784.388"/>
    <w:docVar w:name="dvrapporteur" w:val="Raportori: "/>
    <w:docVar w:name="dvtitre" w:val="Rezoluția Parlamentului European din 16 iunie 2026 Partidele și fundațiile politice europene – Raportul din 2026 privind aplicarea Regulamentului (UE, Euratom) nr. 2025/2445 și activitățile finanțate(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FDEAC09"/>
  <w15:chartTrackingRefBased/>
  <w15:docId w15:val="{1E91DB8B-E41F-48F1-9110-783E73D05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85A55"/>
    <w:pPr>
      <w:widowControl/>
      <w:spacing w:after="240"/>
    </w:pPr>
    <w:rPr>
      <w:szCs w:val="24"/>
      <w:lang w:eastAsia="en-US"/>
    </w:rPr>
  </w:style>
  <w:style w:type="paragraph" w:customStyle="1" w:styleId="NormalHanging12a">
    <w:name w:val="NormalHanging12a"/>
    <w:basedOn w:val="Normal"/>
    <w:rsid w:val="00D85A55"/>
    <w:pPr>
      <w:widowControl/>
      <w:spacing w:after="240"/>
      <w:ind w:left="566" w:hanging="566"/>
    </w:pPr>
    <w:rPr>
      <w:szCs w:val="24"/>
      <w:lang w:eastAsia="en-US"/>
    </w:rPr>
  </w:style>
  <w:style w:type="paragraph" w:customStyle="1" w:styleId="Normal12">
    <w:name w:val="Normal12"/>
    <w:basedOn w:val="Normal"/>
    <w:rsid w:val="00D85A55"/>
    <w:pPr>
      <w:spacing w:after="240"/>
    </w:pPr>
    <w:rPr>
      <w:szCs w:val="24"/>
      <w:lang w:eastAsia="en-US"/>
    </w:rPr>
  </w:style>
  <w:style w:type="paragraph" w:customStyle="1" w:styleId="NormalHanging">
    <w:name w:val="NormalHanging"/>
    <w:basedOn w:val="Normal"/>
    <w:rsid w:val="00D85A55"/>
    <w:pPr>
      <w:spacing w:after="240"/>
      <w:ind w:left="566" w:hanging="566"/>
    </w:pPr>
    <w:rPr>
      <w:szCs w:val="24"/>
      <w:lang w:eastAsia="en-US"/>
    </w:rPr>
  </w:style>
  <w:style w:type="paragraph" w:customStyle="1" w:styleId="NormalCenter12a">
    <w:name w:val="NormalCenter12a"/>
    <w:basedOn w:val="Normal"/>
    <w:rsid w:val="00D85A55"/>
    <w:pPr>
      <w:widowControl/>
      <w:spacing w:after="240"/>
      <w:jc w:val="center"/>
    </w:pPr>
    <w:rPr>
      <w:szCs w:val="24"/>
      <w:lang w:eastAsia="en-US"/>
    </w:rPr>
  </w:style>
  <w:style w:type="character" w:styleId="Hyperlink">
    <w:name w:val="Hyperlink"/>
    <w:basedOn w:val="DefaultParagraphFont"/>
    <w:rsid w:val="00D85A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2107</Words>
  <Characters>13343</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2026-07-23T10:12:00Z</dcterms:created>
  <dcterms:modified xsi:type="dcterms:W3CDTF">2026-07-23T10:12:00Z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A10-0145/2026</vt:lpwstr>
  </property>
  <property fmtid="{D5CDD505-2E9C-101B-9397-08002B2CF9AE}" pid="4" name="&lt;Type&gt;">
    <vt:lpwstr>RR</vt:lpwstr>
  </property>
</Properties>
</file>