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7F172C" w14:textId="77777777" w:rsidTr="0010095E">
        <w:tblPrEx>
          <w:tblW w:w="9072" w:type="dxa"/>
          <w:tblLook w:val="01E0"/>
        </w:tblPrEx>
        <w:trPr>
          <w:trHeight w:hRule="exact" w:val="1418"/>
        </w:trPr>
        <w:tc>
          <w:tcPr>
            <w:tcW w:w="6804" w:type="dxa"/>
            <w:shd w:val="clear" w:color="auto" w:fill="auto"/>
            <w:vAlign w:val="center"/>
          </w:tcPr>
          <w:p w:rsidR="00751A4A" w:rsidRPr="00B862AE" w:rsidP="0010095E" w14:paraId="408DA6C7" w14:textId="77777777">
            <w:pPr>
              <w:pStyle w:val="EPName"/>
            </w:pPr>
            <w:r w:rsidRPr="00B862AE">
              <w:t>Europaparlamentet</w:t>
            </w:r>
          </w:p>
          <w:p w:rsidR="00751A4A" w:rsidRPr="00B862AE" w:rsidP="005F1B17" w14:paraId="15440560" w14:textId="77777777">
            <w:pPr>
              <w:pStyle w:val="EPTerm"/>
              <w:rPr>
                <w:rStyle w:val="HideTWBExt"/>
                <w:noProof w:val="0"/>
                <w:vanish w:val="0"/>
                <w:color w:val="auto"/>
              </w:rPr>
            </w:pPr>
            <w:r w:rsidRPr="00B862AE">
              <w:t>2024</w:t>
            </w:r>
            <w:r w:rsidRPr="00B862AE" w:rsidR="00817416">
              <w:t>-202</w:t>
            </w:r>
            <w:r w:rsidRPr="00B862AE">
              <w:t>9</w:t>
            </w:r>
          </w:p>
        </w:tc>
        <w:tc>
          <w:tcPr>
            <w:tcW w:w="2268" w:type="dxa"/>
            <w:shd w:val="clear" w:color="auto" w:fill="auto"/>
          </w:tcPr>
          <w:p w:rsidR="00751A4A" w:rsidRPr="00B862AE" w:rsidP="0010095E" w14:paraId="6D8EE89F" w14:textId="77777777">
            <w:pPr>
              <w:pStyle w:val="EPLogo"/>
            </w:pPr>
            <w:r w:rsidRPr="00B862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62AE" w:rsidP="004C5D52" w14:paraId="0CA8ACC2" w14:textId="77777777">
      <w:pPr>
        <w:pStyle w:val="LineTop"/>
      </w:pPr>
    </w:p>
    <w:p w:rsidR="00680577" w:rsidRPr="00B862AE" w:rsidP="00680577" w14:paraId="3DF843AD" w14:textId="77777777">
      <w:pPr>
        <w:pStyle w:val="EPBodyTA1"/>
      </w:pPr>
      <w:r w:rsidRPr="00B862AE">
        <w:t>ANTAGNA TEXTER</w:t>
      </w:r>
    </w:p>
    <w:p w:rsidR="00D058B8" w:rsidRPr="00B862AE" w:rsidP="00D058B8" w14:paraId="78491C56" w14:textId="77777777">
      <w:pPr>
        <w:pStyle w:val="LineBottom"/>
      </w:pPr>
    </w:p>
    <w:p w:rsidR="005033C8" w:rsidRPr="00B862AE" w:rsidP="005033C8" w14:paraId="27D0FCF0" w14:textId="2701CD48">
      <w:pPr>
        <w:pStyle w:val="ATHeading1"/>
      </w:pPr>
      <w:bookmarkStart w:id="0" w:name="TANumber"/>
      <w:r w:rsidRPr="00B862AE">
        <w:t>P10_TA(2026)0</w:t>
      </w:r>
      <w:bookmarkEnd w:id="0"/>
      <w:r w:rsidRPr="00B862AE" w:rsidR="00B862AE">
        <w:t>202</w:t>
      </w:r>
    </w:p>
    <w:p w:rsidR="005033C8" w:rsidRPr="00B862AE" w:rsidP="005033C8" w14:paraId="17845A08" w14:textId="77777777">
      <w:pPr>
        <w:pStyle w:val="ATHeading2"/>
      </w:pPr>
      <w:bookmarkStart w:id="1" w:name="title"/>
      <w:r w:rsidRPr="00B862AE">
        <w:t xml:space="preserve">Europeiska politiska partier och stiftelser – 2026 års rapport om tillämpningen av förordning (EU, Euratom) 2025/2445 och om den finansierade verksamheten </w:t>
      </w:r>
      <w:bookmarkEnd w:id="1"/>
    </w:p>
    <w:p w:rsidR="005033C8" w:rsidRPr="00B862AE" w:rsidP="005033C8" w14:paraId="4B7EAC63" w14:textId="77777777">
      <w:pPr>
        <w:rPr>
          <w:i/>
          <w:vanish/>
        </w:rPr>
      </w:pPr>
      <w:r>
        <w:rPr>
          <w:i/>
        </w:rPr>
        <w:fldChar w:fldCharType="begin"/>
      </w:r>
      <w:r w:rsidRPr="00B862AE">
        <w:rPr>
          <w:i/>
        </w:rPr>
        <w:instrText xml:space="preserve"> TC"(</w:instrText>
      </w:r>
      <w:bookmarkStart w:id="2" w:name="DocNumber"/>
      <w:r w:rsidRPr="00B862AE">
        <w:rPr>
          <w:i/>
        </w:rPr>
        <w:instrText>A10-0145/2026</w:instrText>
      </w:r>
      <w:bookmarkEnd w:id="2"/>
      <w:r w:rsidRPr="00B862AE">
        <w:rPr>
          <w:i/>
        </w:rPr>
        <w:instrText xml:space="preserve"> - Föredragande: Loránt Vincze, Charles Goerens)"\l3 \n&gt; \* MERGEFORMAT </w:instrText>
      </w:r>
      <w:r>
        <w:rPr>
          <w:i/>
        </w:rPr>
        <w:fldChar w:fldCharType="end"/>
      </w:r>
    </w:p>
    <w:p w:rsidR="005033C8" w:rsidRPr="00B862AE" w:rsidP="005033C8" w14:paraId="55A836BE" w14:textId="77777777">
      <w:pPr>
        <w:rPr>
          <w:vanish/>
        </w:rPr>
      </w:pPr>
      <w:bookmarkStart w:id="3" w:name="Commission"/>
      <w:r w:rsidRPr="00B862AE">
        <w:rPr>
          <w:vanish/>
        </w:rPr>
        <w:t>Utskottet för konstitutionella frågor</w:t>
      </w:r>
      <w:bookmarkEnd w:id="3"/>
    </w:p>
    <w:p w:rsidR="005033C8" w:rsidRPr="00B862AE" w:rsidP="005033C8" w14:paraId="3148FCA1" w14:textId="77777777">
      <w:pPr>
        <w:rPr>
          <w:vanish/>
        </w:rPr>
      </w:pPr>
      <w:bookmarkStart w:id="4" w:name="PE"/>
      <w:r w:rsidRPr="00B862AE">
        <w:rPr>
          <w:vanish/>
        </w:rPr>
        <w:t>PE784.388</w:t>
      </w:r>
      <w:bookmarkEnd w:id="4"/>
    </w:p>
    <w:p w:rsidR="005033C8" w:rsidRPr="00B862AE" w:rsidP="005033C8" w14:paraId="58106BA7" w14:textId="3AFB24A4">
      <w:pPr>
        <w:pStyle w:val="ATHeading3"/>
      </w:pPr>
      <w:bookmarkStart w:id="5" w:name="Sujet"/>
      <w:r w:rsidRPr="00B862AE">
        <w:t xml:space="preserve">Europaparlamentets resolution av den </w:t>
      </w:r>
      <w:r w:rsidRPr="00B862AE" w:rsidR="00E0317D">
        <w:t>16</w:t>
      </w:r>
      <w:r w:rsidRPr="00B862AE">
        <w:t xml:space="preserve"> </w:t>
      </w:r>
      <w:r w:rsidRPr="00B862AE" w:rsidR="00DB7F31">
        <w:t>juni</w:t>
      </w:r>
      <w:r w:rsidRPr="00B862AE">
        <w:t xml:space="preserve"> 2026 om Europeiska politiska partier och stiftelser – 2026 års rapport om tillämpningen av förordning (EU, Euratom) 2025/2445 och om den finansierade verksamheten</w:t>
      </w:r>
      <w:bookmarkEnd w:id="5"/>
      <w:r w:rsidRPr="00B862AE">
        <w:t xml:space="preserve"> </w:t>
      </w:r>
      <w:bookmarkStart w:id="6" w:name="References"/>
      <w:r w:rsidRPr="00B862AE">
        <w:t>(2026/2013(INI))</w:t>
      </w:r>
      <w:bookmarkEnd w:id="6"/>
    </w:p>
    <w:p w:rsidR="006F178D" w:rsidRPr="00B862AE" w:rsidP="006F178D" w14:paraId="26161E84" w14:textId="77777777">
      <w:pPr>
        <w:pStyle w:val="Normal12"/>
      </w:pPr>
      <w:r w:rsidRPr="00B862AE">
        <w:t>Europaparlamentet utfärdar denna resolution</w:t>
      </w:r>
    </w:p>
    <w:p w:rsidR="006F178D" w:rsidRPr="00B862AE" w:rsidP="006F178D" w14:paraId="399D652D" w14:textId="77777777">
      <w:pPr>
        <w:pStyle w:val="NormalHanging"/>
      </w:pPr>
      <w:r w:rsidRPr="00B862AE">
        <w:t>–</w:t>
      </w:r>
      <w:r w:rsidRPr="00B862AE">
        <w:tab/>
        <w:t>med beaktande av artiklarna 2 och 10.4 i fördraget om Europeiska unionen och artikel 12.2 i Europeiska unionens stadga om de grundläggande rättigheterna,</w:t>
      </w:r>
    </w:p>
    <w:p w:rsidR="006F178D" w:rsidRPr="00B862AE" w:rsidP="006F178D" w14:paraId="663F442A" w14:textId="77777777">
      <w:pPr>
        <w:pStyle w:val="NormalHanging"/>
      </w:pPr>
      <w:r w:rsidRPr="00B862AE">
        <w:t>–</w:t>
      </w:r>
      <w:r w:rsidRPr="00B862AE">
        <w:tab/>
        <w:t>med beaktande av artiklarna 224 och 325 i fördraget om Europeiska unionens funktionssätt,</w:t>
      </w:r>
    </w:p>
    <w:p w:rsidR="006F178D" w:rsidRPr="00B862AE" w:rsidP="006F178D" w14:paraId="2426F0C7" w14:textId="77777777">
      <w:pPr>
        <w:pStyle w:val="NormalHanging"/>
      </w:pPr>
      <w:r w:rsidRPr="00B862AE">
        <w:t>–</w:t>
      </w:r>
      <w:r w:rsidRPr="00B862AE">
        <w:tab/>
        <w:t>med beaktande av Europaparlamentets och rådets förordning (EU, Euratom) 2025/2445 av den 26 november 2025 om stadgar för och finansiering av europeiska politiska partier och europeiska politiska stiftelser</w:t>
      </w:r>
      <w:r>
        <w:rPr>
          <w:rStyle w:val="FootnoteReference"/>
        </w:rPr>
        <w:footnoteReference w:customMarkFollows="1" w:id="2"/>
        <w:t xml:space="preserve">1</w:t>
      </w:r>
      <w:r w:rsidRPr="00B862AE">
        <w:t xml:space="preserve"> (</w:t>
      </w:r>
      <w:r w:rsidRPr="00B862AE">
        <w:rPr>
          <w:i/>
        </w:rPr>
        <w:t>förordningen</w:t>
      </w:r>
      <w:r w:rsidRPr="00B862AE">
        <w:t>),</w:t>
      </w:r>
    </w:p>
    <w:p w:rsidR="006F178D" w:rsidRPr="00B862AE" w:rsidP="006F178D" w14:paraId="04EFBCE4" w14:textId="77777777">
      <w:pPr>
        <w:pStyle w:val="NormalHanging"/>
      </w:pPr>
      <w:r w:rsidRPr="00B862AE">
        <w:t>–</w:t>
      </w:r>
      <w:r w:rsidRPr="00B862AE">
        <w:tab/>
        <w:t>med beaktande av Europaparlamentets och rådets förordning (EU, Euratom) 2024/2509 av den 23 september 2024 om finansiella regler för unionens allmänna budget (omarbetning)</w:t>
      </w:r>
      <w:r>
        <w:rPr>
          <w:rStyle w:val="FootnoteReference"/>
        </w:rPr>
        <w:footnoteReference w:customMarkFollows="1" w:id="3"/>
        <w:t xml:space="preserve">2</w:t>
      </w:r>
      <w:r w:rsidRPr="00B862AE">
        <w:t xml:space="preserve"> (budgetförordningen),</w:t>
      </w:r>
    </w:p>
    <w:p w:rsidR="006F178D" w:rsidRPr="00B862AE" w:rsidP="006F178D" w14:paraId="7C2E2BF3" w14:textId="77777777">
      <w:pPr>
        <w:pStyle w:val="NormalHanging"/>
      </w:pPr>
      <w:r w:rsidRPr="00B862AE">
        <w:t>–</w:t>
      </w:r>
      <w:r w:rsidRPr="00B862AE">
        <w:tab/>
        <w:t>med beaktande av sin resolution av den 11 november 2021 om tillämpning av förordning (EU, Euratom) nr 1141/2014 om stadgar för och finansiering av europeiska politiska partier och europeiska politiska stiftelser</w:t>
      </w:r>
      <w:r>
        <w:rPr>
          <w:rStyle w:val="FootnoteReference"/>
        </w:rPr>
        <w:footnoteReference w:customMarkFollows="1" w:id="4"/>
        <w:t xml:space="preserve">3</w:t>
      </w:r>
      <w:r w:rsidRPr="00B862AE">
        <w:t>,</w:t>
      </w:r>
    </w:p>
    <w:p w:rsidR="006F178D" w:rsidRPr="00B862AE" w:rsidP="006F178D" w14:paraId="1259012A" w14:textId="77777777">
      <w:pPr>
        <w:pStyle w:val="NormalHanging"/>
      </w:pPr>
      <w:r w:rsidRPr="00B862AE">
        <w:t>–</w:t>
      </w:r>
      <w:r w:rsidRPr="00B862AE">
        <w:tab/>
        <w:t>med beaktande av samråd med myndigheten för europeiska politiska partier och europeiska politiska stiftelser (</w:t>
      </w:r>
      <w:r w:rsidRPr="00B862AE">
        <w:rPr>
          <w:i/>
        </w:rPr>
        <w:t>myndigheten</w:t>
      </w:r>
      <w:r w:rsidRPr="00B862AE">
        <w:t>) och dess årliga verksamhetsrapporter,</w:t>
      </w:r>
    </w:p>
    <w:p w:rsidR="006F178D" w:rsidRPr="00B862AE" w:rsidP="006F178D" w14:paraId="7B8E73B5" w14:textId="77777777">
      <w:pPr>
        <w:pStyle w:val="NormalHanging"/>
      </w:pPr>
      <w:r w:rsidRPr="00B862AE">
        <w:t>–</w:t>
      </w:r>
      <w:r w:rsidRPr="00B862AE">
        <w:tab/>
        <w:t xml:space="preserve">med beaktande av diskussionen med europeiska politiska stiftelser och institutionella </w:t>
      </w:r>
      <w:r w:rsidRPr="00B862AE">
        <w:t>intressenter den 18 mars 2026 i utskottet för konstitutionella frågor,</w:t>
      </w:r>
    </w:p>
    <w:p w:rsidR="006F178D" w:rsidRPr="00B862AE" w:rsidP="006F178D" w14:paraId="22F9E396" w14:textId="77777777">
      <w:pPr>
        <w:pStyle w:val="NormalHanging"/>
      </w:pPr>
      <w:r w:rsidRPr="00B862AE">
        <w:t>–</w:t>
      </w:r>
      <w:r w:rsidRPr="00B862AE">
        <w:tab/>
        <w:t>med beaktande av artikel 55 i arbetsordningen,</w:t>
      </w:r>
    </w:p>
    <w:p w:rsidR="006F178D" w:rsidRPr="00B862AE" w:rsidP="006F178D" w14:paraId="679CBCA5" w14:textId="77777777">
      <w:pPr>
        <w:pStyle w:val="NormalHanging"/>
      </w:pPr>
      <w:r w:rsidRPr="00B862AE">
        <w:t>–</w:t>
      </w:r>
      <w:r w:rsidRPr="00B862AE">
        <w:tab/>
        <w:t>med beaktande av betänkandet från utskottet för konstitutionella frågor (A10-0145/2026), och av följande skäl:</w:t>
      </w:r>
    </w:p>
    <w:p w:rsidR="006F178D" w:rsidRPr="00B862AE" w:rsidP="006F178D" w14:paraId="02FDE6E7" w14:textId="77777777">
      <w:pPr>
        <w:pStyle w:val="NormalHanging"/>
      </w:pPr>
      <w:r w:rsidRPr="00B862AE">
        <w:t>A.</w:t>
      </w:r>
      <w:r w:rsidRPr="00B862AE">
        <w:tab/>
        <w:t>Starka politiska partier och stiftelser på EU-nivå är avgörande för utvecklingen av en verkligt europeisk offentlig sfär.</w:t>
      </w:r>
    </w:p>
    <w:p w:rsidR="006F178D" w:rsidRPr="00B862AE" w:rsidP="006F178D" w14:paraId="618FE10A" w14:textId="77777777">
      <w:pPr>
        <w:pStyle w:val="NormalHanging"/>
      </w:pPr>
      <w:r w:rsidRPr="00B862AE">
        <w:t>B.</w:t>
      </w:r>
      <w:r w:rsidRPr="00B862AE">
        <w:tab/>
        <w:t>Europeiska politiska partier och europeiska politiska stiftelser bör spela en mer central roll i valet till Europaparlamentet och bidra till att skapa politisk medvetenhet om EU och uttrycka EU-medborgarnas vilja. Politisk mångfald är avgörande för den offentliga debatten och för att uttrycka medborgarnas val.</w:t>
      </w:r>
    </w:p>
    <w:p w:rsidR="006F178D" w:rsidRPr="00B862AE" w:rsidP="006F178D" w14:paraId="67B93485" w14:textId="77777777">
      <w:pPr>
        <w:pStyle w:val="NormalHanging"/>
      </w:pPr>
      <w:r w:rsidRPr="00B862AE">
        <w:t>C.</w:t>
      </w:r>
      <w:r w:rsidRPr="00B862AE">
        <w:tab/>
        <w:t>De europeiska politiska partierna och stiftelserna bör samarbeta med sina nationella medlemspartier och partner för att hjälpa dem att föra EU och dess politik närmare medborgarna och stärka den demokratiska legitimiteten.</w:t>
      </w:r>
    </w:p>
    <w:p w:rsidR="006F178D" w:rsidRPr="00B862AE" w:rsidP="006F178D" w14:paraId="4720B4C6" w14:textId="77777777">
      <w:pPr>
        <w:pStyle w:val="NormalHanging"/>
      </w:pPr>
      <w:r w:rsidRPr="00B862AE">
        <w:t>D.</w:t>
      </w:r>
      <w:r w:rsidRPr="00B862AE">
        <w:tab/>
        <w:t>Under 2025 registrerades ytterligare två stiftelser hos myndigheten. Den 31 december 2025 finansierades därmed tolv europeiska politiska partier och tolv anknutna europeiska politiska stiftelser genom EU:s budget.</w:t>
      </w:r>
    </w:p>
    <w:p w:rsidR="006F178D" w:rsidRPr="00B862AE" w:rsidP="006F178D" w14:paraId="4CC3DD55" w14:textId="77777777">
      <w:pPr>
        <w:pStyle w:val="NormalHanging"/>
      </w:pPr>
      <w:r w:rsidRPr="00B862AE">
        <w:t>E.</w:t>
      </w:r>
      <w:r w:rsidRPr="00B862AE">
        <w:tab/>
        <w:t>Den omarbetade förordningen trädde i kraft den 28 december 2025 och innehöll ett antal viktiga nyheter, bland annat tydligare regler om gemensam europeisk politisk verksamhet, ökade transparens- och rapporteringsskyldigheter, skärpta krav på tillbörlig aktsamhet för donationer och ett uttryckligt erkännande av egengenererade medel som en intäktskategori.</w:t>
      </w:r>
    </w:p>
    <w:p w:rsidR="006F178D" w:rsidRPr="00B862AE" w:rsidP="006F178D" w14:paraId="110ED1B6" w14:textId="77777777">
      <w:pPr>
        <w:pStyle w:val="NormalHanging"/>
      </w:pPr>
      <w:r w:rsidRPr="00B862AE">
        <w:t>F.</w:t>
      </w:r>
      <w:r w:rsidRPr="00B862AE">
        <w:tab/>
        <w:t>Förordningen har varit i kraft endast en kort tid. Uppgifterna om och erfarenheterna av genomförandet av förordningen är därför än så länge begränsade. För en omfattande bedömning av förordningens genomförande och effekter krävs tillräckligt med tid och ett tillräckligt faktaunderlag. Trots det kräver oförutsedda politiska utmaningar som uppstått omedelbart efter förordningens ikraftträdande, särskilt när det gäller finansieringen av politiska stiftelser, brådskande åtgärder.</w:t>
      </w:r>
    </w:p>
    <w:p w:rsidR="006F178D" w:rsidRPr="00B862AE" w:rsidP="006F178D" w14:paraId="008FDFB4" w14:textId="77777777">
      <w:pPr>
        <w:pStyle w:val="NormalHanging"/>
      </w:pPr>
      <w:r w:rsidRPr="00B862AE">
        <w:t>G.</w:t>
      </w:r>
      <w:r w:rsidRPr="00B862AE">
        <w:tab/>
        <w:t>I enlighet med den omarbetade förordningen ska parlamentet senast den 29 juni 2026 offentliggöra en rapport om tillämpningen av förordningen och om de finansierade verksamheterna. Efter offentliggörandet av parlamentets rapport kommer kommissionen att ha ett år på sig att lägga fram en rapport om tillämpningen av förordningen, som vid behov åtföljs av ett förslag till ändring av den.</w:t>
      </w:r>
    </w:p>
    <w:p w:rsidR="006F178D" w:rsidRPr="00B862AE" w:rsidP="006F178D" w14:paraId="2A85B2CA" w14:textId="77777777">
      <w:pPr>
        <w:pStyle w:val="NormalHanging"/>
      </w:pPr>
      <w:r w:rsidRPr="00B862AE">
        <w:t>H.</w:t>
      </w:r>
      <w:r w:rsidRPr="00B862AE">
        <w:tab/>
        <w:t>I kommissionens rapport bör särskild uppmärksamhet ägnas åt förordningens konsekvenser för små europeiska politiska partiers och europeiska politiska stiftelsers ställning och för reglerna för finansiering av europeiska politiska stiftelser.</w:t>
      </w:r>
    </w:p>
    <w:p w:rsidR="006F178D" w:rsidRPr="00B862AE" w:rsidP="006F178D" w14:paraId="6628C447" w14:textId="77777777">
      <w:pPr>
        <w:pStyle w:val="NormalHanging"/>
      </w:pPr>
      <w:r w:rsidRPr="00B862AE">
        <w:t>I.</w:t>
      </w:r>
      <w:r w:rsidRPr="00B862AE">
        <w:tab/>
        <w:t>Europeiska politiska stiftelser utgör en integrerad del av EU:s demokratiska struktur genom att stödja politisk debatt, politisk utveckling, forskning, utbildning och medborgardeltagande på EU-nivå och nationell nivå.</w:t>
      </w:r>
    </w:p>
    <w:p w:rsidR="006F178D" w:rsidRPr="00B862AE" w:rsidP="006F178D" w14:paraId="44FEB56A" w14:textId="77777777">
      <w:pPr>
        <w:pStyle w:val="NormalHanging"/>
      </w:pPr>
      <w:r w:rsidRPr="00B862AE">
        <w:t>J.</w:t>
      </w:r>
      <w:r w:rsidRPr="00B862AE">
        <w:tab/>
        <w:t xml:space="preserve">I de europeiska politiska stiftelsernas mandat ingår att öka den politiska medvetenheten och bidra till debatten om EU:s politiska frågor och den europeiska </w:t>
      </w:r>
      <w:r w:rsidRPr="00B862AE">
        <w:t>integrationsprocessen samt att tillhandahålla tjänster som inte uteslutande riktar sig till ett visst partis medlemmar eller väljare, utan är tillgängliga för alla på lika villkor.</w:t>
      </w:r>
    </w:p>
    <w:p w:rsidR="006F178D" w:rsidRPr="00B862AE" w:rsidP="006F178D" w14:paraId="7A828EF4" w14:textId="77777777">
      <w:pPr>
        <w:pStyle w:val="NormalHanging"/>
      </w:pPr>
      <w:r w:rsidRPr="00B862AE">
        <w:t>K.</w:t>
      </w:r>
      <w:r w:rsidRPr="00B862AE">
        <w:tab/>
        <w:t>Genomförandet av förordningen sker mot en bakgrund av djupgående geopolitisk instabilitet, som kännetecknas av ökad strategisk konkurrens, hybridhot, desinformation, tekniska omvälvningar, klimatförändringar och långsiktiga socioekonomiska förändringar.</w:t>
      </w:r>
    </w:p>
    <w:p w:rsidR="006F178D" w:rsidRPr="00B862AE" w:rsidP="006F178D" w14:paraId="7DB3129C" w14:textId="77777777">
      <w:pPr>
        <w:pStyle w:val="NormalHanging"/>
      </w:pPr>
      <w:r w:rsidRPr="00B862AE">
        <w:t>L.</w:t>
      </w:r>
      <w:r w:rsidRPr="00B862AE">
        <w:tab/>
        <w:t>Denna utveckling kräver att EU stärker sin kapacitet för strategisk framsyn, föregripande styrning och långsiktig politisk planering för att effektivt förbereda sig för utmaningarna under perioden fram till 2040 och därefter.</w:t>
      </w:r>
    </w:p>
    <w:p w:rsidR="006F178D" w:rsidRPr="00B862AE" w:rsidP="006F178D" w14:paraId="59DDE122" w14:textId="77777777">
      <w:pPr>
        <w:pStyle w:val="NormalHanging"/>
      </w:pPr>
      <w:r w:rsidRPr="00B862AE">
        <w:t>M.</w:t>
      </w:r>
      <w:r w:rsidRPr="00B862AE">
        <w:tab/>
        <w:t>Europeiska politiska stiftelser har unika förutsättningar att bidra till denna insats genom långsiktig forskning, jämförande analys, gränsöverskridande dialog, politisk utbildning och kapacitetsuppbyggnad.</w:t>
      </w:r>
    </w:p>
    <w:p w:rsidR="006F178D" w:rsidRPr="00B862AE" w:rsidP="006F178D" w14:paraId="3012B5EF" w14:textId="77777777">
      <w:pPr>
        <w:pStyle w:val="NormalHanging"/>
      </w:pPr>
      <w:r w:rsidRPr="00B862AE">
        <w:t>N.</w:t>
      </w:r>
      <w:r w:rsidRPr="00B862AE">
        <w:tab/>
        <w:t>Den nuvarande nivån och strukturen på den EU-finansiering som är tillgänglig för europeiska politiska stiftelser står inte längre i proportion till omfattningen, den strategiska relevansen och den ökande komplexiteten när det gäller deras uppgifter.</w:t>
      </w:r>
    </w:p>
    <w:p w:rsidR="006F178D" w:rsidRPr="00B862AE" w:rsidP="006F178D" w14:paraId="58DA70D5" w14:textId="77777777">
      <w:pPr>
        <w:pStyle w:val="NormalHanging"/>
      </w:pPr>
      <w:r w:rsidRPr="00B862AE">
        <w:t>O.</w:t>
      </w:r>
      <w:r w:rsidRPr="00B862AE">
        <w:tab/>
        <w:t>Politiska stiftelser har rapporterat om en oproportionerligt stor regelbörda och efterlyst en förenkling av regelkraven, särskilt när det gäller rapporterings- och transparenskrav, samt möjligheten att återinföra de korrigerande åtgärder som krävs för att säkerställa en väl fungerande finansieringsprocess.</w:t>
      </w:r>
    </w:p>
    <w:p w:rsidR="006F178D" w:rsidRPr="00B862AE" w:rsidP="006F178D" w14:paraId="4F278181" w14:textId="77777777">
      <w:pPr>
        <w:pStyle w:val="Normal12a"/>
      </w:pPr>
      <w:r w:rsidRPr="00B862AE">
        <w:rPr>
          <w:b/>
          <w:i/>
        </w:rPr>
        <w:t>Allmän bedömning av den omarbetade förordningen</w:t>
      </w:r>
    </w:p>
    <w:p w:rsidR="006F178D" w:rsidRPr="00B862AE" w:rsidP="006F178D" w14:paraId="39A021CF" w14:textId="77777777">
      <w:pPr>
        <w:pStyle w:val="NormalHanging12a"/>
      </w:pPr>
      <w:r w:rsidRPr="00B862AE">
        <w:t>1.</w:t>
      </w:r>
      <w:r w:rsidRPr="00B862AE">
        <w:tab/>
        <w:t>Europaparlamentet välkomnar antagandet av den omarbetade förordningen som ett viktigt steg mot att modernisera den rättsliga ramen för europeiska politiska partier och stiftelser och stärka den demokratiska integriteten på EU-nivå.</w:t>
      </w:r>
    </w:p>
    <w:p w:rsidR="006F178D" w:rsidRPr="00B862AE" w:rsidP="006F178D" w14:paraId="4F3DC3E9" w14:textId="77777777">
      <w:pPr>
        <w:pStyle w:val="NormalHanging12a"/>
      </w:pPr>
      <w:r w:rsidRPr="00B862AE">
        <w:t>2.</w:t>
      </w:r>
      <w:r w:rsidRPr="00B862AE">
        <w:tab/>
        <w:t>Europaparlamentet noterar att förordningen har förbättrat den rättsliga klarheten på flera områden, särskilt när det gäller gemensam europeisk politisk verksamhet, transparenskrav och skyddsåtgärder mot utländsk inblandning.</w:t>
      </w:r>
    </w:p>
    <w:p w:rsidR="006F178D" w:rsidRPr="00B862AE" w:rsidP="006F178D" w14:paraId="0F91A6F3" w14:textId="77777777">
      <w:pPr>
        <w:pStyle w:val="NormalHanging12a"/>
      </w:pPr>
      <w:r w:rsidRPr="00B862AE">
        <w:t>3.</w:t>
      </w:r>
      <w:r w:rsidRPr="00B862AE">
        <w:tab/>
        <w:t>Europaparlamentet betonar dock att erfarenheterna av och uppgifterna om genomförandet av den omarbetade förordningen än så länge är begränsade och att en mer djupgående och horisontell utvärdering kan genomföras först i ett senare skede. Parlamentet påpekar att de oförutsedda politiska utmaningar som uppstod omedelbart efter förordningens ikraftträdande, särskilt när det gäller finansieringen av politiska stiftelser, trots det kräver brådskande åtgärder.</w:t>
      </w:r>
    </w:p>
    <w:p w:rsidR="006F178D" w:rsidRPr="00B862AE" w:rsidP="006F178D" w14:paraId="61BE81EE" w14:textId="77777777">
      <w:pPr>
        <w:pStyle w:val="NormalHanging12a"/>
      </w:pPr>
      <w:r w:rsidRPr="00B862AE">
        <w:t>4.</w:t>
      </w:r>
      <w:r w:rsidRPr="00B862AE">
        <w:tab/>
        <w:t>Europaparlamentet noterar med oro stiftelsernas rapporter om en oproportionerligt stor regelbörda och åtar sig att ytterligare utreda och följa upp denna fråga i sin kommande systematiska utvärdering. Parlamentet betonar i detta sammanhang vikten av effektiva och proportionerliga korrigerande åtgärder som ett verktyg för att säkerställa efterlevnad av förordningen och åtar sig att se över användningen av dessa åtgärder i den senaste tidens praxis.</w:t>
      </w:r>
    </w:p>
    <w:p w:rsidR="006F178D" w:rsidRPr="00B862AE" w:rsidP="006F178D" w14:paraId="648B7681" w14:textId="77777777">
      <w:pPr>
        <w:pStyle w:val="NormalHanging12a"/>
      </w:pPr>
      <w:r w:rsidRPr="00B862AE">
        <w:t>5.</w:t>
      </w:r>
      <w:r w:rsidRPr="00B862AE">
        <w:tab/>
        <w:t xml:space="preserve">Europaparlamentet noterar den osäkerhet om rättsläget och de operativa begränsningar som europeiska politiska stiftelser fortfarande står inför, särskilt när det gäller </w:t>
      </w:r>
      <w:r w:rsidRPr="00B862AE">
        <w:t>klassificeringen av stödberättigande kostnader, och anser att dessa frågor kräver ett snabbt klargörande.</w:t>
      </w:r>
    </w:p>
    <w:p w:rsidR="006F178D" w:rsidRPr="00B862AE" w:rsidP="006F178D" w14:paraId="554E140B" w14:textId="77777777">
      <w:pPr>
        <w:pStyle w:val="Normal12a"/>
      </w:pPr>
      <w:r w:rsidRPr="00B862AE">
        <w:rPr>
          <w:b/>
          <w:i/>
        </w:rPr>
        <w:t>De europeiska politiska stiftelsernas roll</w:t>
      </w:r>
    </w:p>
    <w:p w:rsidR="006F178D" w:rsidRPr="00B862AE" w:rsidP="006F178D" w14:paraId="2F63DA64" w14:textId="77777777">
      <w:pPr>
        <w:pStyle w:val="NormalHanging12a"/>
      </w:pPr>
      <w:r w:rsidRPr="00B862AE">
        <w:t>6.</w:t>
      </w:r>
      <w:r w:rsidRPr="00B862AE">
        <w:tab/>
        <w:t>Europaparlamentet upprepar att europeiska politiska stiftelser spelar en särskild institutionell roll enligt fördragen genom att främja europeisk politisk medvetenhet, stödja evidensbaserat beslutsfattande och stärka den demokratiska kulturen och medborgarengagemanget i hela EU.</w:t>
      </w:r>
    </w:p>
    <w:p w:rsidR="006F178D" w:rsidRPr="00B862AE" w:rsidP="006F178D" w14:paraId="24BDF37D" w14:textId="77777777">
      <w:pPr>
        <w:pStyle w:val="NormalHanging12a"/>
      </w:pPr>
      <w:r w:rsidRPr="00B862AE">
        <w:t>7.</w:t>
      </w:r>
      <w:r w:rsidRPr="00B862AE">
        <w:tab/>
        <w:t>Europaparlamentet uppmärksammar att den geopolitiska och tekniska miljön har blivit alltmer instabil sedan offentliggörandet av kommissionens förslag från 2021 till omarbetning av förordning (EU, Euratom) nr 1141/2014</w:t>
      </w:r>
      <w:r>
        <w:rPr>
          <w:rStyle w:val="FootnoteReference"/>
        </w:rPr>
        <w:footnoteReference w:customMarkFollows="1" w:id="5"/>
        <w:t xml:space="preserve">4</w:t>
      </w:r>
      <w:r w:rsidRPr="00B862AE">
        <w:t>, och att den kännetecknas av ökade säkerhetsspänningar, utländsk inblandning i demokratiska processer och påskyndad socioekonomisk omvandling. Parlamentet understryker att denna utveckling ökar vikten av långsiktig politisk planering, demokratisk utbildning och gränsöverskridande dialog, som är verksamhet till vilken europeiska politiska stiftelser ger ett särskilt bidrag.</w:t>
      </w:r>
    </w:p>
    <w:p w:rsidR="006F178D" w:rsidRPr="00B862AE" w:rsidP="006F178D" w14:paraId="2632CEFD" w14:textId="77777777">
      <w:pPr>
        <w:pStyle w:val="NormalHanging12a"/>
      </w:pPr>
      <w:r w:rsidRPr="00B862AE">
        <w:t>8.</w:t>
      </w:r>
      <w:r w:rsidRPr="00B862AE">
        <w:tab/>
        <w:t>Europaparlamentet konstaterar att de europeiska politiska stiftelserna, med tanke på sina utökade ansvarsområden, behöver tillgång till nödvändiga finansiella verktyg samt lämpliga och stabila resurser för att fullt ut kunna axla sin institutionella roll, med utgångspunkt i de förbättringar som införts genom förordningen.</w:t>
      </w:r>
    </w:p>
    <w:p w:rsidR="006F178D" w:rsidRPr="00B862AE" w:rsidP="006F178D" w14:paraId="063B8BD1" w14:textId="77777777">
      <w:pPr>
        <w:pStyle w:val="Normal12a"/>
      </w:pPr>
      <w:r w:rsidRPr="00B862AE">
        <w:rPr>
          <w:b/>
          <w:i/>
        </w:rPr>
        <w:t>Förslag till förbättringar</w:t>
      </w:r>
    </w:p>
    <w:p w:rsidR="006F178D" w:rsidRPr="00B862AE" w:rsidP="006F178D" w14:paraId="356F847A" w14:textId="77777777">
      <w:pPr>
        <w:pStyle w:val="NormalHanging12a"/>
      </w:pPr>
      <w:r w:rsidRPr="00B862AE">
        <w:t>9.</w:t>
      </w:r>
      <w:r w:rsidRPr="00B862AE">
        <w:tab/>
        <w:t>Europaparlamentet understryker behovet att säkerställa att europeiska politiska stiftelser får en solid rättslig ram och ekonomisk säkerhet. Parlamentet åtar sig att samarbeta med stiftelserna för att tillhandahålla denna säkerhet i den utsträckning som den befintliga ramen medger, särskilt genom en översyn av det sätt på vilket stiftelser får ekonomiskt stöd från sina medlemsorganisationer. Parlamentet påpekar att förordningen inte förbjuder en flexibel och deltagandebaserad modell för medlemsavgifter genom vilken medlemsorganisationer bidrar på grundval av sin grad av deltagande i gemensam verksamhet. Parlamentet understryker att den gemensamma verksamheten i sig bör förbli budgetneutral och inte bör generera intäkter för stiftelser som överstiger de faktiska kostnaderna.</w:t>
      </w:r>
    </w:p>
    <w:p w:rsidR="006F178D" w:rsidRPr="00B862AE" w:rsidP="006F178D" w14:paraId="123A14F7" w14:textId="77777777">
      <w:pPr>
        <w:pStyle w:val="NormalHanging12a"/>
      </w:pPr>
      <w:r w:rsidRPr="00B862AE">
        <w:t>10.</w:t>
      </w:r>
      <w:r w:rsidRPr="00B862AE">
        <w:tab/>
        <w:t>Europaparlamentet uppmanar de europeiska politiska stiftelserna att maximera finansieringsmöjligheterna inom den befintliga ramen. Parlamentet framhåller att finansieringen av europeiska politiska stiftelser genom de europeiska politiska partiernas egna medel i nuläget är tillåten enligt artikel 2.10 i den nuvarande förordningen. Parlamentet uppmanar både de europeiska politiska partierna och stiftelserna att ingå samarbetsarrangemang genom vilka stiftelserna får kompensation av partierna för sina bidrag till eventuellt gemensamt arbete, med beaktande av deras respektive roller enligt fördragen.</w:t>
      </w:r>
    </w:p>
    <w:p w:rsidR="006F178D" w:rsidRPr="00B862AE" w:rsidP="006F178D" w14:paraId="5942F6A2" w14:textId="77777777">
      <w:pPr>
        <w:pStyle w:val="NormalHanging12a"/>
      </w:pPr>
      <w:r w:rsidRPr="00B862AE">
        <w:t>11.</w:t>
      </w:r>
      <w:r w:rsidRPr="00B862AE">
        <w:tab/>
        <w:t>Europaparlamentet understryker vidare att förordningen inte förbjuder nationella stiftelser som inte är politiska stiftelser att bli medlemmar i och betala medlemsavgifter till europeiska politiska stiftelser.</w:t>
      </w:r>
    </w:p>
    <w:p w:rsidR="006F178D" w:rsidRPr="00B862AE" w:rsidP="006F178D" w14:paraId="78FC99D0" w14:textId="77777777">
      <w:pPr>
        <w:pStyle w:val="NormalHanging12a"/>
      </w:pPr>
      <w:r w:rsidRPr="00B862AE">
        <w:t>12.</w:t>
      </w:r>
      <w:r w:rsidRPr="00B862AE">
        <w:tab/>
        <w:t>Europaparlamentet anser att artikel 25 i den nuvarande förordningen skulle kunna förtydligas så att det uttryckligen bekräftas att deltagaravgifter kan tas ut av medlemsorganisationer för deras deltagande i verksamhet som anordnas av en europeisk politisk stiftelse.</w:t>
      </w:r>
    </w:p>
    <w:p w:rsidR="006F178D" w:rsidRPr="00B862AE" w:rsidP="006F178D" w14:paraId="0DA5AF29" w14:textId="77777777">
      <w:pPr>
        <w:pStyle w:val="NormalHanging12a"/>
      </w:pPr>
      <w:r w:rsidRPr="00B862AE">
        <w:t>13.</w:t>
      </w:r>
      <w:r w:rsidRPr="00B862AE">
        <w:tab/>
        <w:t>Europaparlamentet noterar att en strikt tillämpning av definitionen av medlemsavgifter, den ekonomiska och administrativa pressen att komplettera bidrag från EU:s budget med egengenererade medel, de regler som gäller för gemensam europeisk politisk verksamhet med medlemsstiftelser och den övergripande nivån på EU:s finansiering begränsar de europeiska politiska stiftelsernas finansiella autonomi och hållbarhet, särskilt med tanke på deras växande ansvar, och understryker att en hållbar finansieringsram är avgörande för att bevara deras oberoende och förhindra otillbörlig privat påverkan.</w:t>
      </w:r>
    </w:p>
    <w:p w:rsidR="006F178D" w:rsidRPr="00B862AE" w:rsidP="006F178D" w14:paraId="283D6F45" w14:textId="77777777">
      <w:pPr>
        <w:pStyle w:val="NormalHanging12a"/>
      </w:pPr>
      <w:r w:rsidRPr="00B862AE">
        <w:t>14.</w:t>
      </w:r>
      <w:r w:rsidRPr="00B862AE">
        <w:tab/>
        <w:t>Europaparlamentet betonar att europeiska politiska stiftelser, som en del av diversifieringen av egna medel, får ta emot donationer från fysiska eller juridiska personer till ett värde av högst 18 000 euro per år och givare. Parlamentet anser att taket för dessa donationer skulle kunna höjas för att ge europeiska politiska stiftelser större flexibilitet.</w:t>
      </w:r>
    </w:p>
    <w:p w:rsidR="006F178D" w:rsidRPr="00B862AE" w:rsidP="006F178D" w14:paraId="57E26675" w14:textId="77777777">
      <w:pPr>
        <w:pStyle w:val="NormalHanging12a"/>
      </w:pPr>
      <w:r w:rsidRPr="00B862AE">
        <w:t>15.</w:t>
      </w:r>
      <w:r w:rsidRPr="00B862AE">
        <w:tab/>
        <w:t>Europaparlamentet uppmuntrar myndigheten att i samarbete med kommissionen fortsätta och vidareutveckla sin dialog med nationella behöriga myndigheter, i syfte att öka medvetenheten om de nationella finansieringsramarnas inverkan på de europeiska politiska stiftelsernas funktion och identifiera praktiska lösningar som syftar till att undvika oavsiktliga begränsningar av deras finansiella hållbarhet.</w:t>
      </w:r>
    </w:p>
    <w:p w:rsidR="006F178D" w:rsidRPr="00B862AE" w:rsidP="006F178D" w14:paraId="23817FC8" w14:textId="77777777">
      <w:pPr>
        <w:pStyle w:val="NormalHanging12a"/>
      </w:pPr>
      <w:r w:rsidRPr="00B862AE">
        <w:t>16.</w:t>
      </w:r>
      <w:r w:rsidRPr="00B862AE">
        <w:tab/>
        <w:t xml:space="preserve">Europaparlamentet föreslår att det inrättas ett gemensamt </w:t>
      </w:r>
      <w:r w:rsidRPr="00B862AE">
        <w:t>onlinesystem</w:t>
      </w:r>
      <w:r w:rsidRPr="00B862AE">
        <w:t xml:space="preserve"> för rapportering och offentliggörande av EU-finansiering, donationer och bidrag till europeiska politiska stiftelser, i syfte att säkerställa tillräcklig transparens för medborgarna, förbättra övervakningen av efterlevnaden och minska de rapporterande enheternas administrativa börda och efterlevnadsbörda.</w:t>
      </w:r>
    </w:p>
    <w:p w:rsidR="006F178D" w:rsidRPr="00B862AE" w:rsidP="006F178D" w14:paraId="3A0FD700" w14:textId="77777777">
      <w:pPr>
        <w:pStyle w:val="NormalHanging12a"/>
      </w:pPr>
      <w:r w:rsidRPr="00B862AE">
        <w:t>17.</w:t>
      </w:r>
      <w:r w:rsidRPr="00B862AE">
        <w:tab/>
        <w:t>Europaparlamentet erkänner de europeiska politiska stiftelsernas insatser för att diversifiera och stabilisera sina finansieringskällor inom det befintliga regelverket och uppmuntrar till en fortsatt balanserad och transparent användning av tillgängliga mekanismer för egna medel.</w:t>
      </w:r>
    </w:p>
    <w:p w:rsidR="006F178D" w:rsidRPr="00B862AE" w:rsidP="006F178D" w14:paraId="0CB7EF73" w14:textId="77777777">
      <w:pPr>
        <w:pStyle w:val="Normal12a"/>
      </w:pPr>
      <w:r w:rsidRPr="00B862AE">
        <w:rPr>
          <w:b/>
          <w:i/>
        </w:rPr>
        <w:t>Slutliga överväganden</w:t>
      </w:r>
    </w:p>
    <w:p w:rsidR="006F178D" w:rsidRPr="00B862AE" w:rsidP="006F178D" w14:paraId="0769B718" w14:textId="77777777">
      <w:pPr>
        <w:pStyle w:val="NormalHanging12a"/>
      </w:pPr>
      <w:r w:rsidRPr="00B862AE">
        <w:t>18.</w:t>
      </w:r>
      <w:r w:rsidRPr="00B862AE">
        <w:tab/>
        <w:t>Europaparlamentet uppmanar kommissionen att genomföra en riktad översyn av de finansieringsbestämmelser som är tillämpliga på europeiska politiska stiftelser enligt förordningen, med utgångspunkt i slutsatserna av detta betänkande och de erfarenheter som gjorts sedan den omarbetade förordningen trädde i kraft.</w:t>
      </w:r>
    </w:p>
    <w:p w:rsidR="006F178D" w:rsidRPr="00B862AE" w:rsidP="006F178D" w14:paraId="7DA1BC8D" w14:textId="77777777">
      <w:pPr>
        <w:pStyle w:val="NormalHanging12a"/>
      </w:pPr>
      <w:r w:rsidRPr="00B862AE">
        <w:t>19.</w:t>
      </w:r>
      <w:r w:rsidRPr="00B862AE">
        <w:tab/>
        <w:t xml:space="preserve">Europaparlamentet uppmanar kommissionen att se över huruvida nationella regelverk eller nationella politiska ramar förbjuder eller hindrar utbetalningar av bidrag från </w:t>
      </w:r>
      <w:r w:rsidRPr="00B862AE">
        <w:t>nationella enheter, inbegripet politiska stiftelser, till europeiska politiska stiftelser och att följa upp med nödvändiga åtgärder.</w:t>
      </w:r>
    </w:p>
    <w:p w:rsidR="006F178D" w:rsidRPr="00B862AE" w:rsidP="006F178D" w14:paraId="40CB6D33" w14:textId="77777777">
      <w:pPr>
        <w:pStyle w:val="NormalHanging12a"/>
      </w:pPr>
      <w:r w:rsidRPr="00B862AE">
        <w:t>20.</w:t>
      </w:r>
      <w:r w:rsidRPr="00B862AE">
        <w:tab/>
        <w:t>Europaparlamentet uppmanar kommissionen att lägga fram ett omarbetat lagstiftningsförslag om översyn av finansieringsreglerna för europeiska politiska stiftelser, inbegripet en ändring av artikel 22.4 i förordningen för att höja taket för ekonomiska bidrag från EU:s allmänna budget till 100 % av en europeisk politisk stiftelses stödberättigande kostnader. Parlamentet uppmanar dessutom kommissionen att i detta förslag inkludera en ändring av artikel 25 för att höja taket för donationer till europeiska politiska stiftelser och därmed säkerställa större flexibilitet och diversifiering av finansieringskällorna.</w:t>
      </w:r>
    </w:p>
    <w:p w:rsidR="006F178D" w:rsidRPr="00B862AE" w:rsidP="006F178D" w14:paraId="572920A8" w14:textId="77777777">
      <w:pPr>
        <w:pStyle w:val="NormalHanging12a"/>
      </w:pPr>
      <w:r w:rsidRPr="00B862AE">
        <w:t>21.</w:t>
      </w:r>
      <w:r w:rsidRPr="00B862AE">
        <w:tab/>
        <w:t>Europaparlamentet åtar sig att öka den övergripande nivån på EU:s finansiering av politiska stiftelser inom ramen för den kommande fleråriga budgetramen för 2028–2034, för att ta hänsyn till de senaste årens avsaknad av budgetindexeringar samt den stigande inflationen och de ökande driftskostnaderna, i syfte att säkerställa lämpliga, stabila och förutsägbara finansiella resurser, göra det möjligt för stiftelser att ägna sig åt långsiktig strategisk framsyn och kapacitetsuppbyggnad och upprätthålla höga standarder för transparens, ansvarsskyldighet och oberoende, samt att säkerställa proportionalitet mellan efterlevnadsskyldigheter och tillgänglig finansiering.</w:t>
      </w:r>
    </w:p>
    <w:p w:rsidR="006F178D" w:rsidRPr="00B862AE" w:rsidP="006F178D" w14:paraId="5FD6B2C8" w14:textId="77777777">
      <w:pPr>
        <w:pStyle w:val="NormalHanging12a"/>
      </w:pPr>
      <w:r w:rsidRPr="00B862AE">
        <w:t>22.</w:t>
      </w:r>
      <w:r w:rsidRPr="00B862AE">
        <w:tab/>
        <w:t>Europaparlamentet drar slutsatsen att tillhandahållandet av lämplig finansiering till europeiska politiska stiftelser utgör en strategisk investering i EU:s demokratiska motståndskraft och långsiktiga styrningskapacitet.</w:t>
      </w:r>
    </w:p>
    <w:p w:rsidR="006F178D" w:rsidRPr="00B862AE" w:rsidP="006F178D" w14:paraId="4A95961F" w14:textId="77777777">
      <w:pPr>
        <w:pStyle w:val="NormalCenter12a"/>
      </w:pPr>
      <w:r w:rsidRPr="00B862AE">
        <w:t>°</w:t>
      </w:r>
    </w:p>
    <w:p w:rsidR="006F178D" w:rsidRPr="00B862AE" w:rsidP="006F178D" w14:paraId="67ACF994" w14:textId="77777777">
      <w:pPr>
        <w:pStyle w:val="NormalCenter12a"/>
      </w:pPr>
      <w:r w:rsidRPr="00B862AE">
        <w:t>°</w:t>
      </w:r>
      <w:r w:rsidRPr="00B862AE">
        <w:tab/>
        <w:t>°</w:t>
      </w:r>
    </w:p>
    <w:p w:rsidR="00E365E1" w:rsidRPr="00B862AE" w:rsidP="00DB7F31" w14:paraId="088DF30F" w14:textId="477EE102">
      <w:pPr>
        <w:pStyle w:val="NormalHanging12a"/>
      </w:pPr>
      <w:r w:rsidRPr="00B862AE">
        <w:t>23.</w:t>
      </w:r>
      <w:r w:rsidRPr="00B862AE">
        <w:tab/>
        <w:t>Europaparlamentet uppdrar åt talmannen att översända denna resolution till rådet och kommissionen.</w:t>
      </w:r>
    </w:p>
    <w:sectPr w:rsidSect="00DE4C1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3681F7D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2581729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68CFE66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33C8" w:rsidRPr="00DE4C1C" w14:paraId="4E713CFF" w14:textId="77777777">
      <w:r w:rsidRPr="00DE4C1C">
        <w:separator/>
      </w:r>
    </w:p>
  </w:footnote>
  <w:footnote w:type="continuationSeparator" w:id="1">
    <w:p w:rsidR="005033C8" w:rsidRPr="00DE4C1C" w14:paraId="0614BC6D" w14:textId="77777777">
      <w:r w:rsidRPr="00DE4C1C">
        <w:continuationSeparator/>
      </w:r>
    </w:p>
  </w:footnote>
  <w:footnote w:id="2">
    <w:p w:rsidR="006F178D" w:rsidRPr="00E0317D" w:rsidP="00DE4C1C" w14:paraId="3BB5C3BA" w14:textId="280731BD">
      <w:pPr>
        <w:pStyle w:val="FootnoteText"/>
        <w:ind w:left="567" w:hanging="567"/>
        <w:rPr>
          <w:sz w:val="24"/>
          <w:lang w:val="fi-FI"/>
        </w:rPr>
      </w:pPr>
      <w:r w:rsidRPr="00E0317D">
        <w:rPr>
          <w:rStyle w:val="FootnoteReference"/>
          <w:sz w:val="24"/>
          <w:lang w:val="fi-FI"/>
        </w:rPr>
        <w:t>1</w:t>
      </w:r>
      <w:r w:rsidRPr="00E0317D" w:rsidR="00DE4C1C">
        <w:rPr>
          <w:sz w:val="24"/>
          <w:lang w:val="fi-FI"/>
        </w:rPr>
        <w:t xml:space="preserve"> </w:t>
      </w:r>
      <w:r w:rsidRPr="00E0317D" w:rsidR="00DE4C1C">
        <w:rPr>
          <w:sz w:val="24"/>
          <w:lang w:val="fi-FI"/>
        </w:rPr>
        <w:tab/>
      </w:r>
      <w:r w:rsidRPr="00E0317D">
        <w:rPr>
          <w:sz w:val="24"/>
          <w:lang w:val="fi-FI"/>
        </w:rPr>
        <w:t xml:space="preserve">EUT L, 2025/2445, 8.12.2025, ELI: </w:t>
      </w:r>
      <w:hyperlink r:id="rId1" w:tgtFrame="http://data.europa.eu/eli/reg/2025/2445/oj" w:history="1">
        <w:r w:rsidRPr="00E0317D">
          <w:rPr>
            <w:rStyle w:val="Hyperlink"/>
            <w:sz w:val="24"/>
            <w:lang w:val="fi-FI"/>
          </w:rPr>
          <w:t>http://data.europa.eu/eli/reg/2025/2445/oj</w:t>
        </w:r>
      </w:hyperlink>
      <w:r w:rsidRPr="00E0317D">
        <w:rPr>
          <w:sz w:val="24"/>
          <w:lang w:val="fi-FI"/>
        </w:rPr>
        <w:t>.</w:t>
      </w:r>
    </w:p>
  </w:footnote>
  <w:footnote w:id="3">
    <w:p w:rsidR="006F178D" w:rsidRPr="00E0317D" w:rsidP="00DE4C1C" w14:paraId="47229C53" w14:textId="35F09689">
      <w:pPr>
        <w:pStyle w:val="FootnoteText"/>
        <w:ind w:left="567" w:hanging="567"/>
        <w:rPr>
          <w:sz w:val="24"/>
          <w:lang w:val="fi-FI"/>
        </w:rPr>
      </w:pPr>
      <w:r w:rsidRPr="00E0317D">
        <w:rPr>
          <w:rStyle w:val="FootnoteReference"/>
          <w:sz w:val="24"/>
          <w:lang w:val="fi-FI"/>
        </w:rPr>
        <w:t>2</w:t>
      </w:r>
      <w:r w:rsidRPr="00E0317D" w:rsidR="00DE4C1C">
        <w:rPr>
          <w:sz w:val="24"/>
          <w:lang w:val="fi-FI"/>
        </w:rPr>
        <w:t xml:space="preserve"> </w:t>
      </w:r>
      <w:r w:rsidRPr="00E0317D" w:rsidR="00DE4C1C">
        <w:rPr>
          <w:sz w:val="24"/>
          <w:lang w:val="fi-FI"/>
        </w:rPr>
        <w:tab/>
      </w:r>
      <w:r w:rsidRPr="00E0317D">
        <w:rPr>
          <w:sz w:val="24"/>
          <w:lang w:val="fi-FI"/>
        </w:rPr>
        <w:t xml:space="preserve">EUT L, 2024/2509, 26.9.2024, ELI: </w:t>
      </w:r>
      <w:hyperlink r:id="rId2" w:tgtFrame="http://data.europa.eu/eli/reg/2024/2509/oj" w:history="1">
        <w:r w:rsidRPr="00E0317D">
          <w:rPr>
            <w:rStyle w:val="Hyperlink"/>
            <w:sz w:val="24"/>
            <w:lang w:val="fi-FI"/>
          </w:rPr>
          <w:t>http://data.europa.eu/eli/reg/2024/2509/oj</w:t>
        </w:r>
      </w:hyperlink>
      <w:r w:rsidRPr="00E0317D">
        <w:rPr>
          <w:sz w:val="24"/>
          <w:lang w:val="fi-FI"/>
        </w:rPr>
        <w:t>.</w:t>
      </w:r>
    </w:p>
  </w:footnote>
  <w:footnote w:id="4">
    <w:p w:rsidR="006F178D" w:rsidRPr="00DE4C1C" w:rsidP="00DE4C1C" w14:paraId="15D3E942" w14:textId="0042BA29">
      <w:pPr>
        <w:pStyle w:val="FootnoteText"/>
        <w:ind w:left="567" w:hanging="567"/>
        <w:rPr>
          <w:sz w:val="24"/>
          <w:lang w:val="sv-SE"/>
        </w:rPr>
      </w:pPr>
      <w:r w:rsidRPr="00DE4C1C">
        <w:rPr>
          <w:rStyle w:val="FootnoteReference"/>
          <w:sz w:val="24"/>
          <w:lang w:val="sv-SE"/>
        </w:rPr>
        <w:t>3</w:t>
      </w:r>
      <w:r w:rsidRPr="00DE4C1C" w:rsidR="00DE4C1C">
        <w:rPr>
          <w:sz w:val="24"/>
          <w:lang w:val="sv-SE"/>
        </w:rPr>
        <w:t xml:space="preserve"> </w:t>
      </w:r>
      <w:r w:rsidRPr="00DE4C1C" w:rsidR="00DE4C1C">
        <w:rPr>
          <w:sz w:val="24"/>
          <w:lang w:val="sv-SE"/>
        </w:rPr>
        <w:tab/>
      </w:r>
      <w:r w:rsidRPr="00DE4C1C">
        <w:rPr>
          <w:sz w:val="24"/>
          <w:lang w:val="sv-SE"/>
        </w:rPr>
        <w:t>EUT C 205, 20.5.2022, s. 37.</w:t>
      </w:r>
    </w:p>
  </w:footnote>
  <w:footnote w:id="5">
    <w:p w:rsidR="006F178D" w:rsidRPr="00DE4C1C" w:rsidP="00DE4C1C" w14:paraId="7DA838ED" w14:textId="2DF174DF">
      <w:pPr>
        <w:pStyle w:val="FootnoteText"/>
        <w:ind w:left="567" w:hanging="567"/>
        <w:rPr>
          <w:sz w:val="24"/>
          <w:lang w:val="sv-SE"/>
        </w:rPr>
      </w:pPr>
      <w:r w:rsidRPr="00DE4C1C">
        <w:rPr>
          <w:rStyle w:val="FootnoteReference"/>
          <w:sz w:val="24"/>
          <w:lang w:val="sv-SE"/>
        </w:rPr>
        <w:t>4</w:t>
      </w:r>
      <w:r w:rsidRPr="00DE4C1C" w:rsidR="00DE4C1C">
        <w:rPr>
          <w:sz w:val="24"/>
          <w:lang w:val="sv-SE"/>
        </w:rPr>
        <w:t xml:space="preserve"> </w:t>
      </w:r>
      <w:r w:rsidRPr="00DE4C1C" w:rsidR="00DE4C1C">
        <w:rPr>
          <w:sz w:val="24"/>
          <w:lang w:val="sv-SE"/>
        </w:rPr>
        <w:tab/>
      </w:r>
      <w:r w:rsidRPr="00DE4C1C">
        <w:rPr>
          <w:sz w:val="24"/>
          <w:lang w:val="sv-SE"/>
        </w:rPr>
        <w:t>Kommissionens förslag av den 25 november 2021 till Europaparlamentets och rådets förordning om stadgar för och finansiering av europeiska politiska partier och europeiska politiska stiftelser (omarbetning) (COM(2021)0734).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0C94E5C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16C8F15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E4C1C" w14:paraId="56E33FE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037523">
    <w:abstractNumId w:val="9"/>
  </w:num>
  <w:num w:numId="2" w16cid:durableId="1965304356">
    <w:abstractNumId w:val="9"/>
  </w:num>
  <w:num w:numId="3" w16cid:durableId="1015688607">
    <w:abstractNumId w:val="7"/>
  </w:num>
  <w:num w:numId="4" w16cid:durableId="955794447">
    <w:abstractNumId w:val="7"/>
  </w:num>
  <w:num w:numId="5" w16cid:durableId="1394043284">
    <w:abstractNumId w:val="6"/>
  </w:num>
  <w:num w:numId="6" w16cid:durableId="72777713">
    <w:abstractNumId w:val="6"/>
  </w:num>
  <w:num w:numId="7" w16cid:durableId="245264684">
    <w:abstractNumId w:val="5"/>
  </w:num>
  <w:num w:numId="8" w16cid:durableId="44068300">
    <w:abstractNumId w:val="5"/>
  </w:num>
  <w:num w:numId="9" w16cid:durableId="257762879">
    <w:abstractNumId w:val="4"/>
  </w:num>
  <w:num w:numId="10" w16cid:durableId="177279352">
    <w:abstractNumId w:val="4"/>
  </w:num>
  <w:num w:numId="11" w16cid:durableId="678822782">
    <w:abstractNumId w:val="8"/>
  </w:num>
  <w:num w:numId="12" w16cid:durableId="2134903464">
    <w:abstractNumId w:val="8"/>
  </w:num>
  <w:num w:numId="13" w16cid:durableId="1269002115">
    <w:abstractNumId w:val="3"/>
  </w:num>
  <w:num w:numId="14" w16cid:durableId="1179079246">
    <w:abstractNumId w:val="3"/>
  </w:num>
  <w:num w:numId="15" w16cid:durableId="1794472338">
    <w:abstractNumId w:val="2"/>
  </w:num>
  <w:num w:numId="16" w16cid:durableId="234556703">
    <w:abstractNumId w:val="2"/>
  </w:num>
  <w:num w:numId="17" w16cid:durableId="760025810">
    <w:abstractNumId w:val="1"/>
  </w:num>
  <w:num w:numId="18" w16cid:durableId="1187981260">
    <w:abstractNumId w:val="1"/>
  </w:num>
  <w:num w:numId="19" w16cid:durableId="1605193010">
    <w:abstractNumId w:val="0"/>
  </w:num>
  <w:num w:numId="20" w16cid:durableId="528183455">
    <w:abstractNumId w:val="0"/>
  </w:num>
  <w:num w:numId="21" w16cid:durableId="2101946867">
    <w:abstractNumId w:val="9"/>
  </w:num>
  <w:num w:numId="22" w16cid:durableId="249775868">
    <w:abstractNumId w:val="7"/>
  </w:num>
  <w:num w:numId="23" w16cid:durableId="2065398797">
    <w:abstractNumId w:val="6"/>
  </w:num>
  <w:num w:numId="24" w16cid:durableId="1439327384">
    <w:abstractNumId w:val="5"/>
  </w:num>
  <w:num w:numId="25" w16cid:durableId="1532259519">
    <w:abstractNumId w:val="4"/>
  </w:num>
  <w:num w:numId="26" w16cid:durableId="1415937689">
    <w:abstractNumId w:val="8"/>
  </w:num>
  <w:num w:numId="27" w16cid:durableId="754519378">
    <w:abstractNumId w:val="3"/>
  </w:num>
  <w:num w:numId="28" w16cid:durableId="746807382">
    <w:abstractNumId w:val="2"/>
  </w:num>
  <w:num w:numId="29" w16cid:durableId="1680620661">
    <w:abstractNumId w:val="1"/>
  </w:num>
  <w:num w:numId="30" w16cid:durableId="1581136901">
    <w:abstractNumId w:val="0"/>
  </w:num>
  <w:num w:numId="31" w16cid:durableId="1755398638">
    <w:abstractNumId w:val="9"/>
  </w:num>
  <w:num w:numId="32" w16cid:durableId="835531270">
    <w:abstractNumId w:val="7"/>
  </w:num>
  <w:num w:numId="33" w16cid:durableId="1234122509">
    <w:abstractNumId w:val="6"/>
  </w:num>
  <w:num w:numId="34" w16cid:durableId="725418366">
    <w:abstractNumId w:val="5"/>
  </w:num>
  <w:num w:numId="35" w16cid:durableId="123039793">
    <w:abstractNumId w:val="4"/>
  </w:num>
  <w:num w:numId="36" w16cid:durableId="29696981">
    <w:abstractNumId w:val="8"/>
  </w:num>
  <w:num w:numId="37" w16cid:durableId="1377503716">
    <w:abstractNumId w:val="3"/>
  </w:num>
  <w:num w:numId="38" w16cid:durableId="1715080991">
    <w:abstractNumId w:val="2"/>
  </w:num>
  <w:num w:numId="39" w16cid:durableId="1962612659">
    <w:abstractNumId w:val="1"/>
  </w:num>
  <w:num w:numId="40" w16cid:durableId="459496529">
    <w:abstractNumId w:val="0"/>
  </w:num>
  <w:num w:numId="41" w16cid:durableId="55714104">
    <w:abstractNumId w:val="10"/>
  </w:num>
  <w:num w:numId="42" w16cid:durableId="1682706809">
    <w:abstractNumId w:val="10"/>
  </w:num>
  <w:num w:numId="43" w16cid:durableId="517700218">
    <w:abstractNumId w:val="10"/>
  </w:num>
  <w:num w:numId="44" w16cid:durableId="664750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2"/>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3C8"/>
    <w:rsid w:val="000012AE"/>
    <w:rsid w:val="00002272"/>
    <w:rsid w:val="00064002"/>
    <w:rsid w:val="000677B9"/>
    <w:rsid w:val="0008283D"/>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D0F"/>
    <w:rsid w:val="005033C8"/>
    <w:rsid w:val="0050519A"/>
    <w:rsid w:val="005072A1"/>
    <w:rsid w:val="00514517"/>
    <w:rsid w:val="00545827"/>
    <w:rsid w:val="00560270"/>
    <w:rsid w:val="005C2568"/>
    <w:rsid w:val="005F1B17"/>
    <w:rsid w:val="006037C0"/>
    <w:rsid w:val="006631B6"/>
    <w:rsid w:val="00680577"/>
    <w:rsid w:val="006F17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2A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F31"/>
    <w:rsid w:val="00DE4C1C"/>
    <w:rsid w:val="00E0317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5/2026"/>
    <w:docVar w:name="dvlangue" w:val="SV"/>
    <w:docVar w:name="dvnumam" w:val="0"/>
    <w:docVar w:name="dvpe" w:val="784.388"/>
    <w:docVar w:name="dvrapporteur" w:val="Föredragande: "/>
    <w:docVar w:name="dvtitre" w:val="Europaparlamentets resolution av den xx xx 2026 om Europeiska politiska partier och stiftelser – 2026 års rapport om tillämpningen av förordning (EU, Euratom) 2025/2445 och om den finansierade verksamheten(2026/20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E5D379"/>
  <w15:chartTrackingRefBased/>
  <w15:docId w15:val="{E09569B5-7DB9-429F-8E6F-DBB8B10B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6F178D"/>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6F178D"/>
    <w:pPr>
      <w:widowControl/>
    </w:pPr>
    <w:rPr>
      <w:b/>
      <w:szCs w:val="24"/>
      <w:lang w:eastAsia="en-US"/>
    </w:rPr>
  </w:style>
  <w:style w:type="paragraph" w:customStyle="1" w:styleId="Normal12a">
    <w:name w:val="Normal12a"/>
    <w:basedOn w:val="Normal"/>
    <w:rsid w:val="006F178D"/>
    <w:pPr>
      <w:widowControl/>
      <w:spacing w:after="240"/>
    </w:pPr>
    <w:rPr>
      <w:szCs w:val="24"/>
      <w:lang w:eastAsia="en-US"/>
    </w:rPr>
  </w:style>
  <w:style w:type="paragraph" w:customStyle="1" w:styleId="NormalHanging12a">
    <w:name w:val="NormalHanging12a"/>
    <w:basedOn w:val="Normal"/>
    <w:rsid w:val="006F178D"/>
    <w:pPr>
      <w:widowControl/>
      <w:spacing w:after="240"/>
      <w:ind w:left="566" w:hanging="566"/>
    </w:pPr>
    <w:rPr>
      <w:szCs w:val="24"/>
      <w:lang w:eastAsia="en-US"/>
    </w:rPr>
  </w:style>
  <w:style w:type="paragraph" w:customStyle="1" w:styleId="Normal12">
    <w:name w:val="Normal12"/>
    <w:basedOn w:val="Normal"/>
    <w:rsid w:val="006F178D"/>
    <w:pPr>
      <w:spacing w:after="240"/>
    </w:pPr>
    <w:rPr>
      <w:szCs w:val="24"/>
      <w:lang w:eastAsia="en-US"/>
    </w:rPr>
  </w:style>
  <w:style w:type="paragraph" w:customStyle="1" w:styleId="NormalHanging">
    <w:name w:val="NormalHanging"/>
    <w:basedOn w:val="Normal"/>
    <w:rsid w:val="006F178D"/>
    <w:pPr>
      <w:spacing w:after="240"/>
      <w:ind w:left="566" w:hanging="566"/>
    </w:pPr>
    <w:rPr>
      <w:szCs w:val="24"/>
      <w:lang w:eastAsia="en-US"/>
    </w:rPr>
  </w:style>
  <w:style w:type="paragraph" w:customStyle="1" w:styleId="NormalBold12a">
    <w:name w:val="NormalBold12a"/>
    <w:basedOn w:val="Normal"/>
    <w:rsid w:val="006F178D"/>
    <w:pPr>
      <w:widowControl/>
      <w:spacing w:after="240"/>
    </w:pPr>
    <w:rPr>
      <w:b/>
      <w:szCs w:val="24"/>
      <w:lang w:eastAsia="en-US"/>
    </w:rPr>
  </w:style>
  <w:style w:type="paragraph" w:customStyle="1" w:styleId="NormalCenter12a">
    <w:name w:val="NormalCenter12a"/>
    <w:basedOn w:val="Normal"/>
    <w:rsid w:val="006F178D"/>
    <w:pPr>
      <w:widowControl/>
      <w:spacing w:after="240"/>
      <w:jc w:val="center"/>
    </w:pPr>
    <w:rPr>
      <w:szCs w:val="24"/>
      <w:lang w:eastAsia="en-US"/>
    </w:rPr>
  </w:style>
  <w:style w:type="character" w:styleId="Hyperlink">
    <w:name w:val="Hyperlink"/>
    <w:basedOn w:val="DefaultParagraphFont"/>
    <w:rsid w:val="006F17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445/oj" TargetMode="External" /><Relationship Id="rId2"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1956</Words>
  <Characters>13394</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2026-06-16T10:54:00Z</dcterms:created>
  <dcterms:modified xsi:type="dcterms:W3CDTF">2026-06-16T10:54:00Z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A10-0145/2026</vt:lpwstr>
  </property>
  <property fmtid="{D5CDD505-2E9C-101B-9397-08002B2CF9AE}" pid="4" name="&lt;Type&gt;">
    <vt:lpwstr>RR</vt:lpwstr>
  </property>
</Properties>
</file>