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DF56838" w14:textId="77777777" w:rsidTr="0010095E">
        <w:tblPrEx>
          <w:tblW w:w="9072" w:type="dxa"/>
          <w:tblLook w:val="01E0"/>
        </w:tblPrEx>
        <w:trPr>
          <w:trHeight w:hRule="exact" w:val="1418"/>
        </w:trPr>
        <w:tc>
          <w:tcPr>
            <w:tcW w:w="6804" w:type="dxa"/>
            <w:shd w:val="clear" w:color="auto" w:fill="auto"/>
            <w:vAlign w:val="center"/>
          </w:tcPr>
          <w:p w:rsidR="00751A4A" w:rsidRPr="00856F4B" w:rsidP="0010095E" w14:paraId="3132AB57" w14:textId="77777777">
            <w:pPr>
              <w:pStyle w:val="EPName"/>
            </w:pPr>
            <w:r w:rsidRPr="00856F4B">
              <w:t>Ευρωπαϊκό Κοινοβούλιο</w:t>
            </w:r>
          </w:p>
          <w:p w:rsidR="00751A4A" w:rsidRPr="00856F4B" w:rsidP="005F1B17" w14:paraId="7FE3FBB3" w14:textId="77777777">
            <w:pPr>
              <w:pStyle w:val="EPTerm"/>
              <w:rPr>
                <w:rStyle w:val="HideTWBExt"/>
                <w:noProof w:val="0"/>
                <w:vanish w:val="0"/>
                <w:color w:val="auto"/>
              </w:rPr>
            </w:pPr>
            <w:r w:rsidRPr="00856F4B">
              <w:t>2024</w:t>
            </w:r>
            <w:r w:rsidRPr="00856F4B" w:rsidR="00817416">
              <w:t>-202</w:t>
            </w:r>
            <w:r w:rsidRPr="00856F4B">
              <w:t>9</w:t>
            </w:r>
          </w:p>
        </w:tc>
        <w:tc>
          <w:tcPr>
            <w:tcW w:w="2268" w:type="dxa"/>
            <w:shd w:val="clear" w:color="auto" w:fill="auto"/>
          </w:tcPr>
          <w:p w:rsidR="00751A4A" w:rsidRPr="00856F4B" w:rsidP="0010095E" w14:paraId="683BECB9" w14:textId="77777777">
            <w:pPr>
              <w:pStyle w:val="EPLogo"/>
            </w:pPr>
            <w:r w:rsidRPr="00856F4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56F4B" w:rsidP="004C5D52" w14:paraId="2AAC2594" w14:textId="77777777">
      <w:pPr>
        <w:pStyle w:val="LineTop"/>
      </w:pPr>
    </w:p>
    <w:p w:rsidR="00680577" w:rsidRPr="00856F4B" w:rsidP="00680577" w14:paraId="292A748F" w14:textId="77777777">
      <w:pPr>
        <w:pStyle w:val="EPBodyTA1"/>
      </w:pPr>
      <w:r w:rsidRPr="00856F4B">
        <w:t>ΚΕΙΜΕΝΑ ΠΟΥ ΕΓΚΡΙΘΗΚΑΝ</w:t>
      </w:r>
    </w:p>
    <w:p w:rsidR="00D058B8" w:rsidRPr="00856F4B" w:rsidP="00D058B8" w14:paraId="5CC66AF6" w14:textId="77777777">
      <w:pPr>
        <w:pStyle w:val="LineBottom"/>
      </w:pPr>
    </w:p>
    <w:p w:rsidR="009F1D85" w:rsidRPr="00856F4B" w:rsidP="009F1D85" w14:paraId="538CB219" w14:textId="49946E77">
      <w:pPr>
        <w:pStyle w:val="ATHeading1"/>
      </w:pPr>
      <w:bookmarkStart w:id="0" w:name="TANumber"/>
      <w:r w:rsidRPr="00856F4B">
        <w:t>P10_TA(2026)0</w:t>
      </w:r>
      <w:r w:rsidRPr="00856F4B" w:rsidR="007D5FB4">
        <w:t>204</w:t>
      </w:r>
      <w:bookmarkEnd w:id="0"/>
    </w:p>
    <w:p w:rsidR="009F1D85" w:rsidRPr="00856F4B" w:rsidP="009F1D85" w14:paraId="57A53CEB" w14:textId="3B5201FC">
      <w:pPr>
        <w:pStyle w:val="ATHeading2"/>
      </w:pPr>
      <w:bookmarkStart w:id="1" w:name="title"/>
      <w:r w:rsidRPr="00856F4B">
        <w:rPr>
          <w:rFonts w:hint="eastAsia"/>
          <w:bCs/>
        </w:rPr>
        <w:t>Ο</w:t>
      </w:r>
      <w:r w:rsidRPr="00856F4B">
        <w:rPr>
          <w:bCs/>
        </w:rPr>
        <w:t xml:space="preserve"> </w:t>
      </w:r>
      <w:r w:rsidRPr="00856F4B">
        <w:rPr>
          <w:rFonts w:hint="eastAsia"/>
          <w:bCs/>
        </w:rPr>
        <w:t>ρόλος</w:t>
      </w:r>
      <w:r w:rsidRPr="00856F4B">
        <w:rPr>
          <w:bCs/>
        </w:rPr>
        <w:t xml:space="preserve"> </w:t>
      </w:r>
      <w:r w:rsidRPr="00856F4B">
        <w:rPr>
          <w:rFonts w:hint="eastAsia"/>
          <w:bCs/>
        </w:rPr>
        <w:t>του</w:t>
      </w:r>
      <w:r w:rsidRPr="00856F4B">
        <w:rPr>
          <w:bCs/>
        </w:rPr>
        <w:t xml:space="preserve"> </w:t>
      </w:r>
      <w:r w:rsidRPr="00856F4B">
        <w:rPr>
          <w:rFonts w:hint="eastAsia"/>
          <w:bCs/>
        </w:rPr>
        <w:t>εμπορίου</w:t>
      </w:r>
      <w:r w:rsidRPr="00856F4B">
        <w:rPr>
          <w:bCs/>
        </w:rPr>
        <w:t xml:space="preserve"> </w:t>
      </w:r>
      <w:r w:rsidRPr="00856F4B">
        <w:rPr>
          <w:rFonts w:hint="eastAsia"/>
          <w:bCs/>
        </w:rPr>
        <w:t>στην</w:t>
      </w:r>
      <w:r w:rsidRPr="00856F4B">
        <w:rPr>
          <w:bCs/>
        </w:rPr>
        <w:t xml:space="preserve"> </w:t>
      </w:r>
      <w:r w:rsidRPr="00856F4B">
        <w:rPr>
          <w:rFonts w:hint="eastAsia"/>
          <w:bCs/>
        </w:rPr>
        <w:t>ενίσχυση</w:t>
      </w:r>
      <w:r w:rsidRPr="00856F4B">
        <w:rPr>
          <w:bCs/>
        </w:rPr>
        <w:t xml:space="preserve"> </w:t>
      </w:r>
      <w:r w:rsidRPr="00856F4B">
        <w:rPr>
          <w:rFonts w:hint="eastAsia"/>
          <w:bCs/>
        </w:rPr>
        <w:t>της</w:t>
      </w:r>
      <w:r w:rsidRPr="00856F4B">
        <w:rPr>
          <w:bCs/>
        </w:rPr>
        <w:t xml:space="preserve"> </w:t>
      </w:r>
      <w:r w:rsidRPr="00856F4B">
        <w:rPr>
          <w:rFonts w:hint="eastAsia"/>
          <w:bCs/>
        </w:rPr>
        <w:t>οικονομικής</w:t>
      </w:r>
      <w:r w:rsidRPr="00856F4B">
        <w:rPr>
          <w:bCs/>
        </w:rPr>
        <w:t xml:space="preserve"> </w:t>
      </w:r>
      <w:r w:rsidRPr="00856F4B">
        <w:rPr>
          <w:rFonts w:hint="eastAsia"/>
          <w:bCs/>
        </w:rPr>
        <w:t>ασφάλειας</w:t>
      </w:r>
      <w:r w:rsidRPr="00856F4B">
        <w:rPr>
          <w:bCs/>
        </w:rPr>
        <w:t xml:space="preserve"> </w:t>
      </w:r>
      <w:r w:rsidRPr="00856F4B">
        <w:rPr>
          <w:rFonts w:hint="eastAsia"/>
          <w:bCs/>
        </w:rPr>
        <w:t>της</w:t>
      </w:r>
      <w:r w:rsidRPr="00856F4B">
        <w:rPr>
          <w:bCs/>
        </w:rPr>
        <w:t xml:space="preserve"> </w:t>
      </w:r>
      <w:r w:rsidRPr="00856F4B">
        <w:rPr>
          <w:rFonts w:hint="eastAsia"/>
          <w:bCs/>
        </w:rPr>
        <w:t>ΕΕ</w:t>
      </w:r>
      <w:bookmarkEnd w:id="1"/>
    </w:p>
    <w:p w:rsidR="009F1D85" w:rsidRPr="00856F4B" w:rsidP="009F1D85" w14:paraId="14357B3A" w14:textId="77777777">
      <w:pPr>
        <w:rPr>
          <w:i/>
          <w:vanish/>
        </w:rPr>
      </w:pPr>
      <w:r>
        <w:rPr>
          <w:i/>
        </w:rPr>
        <w:fldChar w:fldCharType="begin"/>
      </w:r>
      <w:r w:rsidRPr="00856F4B">
        <w:rPr>
          <w:i/>
        </w:rPr>
        <w:instrText xml:space="preserve"> TC"(</w:instrText>
      </w:r>
      <w:bookmarkStart w:id="2" w:name="DocNumber"/>
      <w:r w:rsidRPr="00856F4B">
        <w:rPr>
          <w:i/>
        </w:rPr>
        <w:instrText>A10-0148/2026</w:instrText>
      </w:r>
      <w:bookmarkEnd w:id="2"/>
      <w:r w:rsidRPr="00856F4B">
        <w:rPr>
          <w:i/>
        </w:rPr>
        <w:instrText xml:space="preserve"> - Εισηγητής: Juan Ignacio Zoido Álvarez)"\l3 \n&gt; \* MERGEFORMAT </w:instrText>
      </w:r>
      <w:r>
        <w:rPr>
          <w:i/>
        </w:rPr>
        <w:fldChar w:fldCharType="end"/>
      </w:r>
    </w:p>
    <w:p w:rsidR="009F1D85" w:rsidRPr="00856F4B" w:rsidP="009F1D85" w14:paraId="7A599A3B" w14:textId="77777777">
      <w:pPr>
        <w:rPr>
          <w:vanish/>
        </w:rPr>
      </w:pPr>
      <w:bookmarkStart w:id="3" w:name="Commission"/>
      <w:r w:rsidRPr="00856F4B">
        <w:rPr>
          <w:vanish/>
        </w:rPr>
        <w:t>Επιτροπή Διεθνούς Εμπορίου</w:t>
      </w:r>
      <w:bookmarkEnd w:id="3"/>
    </w:p>
    <w:p w:rsidR="009F1D85" w:rsidRPr="00856F4B" w:rsidP="009F1D85" w14:paraId="3BB8D1FD" w14:textId="77777777">
      <w:pPr>
        <w:rPr>
          <w:vanish/>
        </w:rPr>
      </w:pPr>
      <w:bookmarkStart w:id="4" w:name="PE"/>
      <w:r w:rsidRPr="00856F4B">
        <w:rPr>
          <w:vanish/>
        </w:rPr>
        <w:t>PE784.220</w:t>
      </w:r>
      <w:bookmarkEnd w:id="4"/>
    </w:p>
    <w:p w:rsidR="009F1D85" w:rsidRPr="00856F4B" w:rsidP="009F1D85" w14:paraId="0358CF3D" w14:textId="31300B69">
      <w:pPr>
        <w:pStyle w:val="ATHeading3"/>
      </w:pPr>
      <w:bookmarkStart w:id="5" w:name="Sujet"/>
      <w:r w:rsidRPr="00856F4B">
        <w:t xml:space="preserve">Ψήφισμα του Ευρωπαϊκού Κοινοβουλίου της </w:t>
      </w:r>
      <w:r w:rsidRPr="00856F4B" w:rsidR="00AF4A29">
        <w:t>16ης Ιουνίου</w:t>
      </w:r>
      <w:r w:rsidRPr="00856F4B">
        <w:t xml:space="preserve"> 2026 σχετικά με τον ρόλο του εμπορίου στην ενίσχυση της οικονομικής ασφάλειας της ΕΕ</w:t>
      </w:r>
      <w:bookmarkEnd w:id="5"/>
      <w:r w:rsidRPr="00856F4B">
        <w:t xml:space="preserve"> </w:t>
      </w:r>
      <w:bookmarkStart w:id="6" w:name="References"/>
      <w:r w:rsidRPr="00856F4B">
        <w:t>(2025/2113(INI))</w:t>
      </w:r>
      <w:bookmarkEnd w:id="6"/>
    </w:p>
    <w:p w:rsidR="00721000" w:rsidRPr="00856F4B" w:rsidP="00721000" w14:paraId="55803BDE" w14:textId="77777777">
      <w:pPr>
        <w:pStyle w:val="EPComma"/>
        <w:rPr>
          <w:bCs/>
          <w:i/>
          <w:iCs/>
        </w:rPr>
      </w:pPr>
      <w:r w:rsidRPr="00856F4B">
        <w:rPr>
          <w:i/>
        </w:rPr>
        <w:t>Το Ευρωπαϊκό Κοινοβούλιο,</w:t>
      </w:r>
    </w:p>
    <w:p w:rsidR="00721000" w:rsidRPr="00856F4B" w:rsidP="008E246E" w14:paraId="3385A876" w14:textId="77777777">
      <w:pPr>
        <w:pStyle w:val="NormalHanging12a"/>
        <w:widowControl/>
        <w:rPr>
          <w:bCs/>
        </w:rPr>
      </w:pPr>
      <w:r w:rsidRPr="00856F4B">
        <w:t>–</w:t>
      </w:r>
      <w:r w:rsidRPr="00856F4B">
        <w:tab/>
        <w:t>έχοντας υπόψη τη Συνθήκη για την Ευρωπαϊκή Ένωση,</w:t>
      </w:r>
    </w:p>
    <w:p w:rsidR="00721000" w:rsidRPr="00856F4B" w:rsidP="008E246E" w14:paraId="299C9787" w14:textId="77777777">
      <w:pPr>
        <w:pStyle w:val="NormalHanging12a"/>
        <w:widowControl/>
        <w:rPr>
          <w:bCs/>
        </w:rPr>
      </w:pPr>
      <w:r w:rsidRPr="00856F4B">
        <w:t>–</w:t>
      </w:r>
      <w:r w:rsidRPr="00856F4B">
        <w:tab/>
        <w:t>έχοντας υπόψη τη Συνθήκη για τη λειτουργία της Ευρωπαϊκής Ένωσης,</w:t>
      </w:r>
    </w:p>
    <w:p w:rsidR="00721000" w:rsidRPr="00856F4B" w:rsidP="008E246E" w14:paraId="776DD5A7" w14:textId="326B3C16">
      <w:pPr>
        <w:pStyle w:val="NormalHanging12a"/>
        <w:widowControl/>
        <w:rPr>
          <w:bCs/>
        </w:rPr>
      </w:pPr>
      <w:r w:rsidRPr="00856F4B">
        <w:t>–</w:t>
      </w:r>
      <w:r w:rsidRPr="00856F4B">
        <w:tab/>
        <w:t>έχοντας υπόψη τον κανονισμό (ΕΕ) 2019/452 του Ευρωπαϊκού Κοινοβουλίου και του Συμβουλίου, της 19ης Μαρτίου 2019, για τη θέσπιση πλαισίου για τον έλεγχο των άμεσων ξένων επενδύσεων στην Ένωση</w:t>
      </w:r>
      <w:r>
        <w:rPr>
          <w:rStyle w:val="FootnoteReference"/>
          <w:bCs/>
        </w:rPr>
        <w:footnoteReference w:id="2"/>
      </w:r>
      <w:r w:rsidRPr="00856F4B" w:rsidR="008E246E">
        <w:t xml:space="preserve"> (κανονισμός για τον έλεγχο των ΑΞΕ)</w:t>
      </w:r>
      <w:r w:rsidRPr="00856F4B">
        <w:t>,</w:t>
      </w:r>
    </w:p>
    <w:p w:rsidR="00721000" w:rsidRPr="00856F4B" w:rsidP="008E246E" w14:paraId="4BAA7009" w14:textId="77777777">
      <w:pPr>
        <w:pStyle w:val="NormalHanging12a"/>
        <w:widowControl/>
        <w:rPr>
          <w:bCs/>
        </w:rPr>
      </w:pPr>
      <w:r w:rsidRPr="00856F4B">
        <w:t>–</w:t>
      </w:r>
      <w:r w:rsidRPr="00856F4B">
        <w:tab/>
        <w:t>έχοντας υπόψη τον κανονισμό (ΕΕ) 2021/821 του Ευρωπαϊκού Κοινοβουλίου και του Συμβουλίου, της 20ής Μαΐου 2021, για τη θέσπιση ενωσιακού συστήματος ελέγχου των εξαγωγών, της μεσιτείας, της τεχνικής βοήθειας, της διαμετακόμισης και της μεταφοράς ειδών διπλής χρήσης</w:t>
      </w:r>
      <w:r>
        <w:rPr>
          <w:rStyle w:val="FootnoteReference"/>
          <w:bCs/>
        </w:rPr>
        <w:footnoteReference w:id="3"/>
      </w:r>
      <w:r w:rsidRPr="00856F4B">
        <w:t>,</w:t>
      </w:r>
    </w:p>
    <w:p w:rsidR="00721000" w:rsidRPr="00856F4B" w:rsidP="008E246E" w14:paraId="6498F996" w14:textId="77777777">
      <w:pPr>
        <w:pStyle w:val="NormalHanging12a"/>
        <w:widowControl/>
        <w:rPr>
          <w:bCs/>
        </w:rPr>
      </w:pPr>
      <w:r w:rsidRPr="00856F4B">
        <w:t>–</w:t>
      </w:r>
      <w:r w:rsidRPr="00856F4B">
        <w:tab/>
        <w:t>έχοντας υπόψη τον κανονισμό (ΕΕ) 2023/1781 του Ευρωπαϊκού Κοινοβουλίου και του Συμβουλίου, της 13ης Σεπτεμβρίου 2023, για τη θέσπιση πλαισίου μέτρων για την ενίσχυση του οικοσυστήματος ημιαγωγών της Ευρώπης και την τροποποίηση του κανονισμού (ΕΕ) 2021/694 (κανονισμός για τα μικροκυκλώματα)</w:t>
      </w:r>
      <w:r>
        <w:rPr>
          <w:rStyle w:val="FootnoteReference"/>
          <w:bCs/>
        </w:rPr>
        <w:footnoteReference w:id="4"/>
      </w:r>
      <w:r w:rsidRPr="00856F4B">
        <w:t>,</w:t>
      </w:r>
    </w:p>
    <w:p w:rsidR="00721000" w:rsidRPr="00856F4B" w:rsidP="008E246E" w14:paraId="5BABD40B" w14:textId="77777777">
      <w:pPr>
        <w:pStyle w:val="NormalHanging12a"/>
        <w:widowControl/>
        <w:rPr>
          <w:bCs/>
        </w:rPr>
      </w:pPr>
      <w:r w:rsidRPr="00856F4B">
        <w:t>–</w:t>
      </w:r>
      <w:r w:rsidRPr="00856F4B">
        <w:tab/>
        <w:t>έχοντας υπόψη τον κανονισμό (ΕΕ) 2023/2675 του Ευρωπαϊκού Κοινοβουλίου και του Συμβουλίου, της 22ας Νοεμβρίου 2023, για την προστασία της Ένωσης και των κρατών μελών της από τον οικονομικό εξαναγκασμό από τρίτες χώρες</w:t>
      </w:r>
      <w:r>
        <w:rPr>
          <w:rStyle w:val="FootnoteReference"/>
          <w:bCs/>
        </w:rPr>
        <w:footnoteReference w:id="5"/>
      </w:r>
      <w:r w:rsidRPr="00856F4B">
        <w:t>,</w:t>
      </w:r>
    </w:p>
    <w:p w:rsidR="00721000" w:rsidRPr="00856F4B" w:rsidP="008E246E" w14:paraId="69F2A10E" w14:textId="77777777">
      <w:pPr>
        <w:pStyle w:val="NormalHanging12a"/>
        <w:widowControl/>
        <w:rPr>
          <w:bCs/>
        </w:rPr>
      </w:pPr>
      <w:r w:rsidRPr="00856F4B">
        <w:t>–</w:t>
      </w:r>
      <w:r w:rsidRPr="00856F4B">
        <w:tab/>
        <w:t>έχοντας υπόψη τον κανονισμό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w:t>
      </w:r>
      <w:r>
        <w:rPr>
          <w:rStyle w:val="FootnoteReference"/>
          <w:bCs/>
        </w:rPr>
        <w:footnoteReference w:id="6"/>
      </w:r>
      <w:r w:rsidRPr="00856F4B">
        <w:t xml:space="preserve"> (πράξη για τις κρίσιμες πρώτες ύλες – CRMA),</w:t>
      </w:r>
    </w:p>
    <w:p w:rsidR="00721000" w:rsidRPr="00856F4B" w:rsidP="008E246E" w14:paraId="1C1987FB" w14:textId="77777777">
      <w:pPr>
        <w:pStyle w:val="NormalHanging12a"/>
        <w:widowControl/>
        <w:rPr>
          <w:bCs/>
        </w:rPr>
      </w:pPr>
      <w:r w:rsidRPr="00856F4B">
        <w:t>–</w:t>
      </w:r>
      <w:r w:rsidRPr="00856F4B">
        <w:tab/>
        <w:t>έχοντας υπόψη τον κανονισμό (ΕΕ) 2024/1735 του Ευρωπαϊκού Κοινοβουλίου και του Συμβουλίου, της 13ης Ιουνίου 2024, σχετικά με τη θέσπιση πλαισίου μέτρων για την ενίσχυση του οικοσυστήματος παραγωγής τεχνολογιών μηδενικών καθαρών εκπομπών της Ευρώπης και την τροποποίηση του κανονισμού (ΕΕ) 2018/1724</w:t>
      </w:r>
      <w:r>
        <w:rPr>
          <w:rStyle w:val="FootnoteReference"/>
          <w:bCs/>
        </w:rPr>
        <w:footnoteReference w:id="7"/>
      </w:r>
      <w:r w:rsidRPr="00856F4B">
        <w:t>,</w:t>
      </w:r>
    </w:p>
    <w:p w:rsidR="00721000" w:rsidRPr="00856F4B" w:rsidP="008E246E" w14:paraId="1A825F42" w14:textId="77777777">
      <w:pPr>
        <w:pStyle w:val="NormalHanging12a"/>
        <w:widowControl/>
        <w:rPr>
          <w:bCs/>
        </w:rPr>
      </w:pPr>
      <w:r w:rsidRPr="00856F4B">
        <w:t>–</w:t>
      </w:r>
      <w:r w:rsidRPr="00856F4B">
        <w:tab/>
        <w:t>έχοντας υπόψη τον κανονισμό (ΕΕ) 2024/2747 του Ευρωπαϊκού Κοινοβουλίου και του Συμβουλίου, της 9ης Οκτωβρίου 2024, για τη θέσπιση πλαισίου μέτρων που αφορούν μια κατάσταση έκτακτης ανάγκης της εσωτερικής αγοράς και την ανθεκτικότητα της εσωτερικής αγοράς και για την τροποποίηση του κανονισμού (ΕΚ) αριθ. 2679/98 του Συμβουλίου (κανονισμός για κατάσταση έκτακτης ανάγκης της εσωτερικής αγοράς και για την ανθεκτικότητα της εσωτερικής αγοράς)</w:t>
      </w:r>
      <w:r>
        <w:rPr>
          <w:rStyle w:val="FootnoteReference"/>
          <w:bCs/>
        </w:rPr>
        <w:footnoteReference w:id="8"/>
      </w:r>
      <w:r w:rsidRPr="00856F4B">
        <w:t>.</w:t>
      </w:r>
    </w:p>
    <w:p w:rsidR="00721000" w:rsidRPr="00856F4B" w:rsidP="008E246E" w14:paraId="168D2DDD" w14:textId="77777777">
      <w:pPr>
        <w:pStyle w:val="NormalHanging12a"/>
        <w:widowControl/>
        <w:rPr>
          <w:bCs/>
        </w:rPr>
      </w:pPr>
      <w:r w:rsidRPr="00856F4B">
        <w:t>–</w:t>
      </w:r>
      <w:r w:rsidRPr="00856F4B">
        <w:tab/>
        <w:t>έχοντας υπόψη τη σύσταση της Επιτροπής, της 3ης Οκτωβρίου 2023, σχετικά με τους κρίσιμους τεχνολογικούς τομείς για την οικονομική ασφάλεια της ΕΕ για περαιτέρω αξιολόγηση κινδύνου με τα κράτη μέλη (C(2023)6689),</w:t>
      </w:r>
    </w:p>
    <w:p w:rsidR="00721000" w:rsidRPr="00856F4B" w:rsidP="008E246E" w14:paraId="41252451" w14:textId="6B254B61">
      <w:pPr>
        <w:pStyle w:val="NormalHanging12a"/>
        <w:widowControl/>
        <w:rPr>
          <w:bCs/>
        </w:rPr>
      </w:pPr>
      <w:r w:rsidRPr="00856F4B">
        <w:t>–</w:t>
      </w:r>
      <w:r w:rsidRPr="00856F4B">
        <w:tab/>
        <w:t>έχοντας υπόψη τη σύσταση (ΕΕ) 2025/63 της Επιτροπής, της 15</w:t>
      </w:r>
      <w:r w:rsidRPr="00856F4B" w:rsidR="008E246E">
        <w:t>ης</w:t>
      </w:r>
      <w:r w:rsidRPr="00856F4B">
        <w:t xml:space="preserve"> Ιανουαρίου 2025, σχετικά με την εξέταση εξερχόμενων επενδύσεων σε κρίσιμους τεχνολογικούς τομείς για την οικονομική ασφάλεια της Ένωσης</w:t>
      </w:r>
      <w:r>
        <w:rPr>
          <w:rStyle w:val="FootnoteReference"/>
          <w:bCs/>
        </w:rPr>
        <w:footnoteReference w:id="9"/>
      </w:r>
      <w:r w:rsidRPr="00856F4B">
        <w:t>,</w:t>
      </w:r>
    </w:p>
    <w:p w:rsidR="00721000" w:rsidRPr="00856F4B" w:rsidP="008E246E" w14:paraId="48EF17A2" w14:textId="77777777">
      <w:pPr>
        <w:pStyle w:val="NormalHanging12a"/>
        <w:widowControl/>
        <w:rPr>
          <w:bCs/>
        </w:rPr>
      </w:pPr>
      <w:r w:rsidRPr="00856F4B">
        <w:t>–</w:t>
      </w:r>
      <w:r w:rsidRPr="00856F4B">
        <w:tab/>
        <w:t>έχοντας υπόψη τη σύσταση (ΕΕ) 2025/683 της Επιτροπής, της 8ης Απριλίου 2025, για τον συντονισμό των εθνικών καταλόγων ελέγχου</w:t>
      </w:r>
      <w:r>
        <w:rPr>
          <w:rStyle w:val="FootnoteReference"/>
          <w:bCs/>
        </w:rPr>
        <w:footnoteReference w:id="10"/>
      </w:r>
      <w:r w:rsidRPr="00856F4B">
        <w:t>,</w:t>
      </w:r>
    </w:p>
    <w:p w:rsidR="00721000" w:rsidRPr="00856F4B" w:rsidP="008E246E" w14:paraId="176A8463" w14:textId="77777777">
      <w:pPr>
        <w:pStyle w:val="NormalHanging12a"/>
        <w:widowControl/>
        <w:rPr>
          <w:bCs/>
        </w:rPr>
      </w:pPr>
      <w:r w:rsidRPr="00856F4B">
        <w:t>–</w:t>
      </w:r>
      <w:r w:rsidRPr="00856F4B">
        <w:tab/>
        <w:t>έχοντας υπόψη τη σύσταση του Συμβουλίου, της 23ης Μαΐου 2024, σχετικά με την ενίσχυση της ασφάλειας της έρευνας</w:t>
      </w:r>
      <w:r>
        <w:rPr>
          <w:rStyle w:val="FootnoteReference"/>
          <w:bCs/>
        </w:rPr>
        <w:footnoteReference w:id="11"/>
      </w:r>
      <w:r w:rsidRPr="00856F4B">
        <w:t>,</w:t>
      </w:r>
    </w:p>
    <w:p w:rsidR="00721000" w:rsidRPr="00856F4B" w:rsidP="008E246E" w14:paraId="6C6577F8" w14:textId="77777777">
      <w:pPr>
        <w:pStyle w:val="NormalHanging12a"/>
        <w:widowControl/>
        <w:rPr>
          <w:bCs/>
        </w:rPr>
      </w:pPr>
      <w:r w:rsidRPr="00856F4B">
        <w:t>–</w:t>
      </w:r>
      <w:r w:rsidRPr="00856F4B">
        <w:tab/>
        <w:t>έχοντας υπόψη την πρόταση της Επιτροπής, της 24ης Ιανουαρίου 2024, για κανονισμό του Ευρωπαϊκού Κοινοβουλίου και του Συμβουλίου σχετικά με τον έλεγχο των ξένων επενδύσεων στην Ένωση και την κατάργηση του κανονισμού (ΕΕ) 2019/452 του Ευρωπαϊκού Κοινοβουλίου και του Συμβουλίου (COM(2024)0023),</w:t>
      </w:r>
    </w:p>
    <w:p w:rsidR="00721000" w:rsidRPr="00856F4B" w:rsidP="008E246E" w14:paraId="0BB8532B" w14:textId="77777777">
      <w:pPr>
        <w:pStyle w:val="NormalHanging12a"/>
        <w:widowControl/>
        <w:rPr>
          <w:bCs/>
        </w:rPr>
      </w:pPr>
      <w:r w:rsidRPr="00856F4B">
        <w:t>–</w:t>
      </w:r>
      <w:r w:rsidRPr="00856F4B">
        <w:tab/>
        <w:t>έχοντας υπόψη την πρόταση της Επιτροπής, της 11ης Μαρτίου 2025, για κανονισμό του Ευρωπαϊκού Κοινοβουλίου και του Συμβουλίου σχετικά με τη θέσπιση πλαισίου για την ενίσχυση της διαθεσιμότητας και της ασφάλειας του εφοδιασμού με φάρμακα κρίσιμης σημασίας, καθώς και της διαθεσιμότητας και της προσβασιμότητας φαρμάκων κοινού ενδιαφέροντος, και σχετικά με την τροποποίηση του κανονισμού (ΕΕ) 2024/795 (COM(2025)0102),</w:t>
      </w:r>
    </w:p>
    <w:p w:rsidR="00721000" w:rsidRPr="00856F4B" w:rsidP="008E246E" w14:paraId="395B45A7" w14:textId="77777777">
      <w:pPr>
        <w:pStyle w:val="NormalHanging12a"/>
        <w:widowControl/>
        <w:rPr>
          <w:bCs/>
        </w:rPr>
      </w:pPr>
      <w:r w:rsidRPr="00856F4B">
        <w:t>–</w:t>
      </w:r>
      <w:r w:rsidRPr="00856F4B">
        <w:tab/>
        <w:t>έχοντας υπόψη την πρόταση της Επιτροπής, της 20ής Ιανουαρίου 2026, για κανονισμό του Ευρωπαϊκού Κοινοβουλίου και του Συμβουλίου σχετικά με τον Οργανισμό της Ευρωπαϊκής Ένωσης για την Κυβερνοασφάλεια (ENISA), το ευρωπαϊκό πλαίσιο πιστοποίησης της κυβερνοασφάλειας και την ασφάλεια της αλυσίδας εφοδιασμού ΤΠΕ και την κατάργηση του κανονισμού (ΕΕ) 2019/881 (πράξη για την κυβερνοασφάλεια 2) (COM(2026)0011),</w:t>
      </w:r>
    </w:p>
    <w:p w:rsidR="00721000" w:rsidRPr="00856F4B" w:rsidP="008E246E" w14:paraId="7D8BF7DF" w14:textId="77777777">
      <w:pPr>
        <w:pStyle w:val="NormalHanging12a"/>
        <w:widowControl/>
        <w:rPr>
          <w:bCs/>
        </w:rPr>
      </w:pPr>
      <w:r w:rsidRPr="00856F4B">
        <w:t>–</w:t>
      </w:r>
      <w:r w:rsidRPr="00856F4B">
        <w:tab/>
        <w:t>έχοντας υπόψη την πρόταση της Επιτροπής, της 21ης Ιανουαρίου 2026, για κανονισμό του Ευρωπαϊκού Κοινοβουλίου και του Συμβουλίου σχετικά με τα ψηφιακά δίκτυα, την τροποποίηση του κανονισμού (ΕΕ) 2015/2120, της οδηγίας 2002/58/ΕΚ και της απόφασης 676/2002/ΕΚ και την κατάργηση του κανονισμού (ΕΕ) 2018/1971, της οδηγίας (ΕΕ) 2018/1972 και της απόφασης 243/2012/ΕΕ (κανονισμός για τα ψηφιακά δίκτυα) (COM(2026)0016),</w:t>
      </w:r>
    </w:p>
    <w:p w:rsidR="00721000" w:rsidRPr="00856F4B" w:rsidP="008E246E" w14:paraId="7DB12EE7" w14:textId="77777777">
      <w:pPr>
        <w:pStyle w:val="NormalHanging12a"/>
        <w:widowControl/>
        <w:rPr>
          <w:bCs/>
        </w:rPr>
      </w:pPr>
      <w:r w:rsidRPr="00856F4B">
        <w:t>–</w:t>
      </w:r>
      <w:r w:rsidRPr="00856F4B">
        <w:tab/>
        <w:t>έχοντας υπόψη την κοινή ανακοίνωση που εξέδωσαν στις 20 Ιουνίου 2023 η Επιτροπή και ο Ύπατος Εκπρόσωπος της Ένωσης για θέματα Εξωτερικής Πολιτικής και Πολιτικής Ασφαλείας με τίτλο «Στρατηγική για την ενίσχυση της ευρωπαϊκής οικονομικής ασφάλειας» (JOIN(2023)0020),</w:t>
      </w:r>
    </w:p>
    <w:p w:rsidR="00721000" w:rsidRPr="00856F4B" w:rsidP="008E246E" w14:paraId="11614EBB" w14:textId="77777777">
      <w:pPr>
        <w:pStyle w:val="NormalHanging12a"/>
        <w:widowControl/>
        <w:rPr>
          <w:bCs/>
        </w:rPr>
      </w:pPr>
      <w:r w:rsidRPr="00856F4B">
        <w:t>–</w:t>
      </w:r>
      <w:r w:rsidRPr="00856F4B">
        <w:tab/>
        <w:t>έχοντας υπόψη την ανακοίνωση της Επιτροπής, της 29ης Ιανουαρίου 2025, με τίτλο «Πυξίδα Ανταγωνιστικότητας για την ΕΕ» (COM(2025)0030),</w:t>
      </w:r>
    </w:p>
    <w:p w:rsidR="00721000" w:rsidRPr="00856F4B" w:rsidP="008E246E" w14:paraId="5D160452" w14:textId="77777777">
      <w:pPr>
        <w:pStyle w:val="NormalHanging12a"/>
        <w:widowControl/>
        <w:rPr>
          <w:bCs/>
        </w:rPr>
      </w:pPr>
      <w:r w:rsidRPr="00856F4B">
        <w:t>–</w:t>
      </w:r>
      <w:r w:rsidRPr="00856F4B">
        <w:tab/>
        <w:t>έχοντας υπόψη την κοινή ανακοίνωση της Επιτροπής και της Ύπατης Εκπρόσωπου της Ένωσης για θέματα εξωτερικής πολιτικής και πολιτικής ασφαλείας, της 3ης Δεκεμβρίου 2025, με τίτλο «Ενίσχυση της οικονομικής ασφάλειας της ΕΕ» (JOIN(2025)0977),</w:t>
      </w:r>
    </w:p>
    <w:p w:rsidR="00721000" w:rsidRPr="00856F4B" w:rsidP="008E246E" w14:paraId="30B093F5" w14:textId="77777777">
      <w:pPr>
        <w:pStyle w:val="NormalHanging12a"/>
        <w:widowControl/>
        <w:rPr>
          <w:bCs/>
        </w:rPr>
      </w:pPr>
      <w:r w:rsidRPr="00856F4B">
        <w:t>–</w:t>
      </w:r>
      <w:r w:rsidRPr="00856F4B">
        <w:tab/>
        <w:t xml:space="preserve">έχοντας υπόψη την έκθεση του </w:t>
      </w:r>
      <w:r w:rsidRPr="00856F4B">
        <w:t>Enrico</w:t>
      </w:r>
      <w:r w:rsidRPr="00856F4B">
        <w:t xml:space="preserve"> </w:t>
      </w:r>
      <w:r w:rsidRPr="00856F4B">
        <w:t>Letta</w:t>
      </w:r>
      <w:r w:rsidRPr="00856F4B">
        <w:t>, του Απριλίου 2024, με τίτλο «</w:t>
      </w:r>
      <w:r w:rsidRPr="00856F4B">
        <w:t>Much</w:t>
      </w:r>
      <w:r w:rsidRPr="00856F4B">
        <w:t xml:space="preserve"> </w:t>
      </w:r>
      <w:r w:rsidRPr="00856F4B">
        <w:t>more</w:t>
      </w:r>
      <w:r w:rsidRPr="00856F4B">
        <w:t xml:space="preserve"> </w:t>
      </w:r>
      <w:r w:rsidRPr="00856F4B">
        <w:t>than</w:t>
      </w:r>
      <w:r w:rsidRPr="00856F4B">
        <w:t xml:space="preserve"> a </w:t>
      </w:r>
      <w:r w:rsidRPr="00856F4B">
        <w:t>market</w:t>
      </w:r>
      <w:r w:rsidRPr="00856F4B">
        <w:t>» (Πολύ περισσότερο από μια απλή αγορά),</w:t>
      </w:r>
    </w:p>
    <w:p w:rsidR="00721000" w:rsidRPr="00856F4B" w:rsidP="008E246E" w14:paraId="0128F380" w14:textId="77777777">
      <w:pPr>
        <w:pStyle w:val="NormalHanging12a"/>
        <w:widowControl/>
        <w:rPr>
          <w:bCs/>
        </w:rPr>
      </w:pPr>
      <w:r w:rsidRPr="00856F4B">
        <w:t>–</w:t>
      </w:r>
      <w:r w:rsidRPr="00856F4B">
        <w:tab/>
        <w:t>έχοντας υπόψη τις πολιτικές κατευθύνσεις της 18ης Ιουλίου 2024 για την επόμενη Ευρωπαϊκή Επιτροπή (2024-2029),</w:t>
      </w:r>
    </w:p>
    <w:p w:rsidR="00721000" w:rsidRPr="00856F4B" w:rsidP="008E246E" w14:paraId="1B1232A5" w14:textId="77777777">
      <w:pPr>
        <w:pStyle w:val="NormalHanging12a"/>
        <w:widowControl/>
        <w:rPr>
          <w:bCs/>
        </w:rPr>
      </w:pPr>
      <w:r w:rsidRPr="00856F4B">
        <w:t>–</w:t>
      </w:r>
      <w:r w:rsidRPr="00856F4B">
        <w:tab/>
        <w:t xml:space="preserve">έχοντας υπόψη την έκθεση του </w:t>
      </w:r>
      <w:r w:rsidRPr="00856F4B">
        <w:t>Mario</w:t>
      </w:r>
      <w:r w:rsidRPr="00856F4B">
        <w:t xml:space="preserve"> </w:t>
      </w:r>
      <w:r w:rsidRPr="00856F4B">
        <w:t>Draghi</w:t>
      </w:r>
      <w:r w:rsidRPr="00856F4B">
        <w:t xml:space="preserve">, της 9ης Σεπτεμβρίου 2024, με τίτλο «The </w:t>
      </w:r>
      <w:r w:rsidRPr="00856F4B">
        <w:t>future</w:t>
      </w:r>
      <w:r w:rsidRPr="00856F4B">
        <w:t xml:space="preserve"> of European </w:t>
      </w:r>
      <w:r w:rsidRPr="00856F4B">
        <w:t>competitiveness</w:t>
      </w:r>
      <w:r w:rsidRPr="00856F4B">
        <w:t>» (Το μέλλον της ευρωπαϊκής ανταγωνιστικότητας),</w:t>
      </w:r>
    </w:p>
    <w:p w:rsidR="00721000" w:rsidRPr="00856F4B" w:rsidP="008E246E" w14:paraId="242D9FD0" w14:textId="77777777">
      <w:pPr>
        <w:pStyle w:val="NormalHanging12a"/>
        <w:widowControl/>
        <w:rPr>
          <w:bCs/>
        </w:rPr>
      </w:pPr>
      <w:r w:rsidRPr="00856F4B">
        <w:t>–</w:t>
      </w:r>
      <w:r w:rsidRPr="00856F4B">
        <w:tab/>
        <w:t>έχοντας υπόψη την επιστολή ανάθεσης καθηκόντων, της 17ης Σεπτεμβρίου 2024, της Προέδρου της Επιτροπής προς τον ορισθέντα επίτροπο Εμπορίου και Οικονομικής Ασφάλειας και Διοργανικών Σχέσεων και Διαφάνειας,</w:t>
      </w:r>
    </w:p>
    <w:p w:rsidR="00721000" w:rsidRPr="00856F4B" w:rsidP="008E246E" w14:paraId="0558B290" w14:textId="77777777">
      <w:pPr>
        <w:pStyle w:val="NormalHanging12a"/>
        <w:widowControl/>
        <w:rPr>
          <w:bCs/>
        </w:rPr>
      </w:pPr>
      <w:r w:rsidRPr="00856F4B">
        <w:t>–</w:t>
      </w:r>
      <w:r w:rsidRPr="00856F4B">
        <w:tab/>
        <w:t>έχοντας υπόψη τον ενωσιακό κατάλογο φαρμάκων κρίσιμης σημασίας που καταρτίστηκε και τηρείται από τον Ευρωπαϊκό Οργανισμό Φαρμάκων για την αντιμετώπιση των ευπαθειών και των ελλείψεων στον εφοδιασμό με βασικά φάρμακα,</w:t>
      </w:r>
    </w:p>
    <w:p w:rsidR="00721000" w:rsidRPr="00856F4B" w:rsidP="008E246E" w14:paraId="36C6FECA" w14:textId="77777777">
      <w:pPr>
        <w:pStyle w:val="NormalHanging12a"/>
        <w:widowControl/>
        <w:rPr>
          <w:bCs/>
        </w:rPr>
      </w:pPr>
      <w:r w:rsidRPr="00856F4B">
        <w:t>–</w:t>
      </w:r>
      <w:r w:rsidRPr="00856F4B">
        <w:tab/>
        <w:t>έχοντας υπόψη τη Λευκή Βίβλο της Επιτροπής, της 24ης Ιανουαρίου 2024, για τον έλεγχο των εξαγωγών (COM(2024)0025),</w:t>
      </w:r>
    </w:p>
    <w:p w:rsidR="00721000" w:rsidRPr="00856F4B" w:rsidP="008E246E" w14:paraId="0B295D9F" w14:textId="77777777">
      <w:pPr>
        <w:pStyle w:val="NormalHanging12a"/>
        <w:widowControl/>
        <w:rPr>
          <w:bCs/>
        </w:rPr>
      </w:pPr>
      <w:r w:rsidRPr="00856F4B">
        <w:t>–</w:t>
      </w:r>
      <w:r w:rsidRPr="00856F4B">
        <w:tab/>
        <w:t>έχοντας υπόψη τη Λευκή Βίβλο της Επιτροπής, της 24ης Ιανουαρίου 2024, για τις εξερχόμενες επενδύσεις (COM(2024)0024),</w:t>
      </w:r>
    </w:p>
    <w:p w:rsidR="00721000" w:rsidRPr="00856F4B" w:rsidP="008E246E" w14:paraId="4CF94A78" w14:textId="77777777">
      <w:pPr>
        <w:pStyle w:val="NormalHanging12a"/>
        <w:widowControl/>
        <w:rPr>
          <w:bCs/>
        </w:rPr>
      </w:pPr>
      <w:r w:rsidRPr="00856F4B">
        <w:t>–</w:t>
      </w:r>
      <w:r w:rsidRPr="00856F4B">
        <w:tab/>
        <w:t>έχοντας υπόψη τη Λευκή Βίβλο της Επιτροπής, της 24ης Ιανουαρίου 2024, σχετικά με τις επιλογές για την ενίσχυση της στήριξης της έρευνας και της ανάπτυξης στον τομέα των τεχνολογιών με δυνατότητες διπλής χρήσης (COM(2024)0027),</w:t>
      </w:r>
    </w:p>
    <w:p w:rsidR="00721000" w:rsidRPr="00856F4B" w:rsidP="008E246E" w14:paraId="12AAAFCB" w14:textId="77777777">
      <w:pPr>
        <w:pStyle w:val="NormalHanging12a"/>
        <w:widowControl/>
        <w:rPr>
          <w:bCs/>
        </w:rPr>
      </w:pPr>
      <w:r w:rsidRPr="00856F4B">
        <w:t>–</w:t>
      </w:r>
      <w:r w:rsidRPr="00856F4B">
        <w:tab/>
        <w:t>έχοντας υπόψη το άρθρο 55 του Κανονισμού του,</w:t>
      </w:r>
    </w:p>
    <w:p w:rsidR="00721000" w:rsidRPr="00856F4B" w:rsidP="008E246E" w14:paraId="3926BC30" w14:textId="77777777">
      <w:pPr>
        <w:pStyle w:val="NormalHanging12a"/>
        <w:widowControl/>
        <w:rPr>
          <w:bCs/>
        </w:rPr>
      </w:pPr>
      <w:r w:rsidRPr="00856F4B">
        <w:t>–</w:t>
      </w:r>
      <w:r w:rsidRPr="00856F4B">
        <w:tab/>
        <w:t>έχοντας υπόψη την έκθεση της Επιτροπής Διεθνούς Εμπορίου (A10-0148/2026),</w:t>
      </w:r>
    </w:p>
    <w:p w:rsidR="00721000" w:rsidRPr="00856F4B" w:rsidP="008E246E" w14:paraId="1E0E552E" w14:textId="77777777">
      <w:pPr>
        <w:pStyle w:val="NormalHanging12a"/>
        <w:widowControl/>
        <w:rPr>
          <w:bCs/>
        </w:rPr>
      </w:pPr>
      <w:r w:rsidRPr="00856F4B">
        <w:t>Α.</w:t>
      </w:r>
      <w:r w:rsidRPr="00856F4B">
        <w:tab/>
        <w:t>λαμβάνοντας υπόψη ότι το άνοιγμα της ΕΕ στο εμπόριο και τις επενδύσεις παραμένει ακρογωνιαίος λίθος της ευημερίας, της ανταγωνιστικότητας και της παγκόσμιας επιρροής της·</w:t>
      </w:r>
    </w:p>
    <w:p w:rsidR="00721000" w:rsidRPr="00856F4B" w:rsidP="008E246E" w14:paraId="26E69416" w14:textId="77777777">
      <w:pPr>
        <w:pStyle w:val="NormalHanging12a"/>
        <w:widowControl/>
        <w:rPr>
          <w:bCs/>
        </w:rPr>
      </w:pPr>
      <w:r w:rsidRPr="00856F4B">
        <w:t>Β.</w:t>
      </w:r>
      <w:r w:rsidRPr="00856F4B">
        <w:tab/>
        <w:t>λαμβάνοντας υπόψη ότι το διεθνές οικονομικό περιβάλλον έχει υποστεί διαρθρωτική αλλαγή που χαρακτηρίζεται από αυξανόμενη γεωπολιτική αντιπαλότητα, συστημικό ανταγωνισμό, διαρθρωτική υπερβάλλουσα παραγωγική ικανότητα και αυξανόμενη χρήση οικονομικών μέσων για στρατηγικούς σκοπούς, όπως η χρήση των εμπορικών και οικονομικών εξαρτήσεων ως όπλων και ο οικονομικός εξαναγκασμός·</w:t>
      </w:r>
    </w:p>
    <w:p w:rsidR="00721000" w:rsidRPr="00856F4B" w:rsidP="008E246E" w14:paraId="76CBE9AE" w14:textId="77777777">
      <w:pPr>
        <w:pStyle w:val="NormalHanging12a"/>
        <w:widowControl/>
        <w:rPr>
          <w:bCs/>
        </w:rPr>
      </w:pPr>
      <w:r w:rsidRPr="00856F4B">
        <w:t>Γ.</w:t>
      </w:r>
      <w:r w:rsidRPr="00856F4B">
        <w:tab/>
        <w:t>λαμβάνοντας υπόψη ότι η αυξανόμενη χρήση ελέγχων των εξαγωγών ή περιορισμών στις εξαγωγές, οι πολιτικές κρατικών ενισχύσεων που στρεβλώνουν τον θεμιτό ανταγωνισμό, η χρήση του εμπορίου ως όπλου και ο οικονομικός εξαναγκασμός καθιστούν επιτακτική ανάγκη η ΕΕ να αναπτύξει επειγόντως μια αποτελεσματική στρατηγική οικονομικής ασφάλειας που θα αντιμετωπίζει συνολικά τις οικονομικές της ευπάθειες·</w:t>
      </w:r>
    </w:p>
    <w:p w:rsidR="00721000" w:rsidRPr="00856F4B" w:rsidP="008E246E" w14:paraId="07D0A250" w14:textId="77777777">
      <w:pPr>
        <w:pStyle w:val="NormalHanging12a"/>
        <w:widowControl/>
        <w:rPr>
          <w:bCs/>
        </w:rPr>
      </w:pPr>
      <w:r w:rsidRPr="00856F4B">
        <w:t>Δ.</w:t>
      </w:r>
      <w:r w:rsidRPr="00856F4B">
        <w:tab/>
        <w:t>λαμβάνοντας υπόψη ότι μια αξιόπιστη στρατηγική οικονομικής ασφάλειας πρέπει να έχει ως στόχο την ενίσχυση της οικονομικής, ψηφιακής και χρηματοπιστωτικής αυτονομίας της ΕΕ και, παράλληλα, να διατηρεί την ακεραιότητα της εσωτερικής αγοράς, να προσδιορίζει ποσοτικά τις υπερβολικές εξαρτήσεις στους σχετικούς τομείς, να εγγυάται την ασφάλεια δικαίου για τους οικονομικούς φορείς και να τηρεί τη δέσμευση της ΕΕ για δίκαιο και βιώσιμο εμπόριο και για μια βασισμένη σε κανόνες διεθνή τάξη· λαμβάνοντας υπόψη ότι, για τον σκοπό αυτόν, θα πρέπει να μειωθούν οι στρατηγικές τεχνολογικές εξαρτήσεις, μεταξύ άλλων στις ψηφιακές υποδομές, τους ημιαγωγούς, τις υπηρεσίες υπολογιστικού νέφους και τα συστήματα κυβερνοασφάλειας, καθώς αποτελούν αναπόσπαστες συνιστώσες της οικονομικής ασφάλειας·</w:t>
      </w:r>
    </w:p>
    <w:p w:rsidR="00721000" w:rsidRPr="00856F4B" w:rsidP="00DE5F3D" w14:paraId="69EF9254" w14:textId="77777777">
      <w:pPr>
        <w:widowControl/>
        <w:spacing w:after="240"/>
        <w:ind w:left="567" w:hanging="567"/>
        <w:rPr>
          <w:bCs/>
        </w:rPr>
      </w:pPr>
      <w:r w:rsidRPr="00856F4B">
        <w:t>Ε.</w:t>
      </w:r>
      <w:r w:rsidRPr="00856F4B">
        <w:tab/>
        <w:t>λαμβάνοντας υπόψη ότι η κοινή ανακοίνωση της 3ης Δεκεμβρίου 2025 σηματοδοτεί μια εννοιολογική αλλαγή στην προσέγγιση της ΕΕ όσον αφορά την οικονομική ασφάλεια, η οποία αντικατοπτρίζει την αναγνώριση ότι το άνοιγμα του εμπορίου και της οικονομίας δεν μπορεί να θεωρηθεί ότι έχει εκ φύσεως θετικό πρόσημο για όλους, και ότι τρίτες χώρες μπορούν να αξιοποιήσουν την οικονομική αλληλεξάρτηση για στρατηγικούς σκοπούς ή σκοπούς εξαναγκασμού· λαμβάνοντας υπόψη ότι, κατά συνέπεια, η ΕΕ και τα κράτη μέλη της πρέπει να είναι έτοιμα να αποδεχθούν το οικονομικό κόστος, όπου είναι αναγκαίο, προκειμένου να μειώσουν τις ευπάθειες και να ενισχύσουν τη συνολική ασφάλεια· λαμβάνοντας υπόψη ότι, ως εκ τούτου, τα ζητήματα οικονομικής ασφάλειας πρέπει να ενσωματωθούν στην εμπορική και οικονομική πολιτική της ΕΕ ως διαρθρωτική διάσταση, αντί να αντιμετωπίζονται ως κατ’ εξαίρεση παρέκκλιση από αυτήν·</w:t>
      </w:r>
    </w:p>
    <w:p w:rsidR="00721000" w:rsidRPr="00856F4B" w:rsidP="008E246E" w14:paraId="26CD945B" w14:textId="77777777">
      <w:pPr>
        <w:pStyle w:val="NormalHanging12a"/>
        <w:widowControl/>
        <w:rPr>
          <w:bCs/>
        </w:rPr>
      </w:pPr>
      <w:r w:rsidRPr="00856F4B">
        <w:t>ΣΤ.</w:t>
      </w:r>
      <w:r w:rsidRPr="00856F4B">
        <w:tab/>
        <w:t>λαμβάνοντας υπόψη ότι η έννοια της οικονομικής ασφάλειας δεν έχει οριστεί στο δίκαιο της ΕΕ ή σε κανένα επίσημο ενωσιακό έγγραφο, παρά τα ολοκληρωμένα πλαίσια που ορίζονται στις κοινές ανακοινώσεις της 20ής Ιουνίου 2023 και της 3ης Δεκεμβρίου 2025· λαμβάνοντας, ωστόσο, υπόψη ότι έχει προκύψει ευρεία συναίνεση όσον αφορά την αντίληψη ότι η οικονομική ασφάλεια της ΕΕ συνίσταται στην ικανότητά της να προβλέπει, να αποτρέπει και να αντιμετωπίζει απειλές για την οικονομία της, τους πολίτες της και τα στρατηγικά συμφέροντά της —συμπεριλαμβανομένων των κινδύνων για την ανθεκτικότητα της αλυσίδας εφοδιασμού, τη φυσική ασφάλεια και την κυβερνοασφάλεια των κρίσιμων υποδομών, την τεχνολογική ασφάλεια, μεταξύ άλλων μέσω της διαρροής τεχνολογίας, καθώς και για το οικονομικό άνοιγμα, όπου οι εξαρτήσεις χρησιμοποιούνται ως όπλο ή ασκείται εξαναγκασμός— και ότι για την αντιμετώπισή τους η ΕΕ θα πρέπει, αφενός, να διαχειριστεί τις στρατηγικές εξαρτήσεις μέσω της εγχώριας παραγωγής ή διαφοροποίησης και, αφετέρου, να μετριάσει τις διαρθρωτικές ευπάθειες διατηρώντας τον ενωσιακό έλεγχο πόρων κρίσιμης σημασίας, μεταξύ άλλων μέσω του ελέγχου των ξένων επενδύσεων·</w:t>
      </w:r>
    </w:p>
    <w:p w:rsidR="00721000" w:rsidRPr="00856F4B" w:rsidP="008E246E" w14:paraId="37C139DB" w14:textId="56ECF953">
      <w:pPr>
        <w:pStyle w:val="NormalHanging12a"/>
        <w:widowControl/>
        <w:rPr>
          <w:bCs/>
        </w:rPr>
      </w:pPr>
      <w:r w:rsidRPr="00856F4B">
        <w:t>Ζ.</w:t>
      </w:r>
      <w:r w:rsidRPr="00856F4B">
        <w:tab/>
        <w:t>λαμβάνοντας υπόψη ότι, σύμφωνα με πρόσφατες αναλύσεις, υπάρχουν διαφορές στο κόστος παραγωγής μεταξύ Ευρωπαίων και Κινέζων παραγωγών από 30 % έως 40 %, οι οποίες επηρεάζουν σχεδόν τα δύο τρίτα της προστιθέμενης αξίας του ευρωπαϊκού μεταποιητικού τομέα· λαμβάνοντας υπόψη ότι οι διαφορές αυτές είναι διαρθρωτικές και αυτοενισχυόμενες, καθοδηγούμενες από ένα συνεκτικό σύστημα κρατικής στήριξης, πλεονεκτημάτων κόστους των συντελεστών παραγωγής και ρυθμιστικής ασυμμετρίας, το οποίο η αύξηση της παραγωγικότητας δεν μπορεί να αντισταθμίσει από μόνη της· λαμβάνοντας υπόψη ότι η ΕΕ αντιμετωπίζει μια άνευ προηγουμένου ανισορροπία στις συναλλαγές της με την Κίνα, με το έλλειμμα να ανέρχεται σε 400 δισεκατομμύρια</w:t>
      </w:r>
      <w:r w:rsidRPr="00856F4B" w:rsidR="00DE5F3D">
        <w:t xml:space="preserve"> </w:t>
      </w:r>
      <w:r w:rsidRPr="00856F4B">
        <w:t>EUR, παρά το γεγονός ότι η ΕΕ διατηρεί συνολικά πλεόνασμα στις συναλλαγές της με τον υπόλοιπο κόσμο· λαμβάνοντας υπόψη ότι η ανισορροπία αυτή οφείλεται στη μαζικά επιδοτούμενη πλεονάζουσα παραγωγική ικανότητα στην Κίνα, η οποία έχει οδηγήσει σε αποβιομηχάνιση στην ΕΕ· λαμβάνοντας υπόψη ότι η αναμενόμενη προσαρμογή των συναλλαγματικών ισοτιμιών δεν έχει υλοποιηθεί, γεγονός το οποίο έχει διευρύνει περαιτέρω τα κενά ανταγωνιστικότητας και έχει συμβάλει στην απώλεια μεριδίου αγοράς των Ευρωπαίων κατασκευαστών· λαμβάνοντας υπόψη ότι τα υφιστάμενα μέσα εμπορικής άμυνας της ΕΕ αφορούν σε μεγάλο βαθμό συγκεκριμένα προϊόντα και ότι η εφαρμογή τους, στην παρούσα φάση, δεν επαρκεί για την αντιμετώπιση συστημικών στρεβλώσεων αυτού του μεγέθους στο σύνολο της οικονομίας·</w:t>
      </w:r>
    </w:p>
    <w:p w:rsidR="00721000" w:rsidRPr="00856F4B" w:rsidP="008E246E" w14:paraId="0AD55563" w14:textId="77777777">
      <w:pPr>
        <w:pStyle w:val="NormalHanging12a"/>
        <w:widowControl/>
        <w:rPr>
          <w:bCs/>
        </w:rPr>
      </w:pPr>
      <w:r w:rsidRPr="00856F4B">
        <w:t>Η.</w:t>
      </w:r>
      <w:r w:rsidRPr="00856F4B">
        <w:tab/>
        <w:t xml:space="preserve">λαμβάνοντας υπόψη ότι η ΕΕ διαθέτει σημαντικά λιγότερους διοικητικούς πόρους για την επιβολή της εμπορικής άμυνας σε σύγκριση με συγκρίσιμες δικαιοδοσίες, με αποτέλεσμα να εγείρονται πρακτικά εμπόδια στην κίνηση και τη διεκπεραίωση υποθέσεων σε μια περίοδο κατά την οποία οι ευρωπαϊκές βιομηχανίες αντιμετωπίζουν αυξανόμενη εμπορική πίεση· λαμβάνοντας υπόψη ότι, σε σχέση με τον συνολικό όγκο και τη συνολική αξία των εισαγωγών, η ΕΕ χρησιμοποιεί ήδη μέσα εμπορικής άμυνας πολύ λιγότερο συχνά από ό,τι οι Ηνωμένες Πολιτείες, ο Καναδάς και η Αυστραλία· λαμβάνοντας υπόψη ότι οι δασμοί αντιντάμπινγκ της ΕΕ είναι συχνά σημαντικά χαμηλότεροι από εκείνους που επιβάλλονται από άλλες μεγάλες οικονομίες, παρά τις συγκρίσιμες διαπιστώσεις σχετικά με το ντάμπινγκ και τη ζημία· λαμβάνοντας υπόψη ότι η ΕΕ υποχρεούται να εφαρμόζει περιθώριο ζημίας αν αυτό είναι χαμηλότερο από το περιθώριο ντάμπινγκ· λαμβάνοντας υπόψη ότι η ΕΕ διστάζει να ενεργεί μόνο με βάση τον κίνδυνο πρόκλησης ζημίας· λαμβάνοντας υπόψη ότι αυτός ο συνδυασμός χαμηλότερης έντασης επιβολής, διαδικαστικών περιορισμών και συγκριτικά </w:t>
      </w:r>
      <w:r w:rsidRPr="00856F4B">
        <w:t>περιορισμένων επιπέδων δασμών συμβάλλει στην εκτροπή του εμπορίου και στη δημιουργία της αντίληψης ότι η ΕΕ είναι ένα ηπιότερο περιβάλλον επιβολής ή «πεδίο ντάμπινγκ», με αποτέλεσμα να αυξάνεται η πίεση στη βιομηχανική βάση της·</w:t>
      </w:r>
    </w:p>
    <w:p w:rsidR="00721000" w:rsidRPr="00856F4B" w:rsidP="008E246E" w14:paraId="35396DBD" w14:textId="77777777">
      <w:pPr>
        <w:pStyle w:val="NormalHanging12a"/>
        <w:widowControl/>
        <w:rPr>
          <w:bCs/>
        </w:rPr>
      </w:pPr>
      <w:r w:rsidRPr="00856F4B">
        <w:t>Θ.</w:t>
      </w:r>
      <w:r w:rsidRPr="00856F4B">
        <w:tab/>
        <w:t>λαμβάνοντας υπόψη ότι η κλιματική αλλαγή και η υποβάθμιση του περιβάλλοντος συνιστούν αυξανόμενο και συστημικό κίνδυνο για τη μακροπρόθεσμη οικονομική ασφάλεια της ΕΕ, ο οποίος διαταράσσει τις αλυσίδες εφοδιασμού, απειλεί τη γεωργική παραγωγή και πυροδοτεί τον ανταγωνισμό για τους πόρους· λαμβάνοντας υπόψη ότι η χρησιμοποίηση των παραδόσεων ορυκτών καυσίμων ως όπλου από τη Ρωσία μετά την έναρξη του επιθετικού της πολέμου κατά της Ουκρανίας κατέδειξε με ιδιαίτερη σαφήνεια ότι η εξάρτηση από εισαγόμενη ενέργεια από αναξιόπιστες τρίτες χώρες συνιστά άμεση και οξεία απειλή για την οικονομική ασφάλεια της ΕΕ και ότι, ως εκ τούτου, η επιτάχυνση και η ελαχιστοποίηση των κινδύνων της μετάβασης σε ανανεώσιμες πηγές ενέργειας δεν αποτελεί μόνο περιβαλλοντική επιταγή, αλλά και στρατηγική· λαμβάνοντας, ωστόσο, υπόψη ότι η ίδια η πράσινη μετάβαση έχει δημιουργήσει με ταχείς ρυθμούς νέες και σημαντικές εξαρτήσεις, ιδίως όσον αφορά τις κρίσιμες πρώτες ύλες και τις καθαρές τεχνολογίες, όπως οι ηλιακοί συλλέκτες, οι μετατροπείς φωτοβολταϊκών, τα ηλεκτρικά οχήματα και οι συσσωρευτές δικτύου, με βασική πηγή εφοδιασμού την Κίνα· λαμβάνοντας υπόψη ότι η ΕΕ πρέπει να μεριμνήσει ώστε να μην υποκαταστήσει μια στρατηγική εξάρτηση με μια άλλη και, ως εκ τούτου, πρέπει να επιδιώξει πραγματική αυτονομία στις εισροές που απαιτούνται για την οικολογική μετάβαση ως βασική συνιστώσα της στρατηγικής της για την οικονομική ασφάλεια·</w:t>
      </w:r>
    </w:p>
    <w:p w:rsidR="00721000" w:rsidRPr="00856F4B" w:rsidP="008E246E" w14:paraId="7733BD07" w14:textId="77777777">
      <w:pPr>
        <w:pStyle w:val="NormalHanging12a"/>
        <w:widowControl/>
        <w:rPr>
          <w:bCs/>
        </w:rPr>
      </w:pPr>
      <w:r w:rsidRPr="00856F4B">
        <w:t>Ι.</w:t>
      </w:r>
      <w:r w:rsidRPr="00856F4B">
        <w:tab/>
        <w:t>λαμβάνοντας υπόψη ότι η παρακολούθηση της αλυσίδας εφοδιασμού μπορεί να συμβάλει στον εντοπισμό, την πρόληψη και τον μετριασμό των κινδύνων για την οικονομική ασφάλεια·</w:t>
      </w:r>
    </w:p>
    <w:p w:rsidR="00721000" w:rsidRPr="00856F4B" w:rsidP="008E246E" w14:paraId="16E7BFCA" w14:textId="77777777">
      <w:pPr>
        <w:pStyle w:val="NormalHanging12a"/>
        <w:widowControl/>
        <w:rPr>
          <w:bCs/>
        </w:rPr>
      </w:pPr>
      <w:r w:rsidRPr="00856F4B">
        <w:t>ΙΑ.</w:t>
      </w:r>
      <w:r w:rsidRPr="00856F4B">
        <w:tab/>
        <w:t>λαμβάνοντας υπόψη ότι η οικονομική ασφάλεια πρέπει σε τελική ανάλυση να αποβαίνει προς όφελος των πολιτών της ΕΕ· λαμβάνοντας υπόψη ότι η ικανότητα αντοχής στους εξωτερικούς οικονομικούς κλυδωνισμούς και διαχείρισής τους αποτελεί προϋπόθεση για τη διατήρηση του βιοτικού επιπέδου, τη συνέχεια των δημόσιων υπηρεσιών και τη διατήρηση της κοινωνικής συνοχής· λαμβάνοντας, ως εκ τούτου, υπόψη ότι η πολιτική για την οικονομική ασφάλεια πρέπει να αξιολογείται όχι μόνο σε σχέση με μακροοικονομικά μεγέθη ή στρατηγικά συμφέροντα, αλλά και σε σχέση με τον συγκεκριμένο αντίκτυπό της στην ευημερία των πολιτών·</w:t>
      </w:r>
    </w:p>
    <w:p w:rsidR="00721000" w:rsidRPr="00856F4B" w:rsidP="007D5FB4" w14:paraId="53B560CE" w14:textId="5C25BD1E">
      <w:pPr>
        <w:pStyle w:val="NormalHanging12a"/>
        <w:widowControl/>
        <w:ind w:left="0" w:firstLine="0"/>
        <w:rPr>
          <w:b/>
          <w:i/>
          <w:iCs/>
        </w:rPr>
      </w:pPr>
      <w:r w:rsidRPr="00856F4B">
        <w:rPr>
          <w:b/>
          <w:i/>
        </w:rPr>
        <w:t>Το εξελισσόμενο τοπίο των κινδύνων για την οικονομική ασφάλεια</w:t>
      </w:r>
    </w:p>
    <w:p w:rsidR="00721000" w:rsidRPr="00856F4B" w:rsidP="007D5FB4" w14:paraId="704F900E" w14:textId="7CA07FA9">
      <w:pPr>
        <w:pStyle w:val="NormalHanging12a"/>
        <w:widowControl/>
        <w:ind w:left="570" w:hanging="570"/>
        <w:rPr>
          <w:bCs/>
        </w:rPr>
      </w:pPr>
      <w:r w:rsidRPr="00856F4B">
        <w:rPr>
          <w:bCs/>
        </w:rPr>
        <w:t>1.</w:t>
      </w:r>
      <w:r w:rsidRPr="00856F4B">
        <w:rPr>
          <w:bCs/>
        </w:rPr>
        <w:tab/>
      </w:r>
      <w:r w:rsidRPr="00856F4B">
        <w:t>χαιρετίζει την κοινή ανακοίνωση της 3ης Δεκεμβρίου 2025 ως απαραίτητο βήμα για την ενίσχυση της κοινής προσέγγισης της ΕΕ όσον αφορά την οικονομική ασφάλεια· επισημαίνει ότι απαιτούνται περαιτέρω μέτρα για την επιχειρησιακή εφαρμογή των στόχων οικονομικής ασφάλειας της ΕΕ, συμπεριλαμβανομένων ενός σχεδίου δράσης, ενός χάρτη πορείας και συγκεκριμένων στόχων για την ελαχιστοποίηση των κινδύνων στις αλυσίδες εφοδιασμού σε στρατηγικούς τομείς·</w:t>
      </w:r>
    </w:p>
    <w:p w:rsidR="00721000" w:rsidRPr="00856F4B" w:rsidP="007D5FB4" w14:paraId="37566565" w14:textId="07239F3C">
      <w:pPr>
        <w:pStyle w:val="NormalHanging12a"/>
        <w:widowControl/>
        <w:ind w:left="570" w:hanging="570"/>
        <w:rPr>
          <w:bCs/>
        </w:rPr>
      </w:pPr>
      <w:r w:rsidRPr="00856F4B">
        <w:rPr>
          <w:bCs/>
        </w:rPr>
        <w:t>2.</w:t>
      </w:r>
      <w:r w:rsidRPr="00856F4B">
        <w:rPr>
          <w:bCs/>
        </w:rPr>
        <w:tab/>
      </w:r>
      <w:r w:rsidRPr="00856F4B">
        <w:t xml:space="preserve">θεωρεί ότι η κοινή ανακοίνωση ορθώς τονίζει την ανάγκη αλλαγής νοοτροπίας με τη μετάβαση από μια εκ των υστέρων και σε μια εκ των προτέρων προσέγγιση της οικονομικής ασφάλειας· υπογραμμίζει ότι αυτό απαιτεί αλλαγή πλεύσης προς μια προσέγγιση που αφορά το σύνολο του συστήματος, στο πλαίσιο της οποίας η Επιτροπή, το Ευρωπαϊκό Κοινοβούλιο, τα κράτη μέλη, ο ιδιωτικός τομέας και άλλοι </w:t>
      </w:r>
      <w:r w:rsidRPr="00856F4B">
        <w:t>συμφεροντούχοι του δημόσιου και του ιδιωτικού τομέα συνεργάζονται για να συμβάλουν στον στόχο της ενίσχυσης της οικονομικής ασφάλειας της ΕΕ· υπογραμμίζει ότι μια πραγματική ευρωπαϊκή στρατηγική για την οικονομική ασφάλεια πρέπει να βασίζεται σε στρατηγικό προσανατολισμό, καθώς και να ενσωματώνει και να ευθυγραμμίζει στρατηγικά τις πολιτικές στους τομείς του κλίματος και της ενέργειας, του εμπορίου και του ανταγωνισμού, της ρύθμισης της ψηφιακής αγοράς, της βιομηχανικής πολιτικής, της έρευνας και καινοτομίας, των ξένων επενδύσεων και τον ρόλο του ευρώ·</w:t>
      </w:r>
    </w:p>
    <w:p w:rsidR="00721000" w:rsidRPr="00856F4B" w:rsidP="007D5FB4" w14:paraId="087C945C" w14:textId="5CD8E059">
      <w:pPr>
        <w:pStyle w:val="NormalHanging12a"/>
        <w:widowControl/>
        <w:ind w:left="570" w:hanging="570"/>
        <w:rPr>
          <w:bCs/>
        </w:rPr>
      </w:pPr>
      <w:r w:rsidRPr="00856F4B">
        <w:rPr>
          <w:bCs/>
        </w:rPr>
        <w:t>3.</w:t>
      </w:r>
      <w:r w:rsidRPr="00856F4B">
        <w:rPr>
          <w:bCs/>
        </w:rPr>
        <w:tab/>
      </w:r>
      <w:r w:rsidRPr="00856F4B">
        <w:t>συμμερίζεται την εκτίμηση της Επιτροπής ότι τα μέτρα για την οικονομική ασφάλεια μπορούν να επιφέρουν κάποιο κόστος βραχυπρόθεσμα τόσο για τις επιχειρήσεις όσο και για τους δημόσιους οργανισμούς, αλλά υπογραμμίζει ότι το κόστος που προκύπτει από τις εξαρτήσεις και την έκθεση σε οικονομικό εξαναγκασμό είναι πολύ υψηλότερο· ζητεί να υποστηριχτούν επαρκώς τα μέτρα αυτά μέσω του προγράμματος «Ορίζων Ευρώπη» και του Ταμείου Ανταγωνιστικότητας του επόμενου πολυετούς δημοσιονομικού πλαισίου· ενθαρρύνει την Επιτροπή να εξασφαλίσει επαρκή στήριξη για τις βιομηχανίες και τους εργαζομένους που πλήττονται περισσότερο από διαταραχές της αλυσίδας εφοδιασμού ή άλλες μορφές οικονομικής πίεσης ή οικονομικού εξαναγκασμού·</w:t>
      </w:r>
    </w:p>
    <w:p w:rsidR="00721000" w:rsidRPr="00856F4B" w:rsidP="007D5FB4" w14:paraId="2E543788" w14:textId="61A04736">
      <w:pPr>
        <w:pStyle w:val="NormalHanging12a"/>
        <w:widowControl/>
        <w:ind w:left="570" w:hanging="570"/>
        <w:rPr>
          <w:bCs/>
        </w:rPr>
      </w:pPr>
      <w:r w:rsidRPr="00856F4B">
        <w:rPr>
          <w:bCs/>
        </w:rPr>
        <w:t>4.</w:t>
      </w:r>
      <w:r w:rsidRPr="00856F4B">
        <w:rPr>
          <w:bCs/>
        </w:rPr>
        <w:tab/>
      </w:r>
      <w:r w:rsidRPr="00856F4B">
        <w:t>υπενθυμίζει ότι η ΕΕ είναι μία από τις μεγαλύτερες παγκόσμιες εμπορικές δυνάμεις, η οποία αντλεί περισσότερο από το 20 % του ΑΕΠ της από το εξωτερικό εμπόριο· τονίζει ότι το εμπόριο και οι διεθνείς επενδύσεις έχουν θεμελιώδη σημασία για την οικονομία της ΕΕ· υπογραμμίζει ότι η ΕΕ λόγω του υψηλού βαθμού ενσωμάτωσής της στις παγκόσμιες αγορές είναι περισσότερο εκτεθειμένη σε διαταραχές, πρακτικές εξαναγκασμού και στρατηγική επιρροή από τρίτες χώρες, μέσω σημείων συμφόρησης στις αλυσίδες εφοδιασμού, μονοπωλιακών θέσεων σε κρίσιμες εισροές, εξάρτησης από υψηλού κινδύνου προμηθευτές κρίσιμων τεχνολογιών και ευπαθειών σε βασικές υλικές και ψηφιακές υποδομές, καθώς και όσον αφορά εισαγωγές ενέργειας από τρίτες χώρες· τονίζει ότι η ουσιαστική και διαρθρωτική αυτή εξάρτηση από εξωτερικούς παράγοντες για στρατηγικά αγαθά, υπηρεσίες και υποδομές δημιουργεί επικίνδυνες ευπάθειες που πρέπει να αντιμετωπιστούν επειγόντως·</w:t>
      </w:r>
    </w:p>
    <w:p w:rsidR="00721000" w:rsidRPr="00856F4B" w:rsidP="007D5FB4" w14:paraId="6FE33964" w14:textId="025713D3">
      <w:pPr>
        <w:pStyle w:val="NormalHanging12a"/>
        <w:widowControl/>
        <w:ind w:left="570" w:hanging="570"/>
        <w:rPr>
          <w:bCs/>
        </w:rPr>
      </w:pPr>
      <w:r w:rsidRPr="00856F4B">
        <w:rPr>
          <w:bCs/>
        </w:rPr>
        <w:t>5.</w:t>
      </w:r>
      <w:r w:rsidRPr="00856F4B">
        <w:rPr>
          <w:bCs/>
        </w:rPr>
        <w:tab/>
      </w:r>
      <w:r w:rsidRPr="00856F4B">
        <w:t xml:space="preserve">υπογραμμίζει ότι οι πρόσφατες κρίσεις —συμπεριλαμβανομένης της πανδημίας </w:t>
      </w:r>
      <w:r w:rsidRPr="00856F4B" w:rsidR="00DE5F3D">
        <w:t xml:space="preserve">της </w:t>
      </w:r>
      <w:r w:rsidRPr="00856F4B">
        <w:t xml:space="preserve">COVID-19, των διαταραχών στον ενεργειακό εφοδιασμό εξαιτίας του επιθετικού πολέμου της Ρωσίας κατά της Ουκρανίας, του πολλαπλασιασμού των παράνομων δασμών, των εμπορικών περιορισμών και άλλων μέτρων προστατευτισμού, των επαναλαμβανόμενων εντάσεων που επηρεάζουν τις παγκόσμιες διαδρομές μεταφορών και εφοδιαστικής, των καταναγκαστικών περιορισμών στην πρόσβαση σε κρίσιμα υλικά, του κλιμακούμενου οικονομικού αντικτύπου της κλιματικής αλλαγής, μεταξύ άλλων λόγω ακραίων καιρικών φαινομένων τα οποία διαταράσσουν την παραγωγή και την εφοδιαστική, των πολιτικών κρατικών ενισχύσεων και του ντάμπινγκ τρίτων χωρών στην επιδοτούμενη πλεονάζουσα παραγωγική ικανότητα σε βασικούς τομείς των ευρωπαϊκών αγορών— κατέδειξαν τον τρόπο με τον οποίο οι εξαρτήσεις από τις εισαγωγές μπορούν να μετουσιωθούν με ταχείς ρυθμούς σε ελλείψεις, πληθωρισμό, ζημία στην τοπική παραγωγική ικανότητα και διακοπές της παραγωγής· υπογραμμίζει ότι οι εξαγωγικές εξαρτήσεις έχουν επίσης αποδειχθεί σημαντικός κίνδυνος για τους εξαγωγείς της ΕΕ· τονίζει ότι τόσο οι εισαγωγικές όσο και οι εξαγωγικές εξαρτήσεις ισοδυναμούν με συγκεκριμένους περιορισμούς στην οικονομική δραστηριότητα της Ευρώπης και στην ικανότητα της ΕΕ να αντεπεξέρχεται αποτελεσματικά σε εξωτερικούς κλυδωνισμούς· τονίζει ότι αυτές οι ευπάθειες είναι διαρθρωτικές και όχι </w:t>
      </w:r>
      <w:r w:rsidRPr="00856F4B">
        <w:t>προσωρινές, καθώς προκύπτουν από συγκεντρώσεις και μονοπώλια που έχουν αναπτυχθεί με την πάροδο του χρόνου·</w:t>
      </w:r>
    </w:p>
    <w:p w:rsidR="00721000" w:rsidRPr="00856F4B" w:rsidP="007D5FB4" w14:paraId="7B1D9B20" w14:textId="6D30C088">
      <w:pPr>
        <w:pStyle w:val="NormalHanging12a"/>
        <w:widowControl/>
        <w:ind w:left="570" w:hanging="570"/>
        <w:rPr>
          <w:bCs/>
        </w:rPr>
      </w:pPr>
      <w:r w:rsidRPr="00856F4B">
        <w:rPr>
          <w:bCs/>
        </w:rPr>
        <w:t>6.</w:t>
      </w:r>
      <w:r w:rsidRPr="00856F4B">
        <w:rPr>
          <w:bCs/>
        </w:rPr>
        <w:tab/>
      </w:r>
      <w:r w:rsidRPr="00856F4B">
        <w:t>εκφράζει τη βαθιά του ανησυχία για τις συστημικές στρεβλώσεις της αγοράς της Κίνας που τροφοδοτούν την πλεονάζουσα παραγωγική ικανότητα, συμπεριλαμβανομένων εκτεταμένων κρατικά κατευθυνόμενων μηχανισμών στήριξης, των στρατηγικών δημόσιων συμβάσεων υπέρ κινεζικών προϊόντων (</w:t>
      </w:r>
      <w:r w:rsidRPr="00856F4B">
        <w:t>Buy</w:t>
      </w:r>
      <w:r w:rsidRPr="00856F4B">
        <w:t xml:space="preserve"> </w:t>
      </w:r>
      <w:r w:rsidRPr="00856F4B">
        <w:t>China</w:t>
      </w:r>
      <w:r w:rsidRPr="00856F4B">
        <w:t xml:space="preserve">), της </w:t>
      </w:r>
      <w:r w:rsidRPr="00856F4B">
        <w:t>προτιμησιακής</w:t>
      </w:r>
      <w:r w:rsidRPr="00856F4B">
        <w:t xml:space="preserve"> μεταχείρισης των εγχώριων εταιρειών και της έλλειψης αμοιβαιότητας· επαναλαμβάνει ότι το εμπόριο δεν μπορεί να είναι δίκαιο σε ένα σύστημα στο οποίο μία χώρα κυριαρχεί στην παγκόσμια αγορά και την κατακλύζει·</w:t>
      </w:r>
    </w:p>
    <w:p w:rsidR="00721000" w:rsidRPr="00856F4B" w:rsidP="007D5FB4" w14:paraId="39D506BF" w14:textId="7F57FA78">
      <w:pPr>
        <w:pStyle w:val="NormalHanging12a"/>
        <w:widowControl/>
        <w:ind w:left="570" w:hanging="570"/>
        <w:rPr>
          <w:bCs/>
        </w:rPr>
      </w:pPr>
      <w:r w:rsidRPr="00856F4B">
        <w:rPr>
          <w:bCs/>
        </w:rPr>
        <w:t>7.</w:t>
      </w:r>
      <w:r w:rsidRPr="00856F4B">
        <w:rPr>
          <w:bCs/>
        </w:rPr>
        <w:tab/>
      </w:r>
      <w:r w:rsidRPr="00856F4B">
        <w:t>εκφράζει την ικανοποίησή του για το σχέδιο της Επιτροπής να δημιουργήσει μια ολοκληρωμένη, συστηματική, τακτικά επικαιροποιημένη αξιολόγηση των πλέον κρίσιμων εξαρτήσεων της ΕΕ κατά μήκος των αξιακών αλυσίδων και ζητεί οι αξιολογήσεις αυτές να περιλαμβάνουν ανάλυση των ευπαθειών που θα μπορούσαν δυνητικά να οδηγήσουν σε σημεία συμφόρησης της ΕΕ, συμπεριλαμβανομένων ποσοτικοποιημένων δεδομένων σχετικά με τις συγκεντρώσεις εισαγωγών και τα παγκόσμια μερίδια αγοράς ανά χώρα και τομέα·</w:t>
      </w:r>
    </w:p>
    <w:p w:rsidR="00721000" w:rsidRPr="00856F4B" w:rsidP="007D5FB4" w14:paraId="3C70AB6C" w14:textId="2ED50B2E">
      <w:pPr>
        <w:pStyle w:val="NormalHanging12a"/>
        <w:widowControl/>
        <w:ind w:left="0" w:firstLine="0"/>
        <w:rPr>
          <w:b/>
          <w:i/>
          <w:iCs/>
        </w:rPr>
      </w:pPr>
      <w:r w:rsidRPr="00856F4B">
        <w:rPr>
          <w:b/>
          <w:i/>
        </w:rPr>
        <w:t>Πρόληψη μέσω διαφοροποίησης, καινοτομίας και ανταγωνιστικότητας</w:t>
      </w:r>
    </w:p>
    <w:p w:rsidR="00721000" w:rsidRPr="00856F4B" w:rsidP="007D5FB4" w14:paraId="496D2680" w14:textId="34501590">
      <w:pPr>
        <w:pStyle w:val="NormalHanging12a"/>
        <w:widowControl/>
        <w:ind w:left="570" w:hanging="570"/>
        <w:rPr>
          <w:bCs/>
        </w:rPr>
      </w:pPr>
      <w:r w:rsidRPr="00856F4B">
        <w:rPr>
          <w:bCs/>
        </w:rPr>
        <w:t>8.</w:t>
      </w:r>
      <w:r w:rsidRPr="00856F4B">
        <w:rPr>
          <w:bCs/>
        </w:rPr>
        <w:tab/>
      </w:r>
      <w:r w:rsidRPr="00856F4B">
        <w:t>τονίζει ότι η οικονομική ασφάλεια δεν πρέπει να ερμηνεύεται ως οικονομική απομόνωση· επιβεβαιώνει ότι το άνοιγμα στο βιώσιμο εμπόριο και στις βιώσιμες επενδύσεις, σε συνδυασμό με μέτρα για την αντιμετώπιση του αθέμιτου ανταγωνισμού και τη διαφοροποίηση των εταίρων, των προμηθευτών, των εισαγωγών ενέργειας και των διαδρομών μεταφοράς, είναι ένα από τα βασικά μέσα της ΕΕ για τη μείωση της διαρθρωτικής ευπάθειας σε εξωτερικούς κλυδωνισμούς, διαταραχές σε κρίσιμους τομείς και σε πρακτικές εξαναγκασμού· τονίζει ότι η ενίσχυση της ανθεκτικότητας και της οικονομικής ασφάλειας της EE θα πρέπει να αποτελεί ρητό στόχο κάθε εμπορικής ή επενδυτικής εταιρικής σχέσης της ΕΕ· υπογραμμίζει ότι η τόνωση της ζήτησης για εναλλακτικές λύσεις που παράγονται στην ΕΕ και η δημιουργία τομεακών οικοσυστημάτων με βάση την ΕΕ είναι καίριας σημασίας για την αξιόπιστη οικοδόμηση της οικονομικής ασφάλειας της ΕΕ·</w:t>
      </w:r>
    </w:p>
    <w:p w:rsidR="00721000" w:rsidRPr="00856F4B" w:rsidP="007D5FB4" w14:paraId="7B6AD549" w14:textId="79CFCF49">
      <w:pPr>
        <w:pStyle w:val="NormalHanging12a"/>
        <w:widowControl/>
        <w:ind w:left="570" w:hanging="570"/>
        <w:rPr>
          <w:bCs/>
        </w:rPr>
      </w:pPr>
      <w:r w:rsidRPr="00856F4B">
        <w:rPr>
          <w:bCs/>
        </w:rPr>
        <w:t>9.</w:t>
      </w:r>
      <w:r w:rsidRPr="00856F4B">
        <w:rPr>
          <w:bCs/>
        </w:rPr>
        <w:tab/>
      </w:r>
      <w:r w:rsidRPr="00856F4B">
        <w:t>επισημαίνει ότι το άνοιγμα της αγοράς της ΕΕ πρέπει να βασίζεται στις αρχές της αμοιβαιότητας, της αξιοπιστίας και του μη εξαναγκασμού, και ότι δεν μπορεί να συντελεστεί άνευ όρων όταν διακυβεύονται θεμελιώδη συμφέροντα ασφάλειας· τονίζει ότι η ΕΕ διαθέτει σημαντικά οικονομικά πλεονεκτήματα, ιδίως την ενιαία αγορά της αξίας 18 τρισεκατομμυρίων </w:t>
      </w:r>
      <w:r w:rsidRPr="00856F4B" w:rsidR="00380FFC">
        <w:t xml:space="preserve">EUR </w:t>
      </w:r>
      <w:r w:rsidRPr="00856F4B">
        <w:t>με 450 εκατομμύρια καταναλωτές, την ηγετική της θέση στην παραγωγή και τις υπηρεσίες υψηλής τεχνολογίας, τα υψηλά πρότυπα και τους κανόνες της και τα υψηλής ποιότητας εκπαιδευτικά της ιδρύματα και προγράμματα έρευνας και ανάπτυξης· υπογραμμίζει ότι τα πλεονεκτήματα αυτά θα πρέπει να αξιοποιηθούν έναντι του εξωτερικού εξαναγκασμού, ιδίως σε τομείς όπου τα ευρωπαϊκά αγαθά ή τεχνολογίες είναι απαραίτητα στις παγκόσμιες αγορές·</w:t>
      </w:r>
    </w:p>
    <w:p w:rsidR="00721000" w:rsidRPr="00856F4B" w:rsidP="007D5FB4" w14:paraId="4C855B16" w14:textId="0470E362">
      <w:pPr>
        <w:pStyle w:val="NormalHanging12a"/>
        <w:widowControl/>
        <w:ind w:left="570" w:hanging="570"/>
        <w:rPr>
          <w:bCs/>
        </w:rPr>
      </w:pPr>
      <w:r w:rsidRPr="00856F4B">
        <w:rPr>
          <w:bCs/>
        </w:rPr>
        <w:t>10.</w:t>
      </w:r>
      <w:r w:rsidRPr="00856F4B">
        <w:rPr>
          <w:bCs/>
        </w:rPr>
        <w:tab/>
      </w:r>
      <w:r w:rsidRPr="00856F4B">
        <w:t>προειδοποιεί ότι ένα μικροοικονομικό και μακροοικονομικό περιβάλλον που αποδυναμώνει την ανταγωνιστικότητα των επιχειρήσεων, με χαρακτηριστικά όπως, μεταξύ άλλων, οι φραγμοί στην εσωτερική αγορά, ο περιττός διοικητικός φόρτος, η κανονιστική αβεβαιότητα, οι υψηλές τιμές ενέργειας οι υπερβολικά περίπλοκες διαδικασίες αδειοδότησης και οι ανεπαρκείς επενδύσεις, αποθαρρύνει την καινοτομία και υπονομεύει τους στόχους οικονομικής ανθεκτικότητας και ασφάλειας της ΕΕ·</w:t>
      </w:r>
    </w:p>
    <w:p w:rsidR="00721000" w:rsidRPr="00856F4B" w:rsidP="007D5FB4" w14:paraId="330447B7" w14:textId="0A875267">
      <w:pPr>
        <w:pStyle w:val="NormalHanging12a"/>
        <w:widowControl/>
        <w:ind w:left="570" w:hanging="570"/>
        <w:rPr>
          <w:bCs/>
        </w:rPr>
      </w:pPr>
      <w:r w:rsidRPr="00856F4B">
        <w:rPr>
          <w:bCs/>
        </w:rPr>
        <w:t>11.</w:t>
      </w:r>
      <w:r w:rsidRPr="00856F4B">
        <w:rPr>
          <w:bCs/>
        </w:rPr>
        <w:tab/>
      </w:r>
      <w:r w:rsidRPr="00856F4B">
        <w:t>τονίζει ότι η οικονομική ασφάλεια της ΕΕ δεν μπορεί να ενισχυθεί σημαντικά όσο η ευρωπαϊκή οικονομία εξαρτάται υπερβολικά από τις εισαγωγές ορυκτών καυσίμων ή τεχνολογιών ανανεώσιμης ενέργειας· θεωρεί ότι η εφαρμογή σταθερών και προβλέψιμων πολιτικών για την απαλλαγή από τις ανθρακούχες εκπομπές με στόχο την επίτευξη μηδενικών καθαρών εκπομπών και τον τερματισμό των εισαγωγών ορυκτών καυσίμων συμβάλλει στην ενίσχυση της οικονομικής ασφάλειας και της ανταγωνιστικότητας της ΕΕ· υπογραμμίζει ότι η σημαντική αύξηση και επιτάχυνση των επενδύσεων στον εξηλεκτρισμό και σε μια κυκλική οικονομία είναι θεμελιώδους σημασίας για τη μείωση των στρατηγικών εξαρτήσεων της ΕΕ από εξωτερικούς παράγοντες· ενθαρρύνει την Επιτροπή να θεσπίσει ισχυρές και ευρείες πολιτικές από την πλευρά της ζήτησης για την τόνωση της ζήτησης για ευρωπαϊκά στρατηγικά αγαθά χαμηλών ανθρακούχων εκπομπών που είναι κεντρικής σημασίας για την ενεργειακή μετάβαση, όπως ο πράσινος χάλυβας, οι συσσωρευτές, οι ανανεώσιμες πηγές ενέργειας και οι ημιαγωγοί· καλεί περαιτέρω την Επιτροπή να διασφαλίσει ότι η πράσινη μετάβαση δεν αναπαράγει την ίδια διαρθρωτική λογική εξάρτησης σε διαφορετική μορφή και να δώσει, για τον σκοπό αυτόν, προτεραιότητα στην παραγωγική ικανότητα σε ενωσιακό επίπεδο, στη στρατηγική δημιουργία αποθεμάτων και στην ισχυρή διαφοροποίηση της προμήθειας κρίσιμων πρώτων υλών και κατασκευαστικών στοιχείων καθαρής τεχνολογίας από τα οποία εξαρτάται η μετάβαση·</w:t>
      </w:r>
    </w:p>
    <w:p w:rsidR="00721000" w:rsidRPr="00856F4B" w:rsidP="007D5FB4" w14:paraId="46400076" w14:textId="4404E30D">
      <w:pPr>
        <w:widowControl/>
        <w:spacing w:after="240"/>
        <w:ind w:left="570" w:hanging="570"/>
        <w:rPr>
          <w:bCs/>
        </w:rPr>
      </w:pPr>
      <w:r w:rsidRPr="00856F4B">
        <w:rPr>
          <w:bCs/>
        </w:rPr>
        <w:t>12.</w:t>
      </w:r>
      <w:r w:rsidRPr="00856F4B">
        <w:rPr>
          <w:bCs/>
        </w:rPr>
        <w:tab/>
      </w:r>
      <w:r w:rsidRPr="00856F4B">
        <w:t>τονίζει ότι μια πλήρως λειτουργική και ολοκληρωμένη ενιαία αγορά αποτελεί ακρογωνιαίο λίθο της οικονομικής ασφάλειας· υπογραμμίζει ότι η βαθύτερη ολοκλήρωση και η άρση των φραγμών σε μια πραγματικά εναρμονισμένη αγορά αγαθών, υπηρεσιών και κεφαλαίων είναι απαραίτητη για το μακροπρόθεσμο κοινωνικοοικονομικό μοντέλο, την ανταγωνιστικότητα και την ασφάλεια της ΕΕ· θεωρεί ότι η αύξηση των επενδύσεων στην εκπαίδευση, την καινοτομία και την έρευνα και ανάπτυξη αποτελούν βασική συνιστώσα της μακροπρόθεσμης στρατηγικής για την προστασία της οικονομικής ασφάλειας της Ένωσης·</w:t>
      </w:r>
    </w:p>
    <w:p w:rsidR="00721000" w:rsidRPr="00856F4B" w:rsidP="007D5FB4" w14:paraId="205E8590" w14:textId="63038F5D">
      <w:pPr>
        <w:pStyle w:val="NormalHanging12a"/>
        <w:widowControl/>
        <w:ind w:left="570" w:hanging="570"/>
        <w:rPr>
          <w:bCs/>
        </w:rPr>
      </w:pPr>
      <w:r w:rsidRPr="00856F4B">
        <w:rPr>
          <w:bCs/>
        </w:rPr>
        <w:t>13.</w:t>
      </w:r>
      <w:r w:rsidRPr="00856F4B">
        <w:rPr>
          <w:bCs/>
        </w:rPr>
        <w:tab/>
      </w:r>
      <w:r w:rsidRPr="00856F4B">
        <w:t>εκφράζει τη λύπη του για την υπερβολική εξάρτηση της ΕΕ από τρίτες χώρες για τον εφοδιασμό με κρίσιμες πρώτες ύλες, αναγνωρίζοντας ότι η εξάρτηση αυτή εκθέτει την ΕΕ σε σημαντικές γεωπολιτικές και οικονομικές ευπάθειες, καθώς και σε ευπάθειες της αλυσίδας εφοδιασμού· θεωρεί, ως εκ τούτου, ότι η ενίσχυση της εγχώριας ανθεκτικότητας, μεταξύ άλλων μέσω στρατηγικών έργων εγχώριας εξόρυξης και επεξεργασίας, της ενίσχυσης των ικανοτήτων ανακύκλωσης, της βελτίωσης της αποδοτικής χρήσης των πόρων και της πλήρους εφαρμογής ενός μοντέλου κυκλικής οικονομίας αποτελεί βιώσιμη και στρατηγική λύση· ζητεί μια φιλόδοξη πράξη για την κυκλική οικονομία· ζητεί την τόνωση των επενδύσεων σε κρίσιμες καινοτόμες κυκλικές τεχνολογίες και την προστασία των εν λόγω επενδύσεων·</w:t>
      </w:r>
    </w:p>
    <w:p w:rsidR="00721000" w:rsidRPr="00856F4B" w:rsidP="007D5FB4" w14:paraId="65369EDB" w14:textId="4AD4DBDD">
      <w:pPr>
        <w:pStyle w:val="NormalHanging12a"/>
        <w:widowControl/>
        <w:ind w:left="570" w:hanging="570"/>
        <w:rPr>
          <w:bCs/>
        </w:rPr>
      </w:pPr>
      <w:r w:rsidRPr="00856F4B">
        <w:rPr>
          <w:bCs/>
        </w:rPr>
        <w:t>14.</w:t>
      </w:r>
      <w:r w:rsidRPr="00856F4B">
        <w:rPr>
          <w:bCs/>
        </w:rPr>
        <w:tab/>
      </w:r>
      <w:r w:rsidRPr="00856F4B">
        <w:t>υπογραμμίζει ότι η προστασία των πολιτών έναντι της επέλευσης εξωτερικών οικονομικών κλυδωνισμών —συμπεριλαμβανομένων των διαταραχών στις αλυσίδες εφοδιασμού, των αυξήσεων των τιμών της ενέργειας και των συνεπειών του οικονομικού εξαναγκασμού— αποτελεί βασικό στόχο της πολιτικής για την οικονομική ασφάλεια· καλεί την Επιτροπή και τα κράτη μέλη να διασφαλίσουν ότι ο κοινωνικός αντίκτυπος των μέτρων για την οικονομική ασφάλεια αξιολογείται συστηματικά και ότι τα μέτρα αυτά δεν επιβαρύνουν δυσανάλογα τους πλέον ευάλωτους·</w:t>
      </w:r>
    </w:p>
    <w:p w:rsidR="00721000" w:rsidRPr="00856F4B" w:rsidP="007D5FB4" w14:paraId="7B792493" w14:textId="32503A2F">
      <w:pPr>
        <w:pStyle w:val="NormalHanging12a"/>
        <w:widowControl/>
        <w:ind w:left="570" w:hanging="570"/>
        <w:rPr>
          <w:bCs/>
        </w:rPr>
      </w:pPr>
      <w:r w:rsidRPr="00856F4B">
        <w:rPr>
          <w:bCs/>
        </w:rPr>
        <w:t>15.</w:t>
      </w:r>
      <w:r w:rsidRPr="00856F4B">
        <w:rPr>
          <w:bCs/>
        </w:rPr>
        <w:tab/>
      </w:r>
      <w:r w:rsidRPr="00856F4B">
        <w:t xml:space="preserve">υπενθυμίζει ότι η εμπορική πολιτική αποτελεί στρατηγική συνιστώσα της ισχύος της ΕΕ και θα πρέπει να χρησιμοποιείται προορατικά για την προστασία των συμφερόντων ασφάλειας και της στρατηγικής αυτονομίας της ΕΕ· τονίζει την ανάγκη να ξεπεραστεί η </w:t>
      </w:r>
      <w:r w:rsidRPr="00856F4B">
        <w:t>πρωτίστως αμυντική προσέγγιση και να συνδυαστούν και να αναπτυχθούν τα υφιστάμενα μέσα με πιο στρατηγικό και μακρόπνοο τρόπο, μεταξύ άλλων με την αξιοποίηση των οικονομικών αλληλεξαρτήσεων με τρόπους που ενισχύουν τη γεωπολιτική θέση της ΕΕ·</w:t>
      </w:r>
    </w:p>
    <w:p w:rsidR="00721000" w:rsidRPr="00856F4B" w:rsidP="007D5FB4" w14:paraId="717D269E" w14:textId="05B600FA">
      <w:pPr>
        <w:pStyle w:val="NormalHanging12a"/>
        <w:widowControl/>
        <w:ind w:left="570" w:hanging="570"/>
        <w:rPr>
          <w:bCs/>
        </w:rPr>
      </w:pPr>
      <w:r w:rsidRPr="00856F4B">
        <w:rPr>
          <w:bCs/>
        </w:rPr>
        <w:t>16.</w:t>
      </w:r>
      <w:r w:rsidRPr="00856F4B">
        <w:rPr>
          <w:bCs/>
        </w:rPr>
        <w:tab/>
      </w:r>
      <w:r w:rsidRPr="00856F4B">
        <w:t>υπενθυμίζει ότι η αποτελεσματικότητα του θεματολογίου της ΕΕ για το εμπόριο και την οικονομική ασφάλεια εξαρτάται από τη συνεπή εφαρμογή των εμπορικών κανόνων και των βασικών ρητρών στις εμπορικές συμφωνίες, τις συμφωνίες εταιρικής σχέσης και τις συμφωνίες σύνδεσης· καλεί, στο πλαίσιο αυτό, την Επιτροπή να εντείνει τις προσπάθειές της προκειμένου να διασφαλίσει την πλήρη και αποτελεσματική συμμόρφωση με τις δεσμεύσεις και τις υποχρεώσεις της, ιδίως ενόψει μιας συνεκτικής αναπτυξιακής πολιτικής·</w:t>
      </w:r>
    </w:p>
    <w:p w:rsidR="00721000" w:rsidRPr="00856F4B" w:rsidP="007D5FB4" w14:paraId="693F681E" w14:textId="79F9F842">
      <w:pPr>
        <w:pStyle w:val="NormalHanging12a"/>
        <w:widowControl/>
        <w:ind w:left="570" w:hanging="570"/>
        <w:rPr>
          <w:bCs/>
        </w:rPr>
      </w:pPr>
      <w:r w:rsidRPr="00856F4B">
        <w:rPr>
          <w:bCs/>
        </w:rPr>
        <w:t>17.</w:t>
      </w:r>
      <w:r w:rsidRPr="00856F4B">
        <w:rPr>
          <w:bCs/>
        </w:rPr>
        <w:tab/>
      </w:r>
      <w:r w:rsidRPr="00856F4B">
        <w:t>καλεί την Επιτροπή να ολοκληρώσει τις τρέχουσες διαπραγματεύσεις και να επιδιώξει ενεργά μια στρατηγική και φιλόδοξη προσέγγιση εμπορικών συμφωνιών και τομεακών εταιρικών σχέσεων με αξιόπιστους εταίρους ως κεντρικό στοιχείο της στρατηγικής της για τη διαφοροποίηση· θεωρεί ότι η διαφοροποίηση των προμηθευτών τρίτων χωρών και των εξαγωγικών αγορών θα πρέπει να βασίζεται και να καθοδηγείται από σαφή αξιολόγηση των διαρθρωτικών ευπαθειών της ΕΕ· τονίζει την ανάγκη να δοθεί προτεραιότητα στη συμπλήρωση των παραδοσιακών ολοκληρωμένων συμφωνιών ελεύθερων συναλλαγών με νέες, πιο ευέλικτες και στοχευμένες μορφές εμπορικών και επενδυτικών εταιρικών σχέσεων που αποσκοπούν ρητά στην ελαχιστοποίηση των κινδύνων για τις εισαγωγές και τις εξαγωγές μέσω της ανάπτυξης ασφαλών και ανθεκτικών αλυσίδων εφοδιασμού σε ορισμένους τομείς υψηλού κινδύνου· υπογραμμίζει ότι οι εν λόγω εταιρικές σχέσεις θα πρέπει να περιλαμβάνουν δεσμευτικές υποχρεώσεις και να απαιτούν την πλήρη συμμετοχή του Κοινοβουλίου και διαφάνεια όσον αφορά το Κοινοβούλιο καθ’ όλη τη διάρκεια των διαπραγματεύσεων, καθώς και την έγκριση του Κοινοβουλίου στη διαδικασία κύρωσης·</w:t>
      </w:r>
    </w:p>
    <w:p w:rsidR="00721000" w:rsidRPr="00856F4B" w:rsidP="007D5FB4" w14:paraId="408A3651" w14:textId="6D4B39EC">
      <w:pPr>
        <w:pStyle w:val="NormalHanging12a"/>
        <w:widowControl/>
        <w:ind w:left="570" w:hanging="570"/>
        <w:rPr>
          <w:bCs/>
        </w:rPr>
      </w:pPr>
      <w:r w:rsidRPr="00856F4B">
        <w:rPr>
          <w:bCs/>
        </w:rPr>
        <w:t>18.</w:t>
      </w:r>
      <w:r w:rsidRPr="00856F4B">
        <w:rPr>
          <w:bCs/>
        </w:rPr>
        <w:tab/>
      </w:r>
      <w:r w:rsidRPr="00856F4B">
        <w:t>υπογραμμίζει τη στρατηγική σημασία της εκσυγχρονισμένης συμφωνίας σύνδεσης ΕΕ-</w:t>
      </w:r>
      <w:r w:rsidRPr="00856F4B">
        <w:t>Mercosur</w:t>
      </w:r>
      <w:r w:rsidRPr="00856F4B">
        <w:t xml:space="preserve"> για την οικονομική ασφάλεια της ΕΕ· τονίζει ότι η συμφωνία θα συμβάλει στη διαφοροποίηση της πρόσβασης σε κρίσιμες πρώτες ύλες και στην ενίσχυση των ανθεκτικών αξιακών αλυσίδων·</w:t>
      </w:r>
    </w:p>
    <w:p w:rsidR="00721000" w:rsidRPr="00856F4B" w:rsidP="007D5FB4" w14:paraId="11529F17" w14:textId="702F9A9C">
      <w:pPr>
        <w:pStyle w:val="NormalHanging12a"/>
        <w:widowControl/>
        <w:ind w:left="570" w:hanging="570"/>
        <w:rPr>
          <w:bCs/>
        </w:rPr>
      </w:pPr>
      <w:r w:rsidRPr="00856F4B">
        <w:rPr>
          <w:bCs/>
        </w:rPr>
        <w:t>19.</w:t>
      </w:r>
      <w:r w:rsidRPr="00856F4B">
        <w:rPr>
          <w:bCs/>
        </w:rPr>
        <w:tab/>
      </w:r>
      <w:r w:rsidRPr="00856F4B">
        <w:t>επισημαίνει τη στρατηγική σημασία της προώθησης της οικονομικής και εμπορικής συνεργασίας με την Ινδία, έναν ολοένα και πιο σημαντικό μεταποιητικό και τεχνολογικό κόμβο με αυξανόμενο ρόλο στις ψηφιακές υπηρεσίες και στον εφοδιασμό με κρίσιμες πρώτες ύλες·</w:t>
      </w:r>
    </w:p>
    <w:p w:rsidR="00721000" w:rsidRPr="00856F4B" w:rsidP="007D5FB4" w14:paraId="29ADEAC8" w14:textId="56009A63">
      <w:pPr>
        <w:pStyle w:val="NormalHanging12a"/>
        <w:widowControl/>
        <w:ind w:left="570" w:hanging="570"/>
        <w:rPr>
          <w:bCs/>
        </w:rPr>
      </w:pPr>
      <w:r w:rsidRPr="00856F4B">
        <w:rPr>
          <w:bCs/>
        </w:rPr>
        <w:t>20.</w:t>
      </w:r>
      <w:r w:rsidRPr="00856F4B">
        <w:rPr>
          <w:bCs/>
        </w:rPr>
        <w:tab/>
      </w:r>
      <w:r w:rsidRPr="00856F4B">
        <w:t>τονίζει ότι είναι σημαντικό να επιταχυνθούν οι εν εξελίξει διαπραγματεύσεις για συμφωνίες ελεύθερων συναλλαγών με εταίρους όπως οι Φιλιππίνες και η Ταϊλάνδη και να ολοκληρωθεί η εμπορική συμφωνία με την Ινδονησία, δεδομένου του αυξανόμενου ρόλου τους στην παραγωγή κρίσιμων ορυκτών, ηλεκτρονικών ειδών και κατασκευαστικών στοιχείων καθαρής τεχνολογίας· υπογραμμίζει ότι απαιτούνται προβλέψιμα εμπορικά πλαίσια για την αντιμετώπιση των περιορισμών στις εξαγωγές και των κινδύνων συγκέντρωσης της προσφοράς, καθώς και για την εδραίωση της ΕΕ στις βιομηχανικές αξιακές αλυσίδες του Ινδοειρηνικού·</w:t>
      </w:r>
    </w:p>
    <w:p w:rsidR="00721000" w:rsidRPr="00856F4B" w:rsidP="007D5FB4" w14:paraId="1014C1B1" w14:textId="7A597C40">
      <w:pPr>
        <w:pStyle w:val="NormalHanging12a"/>
        <w:widowControl/>
        <w:ind w:left="570" w:hanging="570"/>
        <w:rPr>
          <w:bCs/>
        </w:rPr>
      </w:pPr>
      <w:r w:rsidRPr="00856F4B">
        <w:rPr>
          <w:bCs/>
        </w:rPr>
        <w:t>21.</w:t>
      </w:r>
      <w:r w:rsidRPr="00856F4B">
        <w:rPr>
          <w:bCs/>
        </w:rPr>
        <w:tab/>
      </w:r>
      <w:r w:rsidRPr="00856F4B">
        <w:t xml:space="preserve">εκφράζει την ικανοποίησή του για την ολοκλήρωση των εμπορικών διαπραγματεύσεων με την Αυστραλία, έναν αξιόπιστο και ομοϊδεάτη εταίρο· τονίζει τη σημασία αυτής της βασισμένης σε κανόνες εταιρικής σχέσης για τη συμβολή στη σταθερότητα του </w:t>
      </w:r>
      <w:r w:rsidRPr="00856F4B">
        <w:t>εφοδιασμού και τη διαφοροποίηση των αλυσίδων εφοδιασμού, δεδομένων των σημαντικών αποθεμάτων κρίσιμων πρώτων υλών της Αυστραλίας και της παραγωγής τεχνολογιών εξόρυξης και επεξεργασίας· εκφράζει την ικανοποίησή του για την περαιτέρω συνεργασία για την αντιμετώπιση των κοινών προκλήσεων στον τομέα της οικονομικής ασφάλειας, δεδομένης ιδίως της άμεσης εμπειρίας της Αυστραλίας όσον αφορά την αντιμετώπιση του οικονομικού εξαναγκασμού·</w:t>
      </w:r>
    </w:p>
    <w:p w:rsidR="00721000" w:rsidRPr="00856F4B" w:rsidP="007D5FB4" w14:paraId="07575E46" w14:textId="53BFA63E">
      <w:pPr>
        <w:pStyle w:val="NormalHanging12a"/>
        <w:widowControl/>
        <w:ind w:left="570" w:hanging="570"/>
        <w:rPr>
          <w:bCs/>
        </w:rPr>
      </w:pPr>
      <w:r w:rsidRPr="00856F4B">
        <w:rPr>
          <w:bCs/>
        </w:rPr>
        <w:t>22.</w:t>
      </w:r>
      <w:r w:rsidRPr="00856F4B">
        <w:rPr>
          <w:bCs/>
        </w:rPr>
        <w:tab/>
      </w:r>
      <w:r w:rsidRPr="00856F4B">
        <w:t>ζητεί την καθιέρωση διαρθρωμένου διαλόγου ΕΕ-Ηνωμένου Βασιλείου για την οικονομική ασφάλεια με σκοπό την ενίσχυση του συντονισμού όσον αφορά το εμπόριο, τον έλεγχο των επενδύσεων και την ανθεκτικότητα των αλυσίδων εφοδιασμού· υποστηρίζει τη στενότερη συνεργασία στο πλαίσιο της συμφωνίας εμπορίου και συνεργασίας ΕΕ-Ηνωμένου Βασιλείου για την πρόβλεψη διαταραχών σε στρατηγικούς τομείς·</w:t>
      </w:r>
    </w:p>
    <w:p w:rsidR="00721000" w:rsidRPr="00856F4B" w:rsidP="007D5FB4" w14:paraId="3DC85508" w14:textId="43955A8D">
      <w:pPr>
        <w:pStyle w:val="NormalHanging12a"/>
        <w:widowControl/>
        <w:ind w:left="570" w:hanging="570"/>
        <w:rPr>
          <w:bCs/>
        </w:rPr>
      </w:pPr>
      <w:r w:rsidRPr="00856F4B">
        <w:rPr>
          <w:bCs/>
        </w:rPr>
        <w:t>23.</w:t>
      </w:r>
      <w:r w:rsidRPr="00856F4B">
        <w:rPr>
          <w:bCs/>
        </w:rPr>
        <w:tab/>
      </w:r>
      <w:r w:rsidRPr="00856F4B">
        <w:t>υποστηρίζει την έκκληση της στρατηγικής της ΕΕ για τον Ινδοειρηνικό για εμβάθυνση της συνεργασίας με τους Ασιάτες εταίρους στον τομέα της οικονομικής ασφάλειας, μεταξύ άλλων μέσω ενισχυμένων εταιρικών σχέσεων με τα μέλη του Συνδέσμου Κρατών της Νοτιοανατολικής Ασίας και μέσω στενότερης αλληλεπίδρασης με τους εταίρους που συμμετέχουν στη συνολική και προοδευτική συμφωνία για την εταιρική σχέση του Ειρηνικού·</w:t>
      </w:r>
    </w:p>
    <w:p w:rsidR="00721000" w:rsidRPr="00856F4B" w:rsidP="007D5FB4" w14:paraId="4972F730" w14:textId="3CA93CFC">
      <w:pPr>
        <w:pStyle w:val="NormalHanging12a"/>
        <w:widowControl/>
        <w:ind w:left="570" w:hanging="570"/>
        <w:rPr>
          <w:bCs/>
        </w:rPr>
      </w:pPr>
      <w:r w:rsidRPr="00856F4B">
        <w:rPr>
          <w:bCs/>
        </w:rPr>
        <w:t>24.</w:t>
      </w:r>
      <w:r w:rsidRPr="00856F4B">
        <w:rPr>
          <w:bCs/>
        </w:rPr>
        <w:tab/>
      </w:r>
      <w:r w:rsidRPr="00856F4B">
        <w:t>παροτρύνει τα κράτη μέλη να κυρώσουν τις εκκρεμείς συμφωνίες ελεύθερων συναλλαγών·</w:t>
      </w:r>
    </w:p>
    <w:p w:rsidR="00721000" w:rsidRPr="00856F4B" w:rsidP="007D5FB4" w14:paraId="5A81B9C3" w14:textId="72081F64">
      <w:pPr>
        <w:pStyle w:val="NormalHanging12a"/>
        <w:widowControl/>
        <w:ind w:left="570" w:hanging="570"/>
        <w:rPr>
          <w:bCs/>
        </w:rPr>
      </w:pPr>
      <w:r w:rsidRPr="00856F4B">
        <w:rPr>
          <w:bCs/>
        </w:rPr>
        <w:t>25.</w:t>
      </w:r>
      <w:r w:rsidRPr="00856F4B">
        <w:rPr>
          <w:bCs/>
        </w:rPr>
        <w:tab/>
      </w:r>
      <w:r w:rsidRPr="00856F4B">
        <w:t>καλεί την Επιτροπή να προτείνει έναν ανανεωμένο και ολοκληρωμένο διάλογο για το εμπόριο και τις επενδύσεις με τις αναπτυσσόμενες χώρες και περιφέρειες, με βάση αμοιβαία επωφελείς εταιρικές σχέσεις που δεν θα περιορίζονται στην επέκταση της πρόσβασης στην αγορά ή στην εξόρυξη φυσικών πόρων· τονίζει τη σημασία της προώθησης της δημιουργίας αξίας σε τοπικό και περιφερειακό επίπεδο στο πλαίσιο εμπορικών συμφωνιών και τομεακών εταιρικών σχέσεων μέσω της ανάπτυξης καθαρών και βιώσιμων αξιακών αλυσίδων, με παράλληλη προώθηση της βιώσιμης και χωρίς αποκλεισμούς ανάπτυξης και διασφάλιση της προστασίας των περιβαλλοντικών προτύπων και των εργασιακών δικαιωμάτων·</w:t>
      </w:r>
    </w:p>
    <w:p w:rsidR="00721000" w:rsidRPr="00856F4B" w:rsidP="007D5FB4" w14:paraId="3DC05910" w14:textId="7F72CBFA">
      <w:pPr>
        <w:pStyle w:val="NormalHanging12a"/>
        <w:widowControl/>
        <w:ind w:left="570" w:hanging="570"/>
        <w:rPr>
          <w:bCs/>
        </w:rPr>
      </w:pPr>
      <w:r w:rsidRPr="00856F4B">
        <w:rPr>
          <w:bCs/>
        </w:rPr>
        <w:t>26.</w:t>
      </w:r>
      <w:r w:rsidRPr="00856F4B">
        <w:rPr>
          <w:bCs/>
        </w:rPr>
        <w:tab/>
      </w:r>
      <w:r w:rsidRPr="00856F4B">
        <w:t>σημειώνει ότι η ΕΕ εξαρτάται επί του παρόντος από την Κίνα για περίπου το 98 % του εφοδιασμού της με σπάνιες γαίες και για περισσότερο από το 90 % των εισαγωγών μαγνησίου, ότι τα εγχώρια ποσοστά ανακύκλωσης σπάνιων γαιών παραμένουν κάτω από το 1 % και ότι περισσότερο από το 60 % της παγκόσμιας ικανότητας διύλισης λιθίου και περισσότερο από το 85 % της ικανότητας επεξεργασίας σπάνιων γαιών συγκεντρώνονται σε μία μόνο τρίτη χώρα, με αποτέλεσμα η ΕΕ να απέχει πολύ από την επίτευξη των στόχων που ορίζονται στην πράξη για τις κρίσιμες πρώτες ύλες· τονίζει τη σημασία των συμφωνιών που συνάπτονται με ομόφρονες χώρες στον εν λόγω τομέα και την ανάγκη να συνεχιστεί η διαπραγμάτευση νέων εταιρικών σχέσεων προκειμένου να ενισχυθεί η ανθεκτικότητα των αλυσίδων εφοδιασμού της ΕΕ·</w:t>
      </w:r>
    </w:p>
    <w:p w:rsidR="00721000" w:rsidRPr="00856F4B" w:rsidP="007D5FB4" w14:paraId="172591E2" w14:textId="6F753B5A">
      <w:pPr>
        <w:pStyle w:val="NormalHanging12a"/>
        <w:widowControl/>
        <w:ind w:left="570" w:hanging="570"/>
        <w:rPr>
          <w:bCs/>
        </w:rPr>
      </w:pPr>
      <w:r w:rsidRPr="00856F4B">
        <w:rPr>
          <w:bCs/>
        </w:rPr>
        <w:t>27.</w:t>
      </w:r>
      <w:r w:rsidRPr="00856F4B">
        <w:rPr>
          <w:bCs/>
        </w:rPr>
        <w:tab/>
      </w:r>
      <w:r w:rsidRPr="00856F4B">
        <w:t xml:space="preserve">τονίζει ότι η εμπορική πολιτική της ΕΕ θα πρέπει να έχει ως στρατηγικό στόχο τη διαφοροποίηση των πηγών εφοδιασμού με κρίσιμες πρώτες ύλες, δεδομένου του κρίσιμου ρόλου τους στην πράσινη και την ψηφιακή μετάβαση και στην άμυνα· σημειώνει ότι, ενώ η πράξη για τις κρίσιμες πρώτες ύλες είναι σημαντικό βήμα προς την ενίσχυση της ανθεκτικότητας της ΕΕ, εξακολουθεί να μην επαρκεί για την αντιμετώπιση βασικών ευπαθειών, ιδίως της συνεχιζόμενης συγκέντρωσης ικανοτήτων </w:t>
      </w:r>
      <w:r w:rsidRPr="00856F4B">
        <w:t>διύλισης και επεξεργασίας σε περιορισμένο αριθμό τρίτων χωρών· υπογραμμίζει ότι η πράξη βασίζεται σε μη δεσμευτικούς δείκτες αναφοράς σε επίπεδο ΕΕ και ότι η διαθεσιμότητα ειδικής χρηματοδότησης και αποτελεσματικής ικανότητας υλοποίησης παραμένει περιορισμένη·</w:t>
      </w:r>
    </w:p>
    <w:p w:rsidR="00721000" w:rsidRPr="00856F4B" w:rsidP="007D5FB4" w14:paraId="175A4121" w14:textId="5A28EF67">
      <w:pPr>
        <w:pStyle w:val="NormalHanging12a"/>
        <w:widowControl/>
        <w:ind w:left="570" w:hanging="570"/>
        <w:rPr>
          <w:bCs/>
        </w:rPr>
      </w:pPr>
      <w:r w:rsidRPr="00856F4B">
        <w:rPr>
          <w:bCs/>
        </w:rPr>
        <w:t>28.</w:t>
      </w:r>
      <w:r w:rsidRPr="00856F4B">
        <w:rPr>
          <w:bCs/>
        </w:rPr>
        <w:tab/>
      </w:r>
      <w:r w:rsidRPr="00856F4B">
        <w:t xml:space="preserve">εκφράζει την ικανοποίησή του για την πρωτοβουλία </w:t>
      </w:r>
      <w:r w:rsidRPr="00856F4B">
        <w:t>RESourceEU</w:t>
      </w:r>
      <w:r w:rsidRPr="00856F4B">
        <w:t xml:space="preserve"> για την ενίσχυση της χρηματοδότησης της στρατηγικής εγχώριας ικανότητας στους τομείς της εξόρυξης, της επεξεργασίας και της ανακύκλωσης· υπογραμμίζει, ωστόσο, ότι τα εν λόγω μέτρα προώθησης πρέπει να συνδυαστούν με μέτρα προστασίας και δημιουργίας εταιρικών σχέσεων, προκειμένου να ελαχιστοποιηθεί επιτυχώς ο κίνδυνος για την αλυσίδα αξίας των κρίσιμων πρώτων υλών έως το 2030· επαναλαμβάνει ότι η μακροπρόθεσμη επιχειρηματική σκοπιμότητα και η βιωσιμότητα των επενδύσεων σε έμπιστες αξιακές αλυσίδες κρίσιμων πρώτων υλών θα πρέπει, ως εκ τούτου, να συνοδεύονται από κατώτατα όρια τιμών και εγγυήσεις της αγοράς σε στενή συνεργασία με ομόφρονες χώρες, ως αντίμετρο στον κίνδυνο κατάχρησης των μονοπωλιακών θέσεων από μια τρίτη χώρα με σκοπό την υπονόμευση ευάλωτων ανταγωνιστών· τονίζει ότι η πρωτοβουλία </w:t>
      </w:r>
      <w:r w:rsidRPr="00856F4B">
        <w:t>RESourceEU</w:t>
      </w:r>
      <w:r w:rsidRPr="00856F4B">
        <w:t xml:space="preserve"> πρέπει να καταστεί αποτελεσματικό μέσο για την επιτάχυνση της επίτευξης των στόχων για το 2030 που ορίζονται στην πράξη για τις κρίσιμες πρώτες ύλες· υπογραμμίζει ότι, αν δεν υπάρξει ταχεία κινητοποίηση συντονισμένης χρηματοδοτικής στήριξης για έργα εξόρυξης, επεξεργασίας και ανακύκλωσης, η ΕΕ δεν θα είναι σε θέση να εκπληρώσει τους δείκτες αναφοράς της εντός του καθορισμένου χρονοδιαγράμματος·</w:t>
      </w:r>
    </w:p>
    <w:p w:rsidR="00721000" w:rsidRPr="00856F4B" w:rsidP="007D5FB4" w14:paraId="7C814109" w14:textId="41E71BF9">
      <w:pPr>
        <w:pStyle w:val="NormalHanging12a"/>
        <w:widowControl/>
        <w:ind w:left="570" w:hanging="570"/>
        <w:rPr>
          <w:bCs/>
        </w:rPr>
      </w:pPr>
      <w:r w:rsidRPr="00856F4B">
        <w:rPr>
          <w:bCs/>
        </w:rPr>
        <w:t>29.</w:t>
      </w:r>
      <w:r w:rsidRPr="00856F4B">
        <w:rPr>
          <w:bCs/>
        </w:rPr>
        <w:tab/>
      </w:r>
      <w:r w:rsidRPr="00856F4B">
        <w:t>υπογραμμίζει ότι η διπλωματία της ΕΕ για τις κρίσιμες πρώτες ύλες θα πρέπει να εκτείνεται πέραν της εξόρυξης και της πρόσβασης σε πρωτογενείς πόρους και θα πρέπει να αντιμετωπίζει συστηματικά τις δραστηριότητες επεξεργασίας, διύλισης και κατάντη δραστηριότητες, όπου οι στρατηγικές ευπάθειες και οι κίνδυνοι συγκέντρωσης παραμένουν ιδιαίτερα έντονοι·</w:t>
      </w:r>
    </w:p>
    <w:p w:rsidR="00721000" w:rsidRPr="00856F4B" w:rsidP="007D5FB4" w14:paraId="05A9035D" w14:textId="140865D8">
      <w:pPr>
        <w:pStyle w:val="NormalHanging12a"/>
        <w:widowControl/>
        <w:ind w:left="0" w:firstLine="0"/>
        <w:rPr>
          <w:b/>
          <w:i/>
          <w:iCs/>
        </w:rPr>
      </w:pPr>
      <w:r w:rsidRPr="00856F4B">
        <w:rPr>
          <w:b/>
          <w:i/>
        </w:rPr>
        <w:t>Παρακολούθηση, διαχείριση και μετριασμός των εντοπισθέντων κινδύνων</w:t>
      </w:r>
    </w:p>
    <w:p w:rsidR="00721000" w:rsidRPr="00856F4B" w:rsidP="007D5FB4" w14:paraId="3FF2BB76" w14:textId="1715FF12">
      <w:pPr>
        <w:widowControl/>
        <w:spacing w:after="240"/>
        <w:ind w:left="570" w:hanging="570"/>
        <w:rPr>
          <w:bCs/>
        </w:rPr>
      </w:pPr>
      <w:r w:rsidRPr="00856F4B">
        <w:rPr>
          <w:bCs/>
        </w:rPr>
        <w:t>30.</w:t>
      </w:r>
      <w:r w:rsidRPr="00856F4B">
        <w:rPr>
          <w:bCs/>
        </w:rPr>
        <w:tab/>
      </w:r>
      <w:r w:rsidRPr="00856F4B">
        <w:t>καταλήγει στο συμπέρασμα ότι η ενίσχυση της οικονομικής ασφάλειας της ΕΕ είναι καίριας σημασίας για τη διασφάλιση της οικονομικής και πολιτικής κυριαρχίας της, της ακεραιότητας της ενιαίας αγοράς, της ανθεκτικότητας των αλυσίδων εφοδιασμού, της οικονομικής βιωσιμότητας των εταιρειών της ΕΕ και των μέσων διαβίωσης των πολιτών της, μεταξύ άλλων όσον αφορά ποιοτικές θέσεις εργασίας· υπογραμμίζει ότι μια συνολική και ολοκληρωμένη προσέγγιση της οικονομικής ασφάλειας δεν θα πρέπει να αποσκοπεί μόνο στη μείωση των εξωτερικών εξαρτήσεων, αλλά και στην οικοδόμηση στρατηγικής αυτονομίας όσον αφορά τις κρίσιμες πρώτες ύλες, την τεχνολογία, την ενέργεια, τις μεταφορές, τον χρηματοπιστωτικό τομέα και τις ψηφιακές υποδομές· καλεί, ως εκ τούτου, την Επιτροπή να ενσωματώσει την οικονομική ασφάλεια σε όλες τις βιομηχανικές πολιτικές, καθώς και την τομεακή νομοθεσία και τις εκτιμήσεις κινδύνου για τις αλυσίδες εφοδιασμού, ώστε να διασφαλιστεί μια συνεκτική προσέγγιση·</w:t>
      </w:r>
    </w:p>
    <w:p w:rsidR="00721000" w:rsidRPr="00856F4B" w:rsidP="007D5FB4" w14:paraId="5E0E6BF1" w14:textId="7DC8DAD6">
      <w:pPr>
        <w:pStyle w:val="NormalHanging12a"/>
        <w:widowControl/>
        <w:ind w:left="570" w:hanging="570"/>
        <w:rPr>
          <w:bCs/>
        </w:rPr>
      </w:pPr>
      <w:r w:rsidRPr="00856F4B">
        <w:rPr>
          <w:bCs/>
        </w:rPr>
        <w:t>31.</w:t>
      </w:r>
      <w:r w:rsidRPr="00856F4B">
        <w:rPr>
          <w:bCs/>
        </w:rPr>
        <w:tab/>
      </w:r>
      <w:r w:rsidRPr="00856F4B">
        <w:t xml:space="preserve">αναγνωρίζει ότι ορισμένα κρίσιμα οικονομικά ανοίγματα, λόγω της κλίμακας, της συγκέντρωσης, της στρατηγικής σημασίας ή της μη </w:t>
      </w:r>
      <w:r w:rsidRPr="00856F4B">
        <w:t>αναστρεψιμότητάς</w:t>
      </w:r>
      <w:r w:rsidRPr="00856F4B">
        <w:t xml:space="preserve"> τους, απαιτούν </w:t>
      </w:r>
      <w:r w:rsidRPr="00856F4B">
        <w:t>στοχευμένα</w:t>
      </w:r>
      <w:r w:rsidRPr="00856F4B">
        <w:t xml:space="preserve">, επείγοντα και αποφασιστικά μέτρα μετριασμού· υπογραμμίζει ότι σε τέτοιες περιπτώσεις τα μέτρα μπορούν νομίμως να περιλαμβάνουν περιορισμούς, ή την απαγόρευση, της πρόσβασης στην αγορά, την οικονομική δραστηριότητα ή τις επενδυτικές ροές από τρίτες χώρες, προκειμένου να διασφαλίζονται τα ουσιώδη </w:t>
      </w:r>
      <w:r w:rsidRPr="00856F4B">
        <w:t>συμφέροντα της ΕΕ και η δημόσια τάξη· επαναλαμβάνει ότι η πρόσβαση στην ενιαία αγορά αποτελεί το μεγαλύτερο σημείο μόχλευσης της ΕΕ και καλεί την Επιτροπή και τα κράτη μέλη να αξιοποιήσουν τις αντίστροφες εξαρτήσεις για να πιέσουν τρίτες χώρες να άρουν τους παράνομους εξαγωγικούς περιορισμούς που έχουν επιβληθεί στην ΕΕ·</w:t>
      </w:r>
    </w:p>
    <w:p w:rsidR="00721000" w:rsidRPr="00856F4B" w:rsidP="007D5FB4" w14:paraId="6A4FE0BA" w14:textId="151911B4">
      <w:pPr>
        <w:pStyle w:val="NormalHanging12a"/>
        <w:widowControl/>
        <w:ind w:left="570" w:hanging="570"/>
        <w:rPr>
          <w:bCs/>
        </w:rPr>
      </w:pPr>
      <w:r w:rsidRPr="00856F4B">
        <w:rPr>
          <w:bCs/>
        </w:rPr>
        <w:t>32.</w:t>
      </w:r>
      <w:r w:rsidRPr="00856F4B">
        <w:rPr>
          <w:bCs/>
        </w:rPr>
        <w:tab/>
      </w:r>
      <w:r w:rsidRPr="00856F4B">
        <w:t>ενθαρρύνει την Επιτροπή να προτείνει περισσότερα μέτρα για την πρόληψη ή τον περιορισμό των κινδύνων για την οικονομική ασφάλεια· στηρίζει, στο πλαίσιο αυτό, την πρόταση της Επιτροπής να επιβάλλεται στους οικονομικούς φορείς της ΕΕ η υποχρέωση να διαφοροποιούν τους προμηθευτές σε συγκεκριμένους τομείς υψηλού κινδύνου· θεωρεί ότι η απαίτηση αυτή θα πρέπει να επεκταθεί στο μέλλον και στους οικονομικούς φορείς ώστε να υποχρεούνται να διαφοροποιούν τη χώρα ή την περιοχή εφοδιασμού·</w:t>
      </w:r>
    </w:p>
    <w:p w:rsidR="00721000" w:rsidRPr="00856F4B" w:rsidP="007D5FB4" w14:paraId="156D3A28" w14:textId="08433370">
      <w:pPr>
        <w:pStyle w:val="NormalHanging12a"/>
        <w:widowControl/>
        <w:ind w:left="570" w:hanging="570"/>
        <w:rPr>
          <w:bCs/>
        </w:rPr>
      </w:pPr>
      <w:r w:rsidRPr="00856F4B">
        <w:rPr>
          <w:bCs/>
        </w:rPr>
        <w:t>33.</w:t>
      </w:r>
      <w:r w:rsidRPr="00856F4B">
        <w:rPr>
          <w:bCs/>
        </w:rPr>
        <w:tab/>
      </w:r>
      <w:r w:rsidRPr="00856F4B">
        <w:t>τονίζει την ανάγκη να αναπτυχθούν αποτελεσματικά εργαλεία με στόχο την έγκαιρη παρακολούθηση, τον εντοπισμό και την αξιολόγηση των κινδύνων για την οικονομική ασφάλεια κατά μήκος των αξιακών αλυσίδων σε περιοχές υψηλού κινδύνου, ώστε να καταστεί δυνατή η προορατική χαρτογράφηση των υφιστάμενων και δυνητικών στρατηγικών εξαρτήσεων· υπογραμμίζει ότι τα κράτη μέλη και ο ιδιωτικός τομέας αποτελούν θεμελιώδεις εταίρους για τον εντοπισμό και την αξιολόγηση των εξαρτήσεων· υποστηρίζει την πρόταση της Επιτροπής για τη δημιουργία ενός κόμβου πληροφοριών οικονομικής ασφάλειας για την ενοποίηση των διαθέσιμων πληροφοριών· καλεί την Επιτροπή να αναπτύξει εργαλεία που θα αποσκοπούν στην ανταλλαγή οικονομικών πληροφοριών με διεθνείς εταίρους, ώστε να προβλέπονται οι ενέργειες τρίτων χωρών για τη χρήση των εξαρτήσεων ως όπλο εναντίον της ΕΕ·</w:t>
      </w:r>
    </w:p>
    <w:p w:rsidR="00721000" w:rsidRPr="00856F4B" w:rsidP="007D5FB4" w14:paraId="1A5CCA4E" w14:textId="726E3063">
      <w:pPr>
        <w:pStyle w:val="NormalHanging12a"/>
        <w:widowControl/>
        <w:ind w:left="570" w:hanging="570"/>
        <w:rPr>
          <w:bCs/>
        </w:rPr>
      </w:pPr>
      <w:r w:rsidRPr="00856F4B">
        <w:rPr>
          <w:bCs/>
        </w:rPr>
        <w:t>34.</w:t>
      </w:r>
      <w:r w:rsidRPr="00856F4B">
        <w:rPr>
          <w:bCs/>
        </w:rPr>
        <w:tab/>
      </w:r>
      <w:r w:rsidRPr="00856F4B">
        <w:t>καλεί την Επιτροπή να καταρτίζει ετήσιο πίνακα αποτελεσμάτων για την οικονομική ασφάλεια που θα αξιολογεί συστηματικά την πρόοδο προς την επίτευξη των στόχων που ορίζονται στην στρατηγική για την οικονομική ασφάλεια· υπογραμμίζει ότι ένας τέτοιος μηχανισμός θα πρέπει να περιλαμβάνει σαφείς και μετρήσιμους δείκτες που να δείχνουν, μεταξύ άλλων, τη μείωση των κρίσιμων εξαρτήσεων ανά τομέα, τον αριθμό των μέσων εμπορικής άμυνας που προσδιορίζονται ως σημαντικά για την οικονομική ασφάλεια και τον αυξημένο αριθμό εναλλακτικών προμηθευτών· τονίζει ότι η διαφανής και τακτική υποβολή εκθέσεων είναι απαραίτητη για τη διασφάλιση της λογοδοσίας και της τεκμηριωμένης προσαρμογής σε επίπεδο πολιτικής·</w:t>
      </w:r>
    </w:p>
    <w:p w:rsidR="00721000" w:rsidRPr="00856F4B" w:rsidP="007D5FB4" w14:paraId="74C9C788" w14:textId="6F88E961">
      <w:pPr>
        <w:pStyle w:val="NormalHanging12a"/>
        <w:widowControl/>
        <w:ind w:left="570" w:hanging="570"/>
        <w:rPr>
          <w:bCs/>
        </w:rPr>
      </w:pPr>
      <w:r w:rsidRPr="00856F4B">
        <w:rPr>
          <w:bCs/>
        </w:rPr>
        <w:t>35.</w:t>
      </w:r>
      <w:r w:rsidRPr="00856F4B">
        <w:rPr>
          <w:bCs/>
        </w:rPr>
        <w:tab/>
      </w:r>
      <w:r w:rsidRPr="00856F4B">
        <w:t>τονίζει ότι τα μέτρα αυτά θα πρέπει να είναι αναλογικά και προσαρμοσμένα στη σοβαρότητα και τη διάρκεια του κινδύνου, να βασίζονται σε σαφώς καθορισμένα όρια κινδύνου, αντικειμενικά και επαληθεύσιμα κριτήρια και προηγούμενες εκτιμήσεις, και να υπόκεινται σε συνεχή παρακολούθηση και επανεξέταση·</w:t>
      </w:r>
    </w:p>
    <w:p w:rsidR="00721000" w:rsidRPr="00856F4B" w:rsidP="007D5FB4" w14:paraId="7BF8AB42" w14:textId="396EED0D">
      <w:pPr>
        <w:pStyle w:val="NormalHanging12a"/>
        <w:widowControl/>
        <w:ind w:left="570" w:hanging="570"/>
        <w:rPr>
          <w:bCs/>
        </w:rPr>
      </w:pPr>
      <w:r w:rsidRPr="00856F4B">
        <w:rPr>
          <w:bCs/>
        </w:rPr>
        <w:t>36.</w:t>
      </w:r>
      <w:r w:rsidRPr="00856F4B">
        <w:rPr>
          <w:bCs/>
        </w:rPr>
        <w:tab/>
      </w:r>
      <w:r w:rsidRPr="00856F4B">
        <w:t xml:space="preserve">τονίζει ότι, όπως προτείνει η Επιτροπή στην κοινή ανακοίνωση της 3ης Δεκεμβρίου 2025, τα υφιστάμενα μέσα της ΕΕ που έχουν σχεδιαστεί για την αντιμετώπιση των διαρθρωτικών ευπαθειών, των στρεβλώσεων της αγοράς και της συμπεριφοράς εκτός αγοράς θα πρέπει να εκσυγχρονιστούν, στις περιπτώσεις που κρίνεται αναγκαίο, να και να αναπτυχθούν με πιο στρατηγικό και αποφασιστικό τρόπο, και ότι η κατακερματισμένη, διστακτική ή ασυνεπής χρήση των εν λόγω μέσων υπονομεύει την αποτελεσματικότητά τους και, μεταξύ άλλων, το αποτρεπτικό τους αποτέλεσμα· παροτρύνει την Επιτροπή να συντομεύσει το χρονοδιάγραμμα των ερευνών σε θέματα εμπορικής άμυνας και, ακολουθώντας το παράδειγμα διαφόρων χωρών, να αξιοποιήσει σε μεγαλύτερο βαθμό τις υφιστάμενες διατάξεις σχετικά με την απειλή ζημίας και τα </w:t>
      </w:r>
      <w:r w:rsidRPr="00856F4B">
        <w:t>προσωρινά μέτρα —δύο νόμιμα, ωστόσο ανεπαρκώς χρησιμοποιούμενα μέσα—, προκειμένου να αποτρέψει την πρόκληση ανεπανόρθωτης ζημίας στην ενωσιακή βιομηχανία·</w:t>
      </w:r>
    </w:p>
    <w:p w:rsidR="00721000" w:rsidRPr="00856F4B" w:rsidP="007D5FB4" w14:paraId="0DCEF0C0" w14:textId="1D1E960B">
      <w:pPr>
        <w:pStyle w:val="NormalHanging12a"/>
        <w:widowControl/>
        <w:ind w:left="570" w:hanging="570"/>
        <w:rPr>
          <w:bCs/>
        </w:rPr>
      </w:pPr>
      <w:r w:rsidRPr="00856F4B">
        <w:rPr>
          <w:bCs/>
        </w:rPr>
        <w:t>37.</w:t>
      </w:r>
      <w:r w:rsidRPr="00856F4B">
        <w:rPr>
          <w:bCs/>
        </w:rPr>
        <w:tab/>
      </w:r>
      <w:r w:rsidRPr="00856F4B">
        <w:t>τονίζει ότι, παρόλο που η οικονομική ασφάλεια δεν μπορεί να επιτευχθεί μακροπρόθεσμα μέσω γενικών μέτρων αυτάρκειας ή προστατευτισμού, αυτή τη στιγμή είναι επειγόντως αναγκαίο να ληφθούν στοχευμένα μέτρα προκειμένου να σταματήσει το κύμα αποβιομηχανοποίησης και να προστατευτούν στρατηγικοί τομείς στην ΕΕ από τον αθέμιτο ανταγωνισμό από φθηνές εισαγωγές από τρίτες χώρες, όπως ο χάλυβας, τα χημικά προϊόντα, τα φαρμακευτικά προϊόντα, οι ανανεώσιμες πηγές ενέργειας και τα πράσινα αγαθά· καλεί την Επιτροπή να αναπτύξει ένα σχέδιο δράσης για την προστασία των στρατηγικών τομέων της ΕΕ που απειλούνται περισσότερο από την παγκόσμια πλεονάζουσα παραγωγική ικανότητα·</w:t>
      </w:r>
    </w:p>
    <w:p w:rsidR="00721000" w:rsidRPr="00856F4B" w:rsidP="007D5FB4" w14:paraId="56F6AD45" w14:textId="7DFAE48B">
      <w:pPr>
        <w:pStyle w:val="NormalHanging12a"/>
        <w:widowControl/>
        <w:ind w:left="570" w:hanging="570"/>
        <w:rPr>
          <w:bCs/>
        </w:rPr>
      </w:pPr>
      <w:r w:rsidRPr="00856F4B">
        <w:rPr>
          <w:bCs/>
        </w:rPr>
        <w:t>38.</w:t>
      </w:r>
      <w:r w:rsidRPr="00856F4B">
        <w:rPr>
          <w:bCs/>
        </w:rPr>
        <w:tab/>
      </w:r>
      <w:r w:rsidRPr="00856F4B">
        <w:t>θεωρεί ότι η ταυτόχρονη επέκταση της βιομηχανικής ικανότητας σε πολλαπλούς στρατηγικούς τομείς από ορισμένες μεγάλες οικονομίες τρίτων χωρών, κυρίως από την Κίνα, συνιστά συστημική ανταγωνιστική πρόκληση που δεν μπορεί να αντιμετωπιστεί επαρκώς μέσω τομεακών απαντήσεων· θεωρεί ότι οι συστημικοί κίνδυνοι αυτού του είδους απαιτούν συστημικές απαντήσεις οι οποίες θα στοχεύουν τις διαρθρωτικές συνθήκες που δημιουργούν πλεονάζουσα παραγωγική ικανότητα σε ευρεία κλίμακα και όχι στη διαχείριση των συνεπειών τους σε μεμονωμένες αγορές·</w:t>
      </w:r>
    </w:p>
    <w:p w:rsidR="00721000" w:rsidRPr="00856F4B" w:rsidP="007D5FB4" w14:paraId="506220C2" w14:textId="0A33BD89">
      <w:pPr>
        <w:pStyle w:val="NormalHanging12a"/>
        <w:widowControl/>
        <w:ind w:left="570" w:hanging="570"/>
        <w:rPr>
          <w:bCs/>
        </w:rPr>
      </w:pPr>
      <w:r w:rsidRPr="00856F4B">
        <w:rPr>
          <w:bCs/>
        </w:rPr>
        <w:t>39.</w:t>
      </w:r>
      <w:r w:rsidRPr="00856F4B">
        <w:rPr>
          <w:bCs/>
        </w:rPr>
        <w:tab/>
      </w:r>
      <w:r w:rsidRPr="00856F4B">
        <w:t>εκφράζει την ικανοποίησή του για την πρόταση της Επιτροπής, της 7ης Οκτωβρίου 2025, για κανονισμό σχετικά με την αντιμετώπιση των αρνητικών εμπορικών επιπτώσεων της παγκόσμιας πλεονάζουσας παραγωγικής ικανότητας στην ενωσιακή αγορά χάλυβα</w:t>
      </w:r>
      <w:r>
        <w:rPr>
          <w:rStyle w:val="FootnoteReference"/>
          <w:bCs/>
        </w:rPr>
        <w:footnoteReference w:id="12"/>
      </w:r>
      <w:r w:rsidRPr="00856F4B">
        <w:t>, ως αναγνώριση της στρατηγικής σημασίας που έχει η διατήρηση ενός βιώσιμου ευρωπαϊκού τομέα χάλυβα· υπογραμμίζει ότι η απώλεια της ευρωπαϊκής ικανότητας παραγωγής χάλυβα θα συνιστούσε μη αναστρέψιμο κίνδυνο για την οικονομική ασφάλεια· σημειώνει, ωστόσο, ότι το πρόβλημα της πλεονάζουσας παραγωγικής ικανότητας δεν περιορίζεται στον χάλυβα και το αλουμίνιο, αλλά επηρεάζει επίσης, πολλούς άλλους τομείς, όπως οι χημικές ουσίες και προϊόντα που προέρχονται από χάλυβα και αλουμίνιο· εκφράζει την ανησυχία ότι οι έρευνες εμπορικής άμυνας είναι υπερβολικά αργές, απαιτούν υπερβολικά πολλούς πόρους και είναι υπερβολικά εστιασμένες σε συγκεκριμένα προϊόντα, με αποτέλεσμα να μην αντιμετωπίζουν επαρκώς τις στρεβλώσεις σε επίπεδο οικονομίας που προκαλούνται από την πλεονάζουσα παραγωγική ικανότητα· πιστεύει ότι η ΕΕ θα πρέπει να εξοπλιστεί με κατάλληλα μέσα για την παρακολούθηση και την αντιμετώπιση της συστημικής πλεονάζουσας παραγωγικής ικανότητας σε ολόκληρη την αλυσίδα αξίας·</w:t>
      </w:r>
    </w:p>
    <w:p w:rsidR="00721000" w:rsidRPr="00856F4B" w:rsidP="007D5FB4" w14:paraId="5F8F9382" w14:textId="2137C57F">
      <w:pPr>
        <w:pStyle w:val="NormalHanging12a"/>
        <w:widowControl/>
        <w:ind w:left="0" w:firstLine="0"/>
        <w:rPr>
          <w:b/>
          <w:i/>
          <w:iCs/>
        </w:rPr>
      </w:pPr>
      <w:r w:rsidRPr="00856F4B">
        <w:rPr>
          <w:b/>
          <w:i/>
        </w:rPr>
        <w:t>Μέσα εμπορικής πολιτικής, επιβολή και αποτροπή</w:t>
      </w:r>
    </w:p>
    <w:p w:rsidR="00721000" w:rsidRPr="00856F4B" w:rsidP="007D5FB4" w14:paraId="221AC4AF" w14:textId="79DC0EE1">
      <w:pPr>
        <w:pStyle w:val="NormalHanging12a"/>
        <w:widowControl/>
        <w:ind w:left="570" w:hanging="570"/>
        <w:rPr>
          <w:bCs/>
        </w:rPr>
      </w:pPr>
      <w:r w:rsidRPr="00856F4B">
        <w:rPr>
          <w:bCs/>
        </w:rPr>
        <w:t>40.</w:t>
      </w:r>
      <w:r w:rsidRPr="00856F4B">
        <w:rPr>
          <w:bCs/>
        </w:rPr>
        <w:tab/>
      </w:r>
      <w:r w:rsidRPr="00856F4B">
        <w:t>τονίζει ότι η αποτροπή και η ανταγωνιστικότητα αποδυναμώνονται όταν τα μέτρα επιβολής καθυστερούν, είναι ανακόλουθα ή μοιάζουν αβέβαια· καλεί, ως εκ τούτου, την Επιτροπή να διασφαλίσει την έγκαιρη λήψη αποφάσεων, σαφή κριτήρια ενεργοποίησης και προβλέψιμες συνέπειες μόλις διαπιστωθεί η παρουσία ή η απειλή κινδύνων για την οικονομική ασφάλεια ή αθέμιτων πρακτικών·</w:t>
      </w:r>
    </w:p>
    <w:p w:rsidR="00721000" w:rsidRPr="00856F4B" w:rsidP="007D5FB4" w14:paraId="77F83AF9" w14:textId="30BDBBD8">
      <w:pPr>
        <w:pStyle w:val="NormalHanging12a"/>
        <w:widowControl/>
        <w:ind w:left="570" w:hanging="570"/>
        <w:rPr>
          <w:bCs/>
        </w:rPr>
      </w:pPr>
      <w:r w:rsidRPr="00856F4B">
        <w:rPr>
          <w:bCs/>
        </w:rPr>
        <w:t>41.</w:t>
      </w:r>
      <w:r w:rsidRPr="00856F4B">
        <w:rPr>
          <w:bCs/>
        </w:rPr>
        <w:tab/>
      </w:r>
      <w:r w:rsidRPr="00856F4B">
        <w:t xml:space="preserve">τονίζει ότι η αποτελεσματική επιβολή της εμπορικής πολιτικής της ΕΕ και η μεγεθυνόμενη διάσταση της οικονομικής ασφάλειας απαιτούν επαρκείς διοικητικούς </w:t>
      </w:r>
      <w:r w:rsidRPr="00856F4B">
        <w:t>και τεχνικούς πόρους· καλεί την Επιτροπή να διασφαλίσει ότι η Γενική Διεύθυνση Εμπορίου και Οικονομικής Ασφάλειας διαθέτει επαρκές προσωπικό, εμπειρογνωσία και πόρους για την επιβολή μέσων εμπορικής άμυνας και την αποτελεσματική εφαρμογή της στρατηγικής της ΕΕ για την οικονομική ασφάλεια· τονίζει ότι, στο τρέχον γεωοικονομικό πλαίσιο, θα πρέπει να ενισχυθούν οι ικανότητες οικονομικής ασφάλειας της ΕΕ·</w:t>
      </w:r>
    </w:p>
    <w:p w:rsidR="00721000" w:rsidRPr="00856F4B" w:rsidP="007D5FB4" w14:paraId="08FB54A7" w14:textId="798CFC73">
      <w:pPr>
        <w:pStyle w:val="NormalHanging12a"/>
        <w:widowControl/>
        <w:ind w:left="570" w:hanging="570"/>
        <w:rPr>
          <w:bCs/>
        </w:rPr>
      </w:pPr>
      <w:r w:rsidRPr="00856F4B">
        <w:rPr>
          <w:bCs/>
        </w:rPr>
        <w:t>42.</w:t>
      </w:r>
      <w:r w:rsidRPr="00856F4B">
        <w:rPr>
          <w:bCs/>
        </w:rPr>
        <w:tab/>
      </w:r>
      <w:r w:rsidRPr="00856F4B">
        <w:t>υπογραμμίζει ότι η συστηματική επιβολή των ισχυόντων εμπορικών κανόνων αποτελεί την πρωταρχική και αναλογική απάντηση της ΕΕ στη μη συμμόρφωση και προαπαιτούμενο για κάθε αξιόπιστη στρατηγική οικονομικής ασφάλειας· εκφράζει, ωστόσο, τη λύπη του για το ότι οι ισχύοντες κανόνες δεν αντιμετωπίζουν πλήρως στο πρόβλημα· καλεί, ως εκ τούτου, την Επιτροπή να θεσπίσει υψηλότερους δασμούς αντιντάμπινγκ παρόμοιους με εκείνους που εφαρμόζονται από συγκρίσιμους εταίρους, ώστε να αντιμετωπίσει την εκτροπή του εμπορίου και το ντάμπινγκ στην αγορά της ΕΕ· καλεί επίσης την Επιτροπή να συμπεριλάβει το περιβαλλοντικό, ενεργειακό και εργατικό κόστος στον υπολογισμό του περιθωρίου ντάμπινγκ των εξαγωγέων τρίτων χωρών και να απομακρυνθεί από τον κανόνα του «χαμηλότερου δασμού», ο οποίος δεν απαιτείται από τον Παγκόσμιο Οργανισμό Εμπορίου (ΠΟΕ)·</w:t>
      </w:r>
    </w:p>
    <w:p w:rsidR="00721000" w:rsidRPr="00856F4B" w:rsidP="007D5FB4" w14:paraId="2CEB3740" w14:textId="76A6D6D7">
      <w:pPr>
        <w:pStyle w:val="NormalHanging12a"/>
        <w:widowControl/>
        <w:ind w:left="570" w:hanging="570"/>
        <w:rPr>
          <w:bCs/>
        </w:rPr>
      </w:pPr>
      <w:r w:rsidRPr="00856F4B">
        <w:rPr>
          <w:bCs/>
        </w:rPr>
        <w:t>43.</w:t>
      </w:r>
      <w:r w:rsidRPr="00856F4B">
        <w:rPr>
          <w:bCs/>
        </w:rPr>
        <w:tab/>
      </w:r>
      <w:r w:rsidRPr="00856F4B">
        <w:t>σημειώνει ότι οι διαδικασίες αντιντάμπινγκ και κατά των επιδοτήσεων είναι υπερβολικά στενά στοχευμένες, απαιτούν υπερβολικούς πόρους και είναι υπερβολικά αργές ως απάντηση στην κλίμακα και στη διαρθρωτική φύση των ανταγωνιστικών προκλήσεων και της πλεονάζουσας παραγωγικής ικανότητας που αντιμετωπίζει σήμερα η ευρωπαϊκή βιομηχανία·</w:t>
      </w:r>
    </w:p>
    <w:p w:rsidR="00721000" w:rsidRPr="00856F4B" w:rsidP="007D5FB4" w14:paraId="56B36F03" w14:textId="06F4C143">
      <w:pPr>
        <w:pStyle w:val="NormalHanging12a"/>
        <w:widowControl/>
        <w:ind w:left="570" w:hanging="570"/>
        <w:rPr>
          <w:bCs/>
        </w:rPr>
      </w:pPr>
      <w:r w:rsidRPr="00856F4B">
        <w:rPr>
          <w:bCs/>
        </w:rPr>
        <w:t>44.</w:t>
      </w:r>
      <w:r w:rsidRPr="00856F4B">
        <w:rPr>
          <w:bCs/>
        </w:rPr>
        <w:tab/>
      </w:r>
      <w:r w:rsidRPr="00856F4B">
        <w:t>υπογραμμίζει ότι οι στόχοι ανθεκτικότητας της ΕΕ —που περιλαμβάνουν την ικανότητα διαχείρισης των οικολογικών, οικονομικών και κοινωνικών μεταβάσεων με βιώσιμο, δίκαιο και δημοκρατικό τρόπο, καθώς και τη διατήρηση της υγείας των ανθρώπων, των ζώων και των φυτών και των φυσικών πόρων— είναι σταθερά εδραιωμένοι στο πρωτογενές και παράγωγο δίκαιο της ΕΕ· θεωρεί ότι το νομικό αυτό πλαίσιο παρέχει μια ισχυρή και σε μεγάλο βαθμό αναξιοποίητη βάση για την επίκληση των γενικών εξαιρέσεων που προβλέπονται στο άρθρο XX της Γενικής Συμφωνίας Δασμών και Εμπορίου· καλεί την Επιτροπή να κάνει πληρέστερη και συστηματικότερη χρήση των εξαιρέσεων του άρθρου ΧΧ όταν τα μέτρα της ΕΕ που επιδιώκουν τους θεμιτούς αυτούς στόχους πολιτικής αμφισβητούνται στο πλαίσιο του ΠΟΕ·</w:t>
      </w:r>
    </w:p>
    <w:p w:rsidR="00721000" w:rsidRPr="00856F4B" w:rsidP="007D5FB4" w14:paraId="3CB69AFC" w14:textId="3EEF8CAE">
      <w:pPr>
        <w:widowControl/>
        <w:spacing w:after="240"/>
        <w:ind w:left="570" w:hanging="570"/>
        <w:rPr>
          <w:bCs/>
        </w:rPr>
      </w:pPr>
      <w:r w:rsidRPr="00856F4B">
        <w:rPr>
          <w:bCs/>
        </w:rPr>
        <w:t>45.</w:t>
      </w:r>
      <w:r w:rsidRPr="00856F4B">
        <w:rPr>
          <w:bCs/>
        </w:rPr>
        <w:tab/>
      </w:r>
      <w:r w:rsidRPr="00856F4B">
        <w:t>καλεί την Επιτροπή να προτείνει αλλαγές στα υφιστάμενα εργαλεία ώστε να καταστεί δυνατή η πιο ενεργή, στρατηγική και συντονισμένη χρήση και να προτείνει νέα εργαλεία στις περιπτώσεις που έχει εντοπιστεί σαφές και αποδεδειγμένο κενό ως προς την αποτελεσματικότητα των υφιστάμενων μέσων της ΕΕ· ζητεί τον εξορθολογισμό της υφιστάμενης και της μελλοντικής νομοθεσίας και των πρωτοβουλιών που σχετίζονται με την οικονομική ασφάλεια·</w:t>
      </w:r>
    </w:p>
    <w:p w:rsidR="00721000" w:rsidRPr="00856F4B" w:rsidP="007D5FB4" w14:paraId="446487AB" w14:textId="45460D38">
      <w:pPr>
        <w:pStyle w:val="NormalHanging12a"/>
        <w:widowControl/>
        <w:ind w:left="570" w:hanging="570"/>
        <w:rPr>
          <w:bCs/>
        </w:rPr>
      </w:pPr>
      <w:r w:rsidRPr="00856F4B">
        <w:rPr>
          <w:bCs/>
        </w:rPr>
        <w:t>46.</w:t>
      </w:r>
      <w:r w:rsidRPr="00856F4B">
        <w:rPr>
          <w:bCs/>
        </w:rPr>
        <w:tab/>
      </w:r>
      <w:r w:rsidRPr="00856F4B">
        <w:t xml:space="preserve">υπογραμμίζει ότι η αξιοπιστία της αντίδρασης της ΕΕ στον οικονομικό εξαναγκασμό εξαρτάται πρωτίστως από την προθυμία της να εντοπίσει και να χαρακτηρίσει επίσημα τις πρακτικές εξαναγκασμού εγκαίρως, κινώντας έτσι τη διαδικασία που στηρίζει τόσο την αποτροπή όσο και τη διαπραγματευτική ισχύ· θεωρεί ότι ο μηχανισμός αποτροπής μέτρων εξαναγκασμού είναι το πιο κατάλληλο εργαλείο για την αξιοποίηση των πλεονεκτημάτων της ΕΕ στο πλαίσιο αυτό· τονίζει ότι ο μηχανισμός θα πρέπει να ενεργοποιείται ενόψει εξαναγκασμού ή απειλών εξαναγκασμού και ότι θα πρέπει </w:t>
      </w:r>
      <w:r w:rsidRPr="00856F4B">
        <w:t>παράλληλα να διερευνώνται όλες οι οδοί αποκλιμάκωσης, ενώ η επιβολή αντιμέτρων θα πρέπει να αποτελεί έσχατη λύση·</w:t>
      </w:r>
    </w:p>
    <w:p w:rsidR="00721000" w:rsidRPr="00856F4B" w:rsidP="007D5FB4" w14:paraId="5FB587F5" w14:textId="19254147">
      <w:pPr>
        <w:pStyle w:val="NormalHanging12a"/>
        <w:widowControl/>
        <w:ind w:left="570" w:hanging="570"/>
        <w:rPr>
          <w:bCs/>
        </w:rPr>
      </w:pPr>
      <w:r w:rsidRPr="00856F4B">
        <w:rPr>
          <w:bCs/>
        </w:rPr>
        <w:t>47.</w:t>
      </w:r>
      <w:r w:rsidRPr="00856F4B">
        <w:rPr>
          <w:bCs/>
        </w:rPr>
        <w:tab/>
      </w:r>
      <w:r w:rsidRPr="00856F4B">
        <w:t>καλεί την Επιτροπή να ενισχύσει επειγόντως την αποτρεπτική ικανότητα της ΕΕ· παροτρύνει την Επιτροπή να αναπτύξει μια προδραστική στρατηγική για την αντιμετώπιση των απειλών που θέτουν στο στόχαστρο την οικονομική κυριαρχία της ΕΕ, συμπεριλαμβανομένων των υποκείμενων ενωσιακών υποδομών ζωτικής σημασίας· τονίζει ότι μια τέτοια στρατηγική πρέπει να είναι σε θέση να αποτρέπει γρήγορα και αποτελεσματικά τους ξένους παράγοντες από την πραγματοποίηση των απειλών τους, αξιοποιώντας το πλήρες οπλοστάσιο της εργαλειοθήκης αντιμέτρων της ΕΕ·</w:t>
      </w:r>
    </w:p>
    <w:p w:rsidR="00721000" w:rsidRPr="00856F4B" w:rsidP="007D5FB4" w14:paraId="522D9DDD" w14:textId="5A9ECCD7">
      <w:pPr>
        <w:pStyle w:val="NormalHanging12a"/>
        <w:widowControl/>
        <w:ind w:left="570" w:hanging="570"/>
        <w:rPr>
          <w:bCs/>
        </w:rPr>
      </w:pPr>
      <w:r w:rsidRPr="00856F4B">
        <w:rPr>
          <w:bCs/>
        </w:rPr>
        <w:t>48.</w:t>
      </w:r>
      <w:r w:rsidRPr="00856F4B">
        <w:rPr>
          <w:bCs/>
        </w:rPr>
        <w:tab/>
      </w:r>
      <w:r w:rsidRPr="00856F4B">
        <w:t>τονίζει ότι, όταν η επιβολή και η δέσμευση δεν μεταβάλλουν τη συμπεριφορά, η αντίδραση της ΕΕ θα πρέπει να ακολουθεί μια σταδιακή, αναλογική και αναστρέψιμη προσέγγιση κλιμάκωσης, η οποία θα επιτρέπει την αύξηση της πίεσης με ελεγχόμενο τρόπο, διατηρώντας παράλληλα την ασφάλεια δικαίου και αξιόπιστες επιλογές αποκλιμάκωσης· παροτρύνει την Επιτροπή να αντιδράσει πιο αποφασιστικά στο πλαίσιο αυτό, υπενθυμίζοντας ότι τα μέτρα που δεν μεταβάλλουν ζημιογόνες και εξαναγκαστικές συμπεριφορές ενέχουν τον κίνδυνο να υπονομεύσουν την αξιοπιστία και τη διαπραγματευτική ισχύ της εμπορικής πολιτικής της ΕΕ, προκαλώντας υψηλό αρχικό πολιτικό κόστος παρέμβασης, χωρίς όμως να αποκαθίστανται οι ισότιμοι όροι ανταγωνισμού·</w:t>
      </w:r>
    </w:p>
    <w:p w:rsidR="00721000" w:rsidRPr="00856F4B" w:rsidP="007D5FB4" w14:paraId="3B0E1BA6" w14:textId="5194F599">
      <w:pPr>
        <w:pStyle w:val="NormalHanging12a"/>
        <w:widowControl/>
        <w:ind w:left="570" w:hanging="570"/>
        <w:rPr>
          <w:bCs/>
        </w:rPr>
      </w:pPr>
      <w:r w:rsidRPr="00856F4B">
        <w:rPr>
          <w:bCs/>
        </w:rPr>
        <w:t>49.</w:t>
      </w:r>
      <w:r w:rsidRPr="00856F4B">
        <w:rPr>
          <w:bCs/>
        </w:rPr>
        <w:tab/>
      </w:r>
      <w:r w:rsidRPr="00856F4B">
        <w:t>καλεί την Επιτροπή να διασφαλίσει ότι η εφαρμογή των μέσων επιβολής, εμπορικής άμυνας και αποτροπής μέτρων εξαναγκασμού συντονίζεται εντός ενός συνεκτικού επιχειρησιακού πλαισίου, σε συντονισμό με τα κράτη μέλη και τους οικονομικούς φορείς· καλεί, περαιτέρω, την Επιτροπή να διερευνήσει την ανάπτυξη ενός μηχανισμού επιμερισμού των βαρών σε επίπεδο ΕΕ, ο οποίος θα συμβάλει στην κατανομή του κόστους των εθνικών αντιδράσεων στον οικονομικό εξαναγκασμό, διασφαλίζοντας την πολιτική συνοχή και την οικονομική ανθεκτικότητα ενόψει της κλιμάκωσης των εμπορικών εντάσεων·</w:t>
      </w:r>
    </w:p>
    <w:p w:rsidR="00721000" w:rsidRPr="00856F4B" w:rsidP="007D5FB4" w14:paraId="27478C84" w14:textId="0F41277F">
      <w:pPr>
        <w:pStyle w:val="NormalHanging12a"/>
        <w:widowControl/>
        <w:ind w:left="570" w:hanging="570"/>
        <w:rPr>
          <w:bCs/>
        </w:rPr>
      </w:pPr>
      <w:r w:rsidRPr="00856F4B">
        <w:rPr>
          <w:bCs/>
        </w:rPr>
        <w:t>50.</w:t>
      </w:r>
      <w:r w:rsidRPr="00856F4B">
        <w:rPr>
          <w:bCs/>
        </w:rPr>
        <w:tab/>
      </w:r>
      <w:r w:rsidRPr="00856F4B">
        <w:t>υπογραμμίζει ότι η ευρωπαϊκή εξουσία δημόσιας χρηματοδότησης αποτελεί βασικό πλεονέκτημα της ΕΕ· θεωρεί ότι δεν πρέπει να δαπανάται δημόσιο χρήμα της ΕΕ, εκτός αν ενισχύει αποδεδειγμένα την κυριαρχία και την ανθεκτικότητα της ΕΕ· καλεί την Επιτροπή να αξιοποιήσει το πλεονέκτημα αυτό και να θεσπίσει ένα εργαλείο αναστολής της χρηματοδότησης που θα καθιστά δυνατό τον ταχύ περιορισμό της πρόσβασης στη χρηματοδότηση της ΕΕ σε καταστάσεις όπου τρίτες χώρες λαμβάνουν μέτρα που υπονομεύουν την οικονομική ασφάλεια της ΕΕ·</w:t>
      </w:r>
    </w:p>
    <w:p w:rsidR="00721000" w:rsidRPr="00856F4B" w:rsidP="007D5FB4" w14:paraId="7EE67C4A" w14:textId="337E4C48">
      <w:pPr>
        <w:pStyle w:val="NormalHanging12a"/>
        <w:widowControl/>
        <w:ind w:left="570" w:hanging="570"/>
        <w:rPr>
          <w:bCs/>
        </w:rPr>
      </w:pPr>
      <w:r w:rsidRPr="00856F4B">
        <w:rPr>
          <w:bCs/>
        </w:rPr>
        <w:t>51.</w:t>
      </w:r>
      <w:r w:rsidRPr="00856F4B">
        <w:rPr>
          <w:bCs/>
        </w:rPr>
        <w:tab/>
      </w:r>
      <w:r w:rsidRPr="00856F4B">
        <w:t>τονίζει την ανάγκη να διασφαλιστεί η ασφαλής και αδιάλειπτη πρόσβαση σε κρίσιμα κατασκευαστικά στοιχεία, πρώτες ύλες και τεχνολογίες γενικής εφαρμογής που χρησιμοποιούνται στην παραγωγή που σχετίζεται με την άμυνα· υπογραμμίζει ότι οι ευπάθειες της αλυσίδας εφοδιασμού σε τομείς διπλής χρήσης ενδέχεται να επηρεάσουν άμεσα την επιχειρησιακή ετοιμότητα και την οικονομική ανθεκτικότητα της ΕΕ·</w:t>
      </w:r>
    </w:p>
    <w:p w:rsidR="00721000" w:rsidRPr="00856F4B" w:rsidP="007D5FB4" w14:paraId="6B3B2901" w14:textId="1AF7E7A4">
      <w:pPr>
        <w:pStyle w:val="NormalHanging12a"/>
        <w:widowControl/>
        <w:ind w:left="570" w:hanging="570"/>
        <w:rPr>
          <w:bCs/>
        </w:rPr>
      </w:pPr>
      <w:r w:rsidRPr="00856F4B">
        <w:rPr>
          <w:bCs/>
        </w:rPr>
        <w:t>52.</w:t>
      </w:r>
      <w:r w:rsidRPr="00856F4B">
        <w:rPr>
          <w:bCs/>
        </w:rPr>
        <w:tab/>
      </w:r>
      <w:r w:rsidRPr="00856F4B">
        <w:t>τονίζει ότι οι αυξανόμενες διασυνδέσεις μεταξύ της μη στρατιωτικής καινοτομίας και των αμυντικών εφαρμογών απαιτούν μια κοινή προσέγγιση όσον αφορά τη διαλογή, τον έλεγχο των εξαγωγών και την εποπτεία των επενδύσεων σε τομείς διπλής χρήσης, προκειμένου να αποτρέπονται οι ακούσιες μεταφορές ευαίσθητων τεχνολογιών και να διατηρηθεί παράλληλα η ανταγωνιστικότητα της ΕΕ·</w:t>
      </w:r>
    </w:p>
    <w:p w:rsidR="00721000" w:rsidRPr="00856F4B" w:rsidP="007D5FB4" w14:paraId="57A0EA99" w14:textId="275C4CB8">
      <w:pPr>
        <w:pStyle w:val="NormalHanging12a"/>
        <w:widowControl/>
        <w:ind w:left="570" w:hanging="570"/>
        <w:rPr>
          <w:bCs/>
        </w:rPr>
      </w:pPr>
      <w:r w:rsidRPr="00856F4B">
        <w:rPr>
          <w:bCs/>
        </w:rPr>
        <w:t>53.</w:t>
      </w:r>
      <w:r w:rsidRPr="00856F4B">
        <w:rPr>
          <w:bCs/>
        </w:rPr>
        <w:tab/>
      </w:r>
      <w:r w:rsidRPr="00856F4B">
        <w:t>επισημαίνει τους διαρθρωτικούς περιορισμούς του πλαισίου ελέγχου των εξαγωγών ειδών διπλής χρήσης της ΕΕ, ιδίως την εξάρτησή της από πολυμερή καθεστώτα που εξελίσσονται με αργούς ρυθμούς, την περιορισμένη ικανότητά της να προβλέπει και να ανταποκρίνεται σε αναδυόμενες και ταχέως εξελισσόμενες τεχνολογίες και την κατακερματισμένη εφαρμογή του πλαισίου στα κράτη μέλη·</w:t>
      </w:r>
    </w:p>
    <w:p w:rsidR="00721000" w:rsidRPr="00856F4B" w:rsidP="007D5FB4" w14:paraId="5354C453" w14:textId="2E91B868">
      <w:pPr>
        <w:pStyle w:val="NormalHanging12a"/>
        <w:widowControl/>
        <w:ind w:left="570" w:hanging="570"/>
        <w:rPr>
          <w:bCs/>
        </w:rPr>
      </w:pPr>
      <w:r w:rsidRPr="00856F4B">
        <w:rPr>
          <w:bCs/>
        </w:rPr>
        <w:t>54.</w:t>
      </w:r>
      <w:r w:rsidRPr="00856F4B">
        <w:rPr>
          <w:bCs/>
        </w:rPr>
        <w:tab/>
      </w:r>
      <w:r w:rsidRPr="00856F4B">
        <w:t>θεωρεί ότι το ισχύον πλαίσιο ελέγχου των εξαγωγών είναι ένα συνονθύλευμα διαφορετικών εθνικών πολιτικών και μέτρων σε επίπεδο κρατών μελών, το οποίο στερείται της αποτελεσματικότητας, της συνέπειας και της ταχύτητας που απαιτούνται για να ανταποκριθεί στο τρέχον γεωοικονομικό πλαίσιο· υπογραμμίζει ότι απαιτείται επειγόντως μεταρρύθμιση και υπέρβαση των υφιστάμενων εθνικών πολιτικών ελέγχου των εξαγωγών ώστε να εξασφαλιστεί η οικονομική ασφάλεια της ΕΕ· τονίζει την ανάγκη να αναπτυχθεί ένα εναρμονισμένο σύστημα ελέγχου των εξαγωγών σε επίπεδο ΕΕ· τονίζει ότι η ευθυγράμμιση των ελέγχων των εξαγωγών με τους διεθνείς εταίρους θα ενισχύσει σημαντικά την οικονομική ασφάλεια της ΕΕ·</w:t>
      </w:r>
    </w:p>
    <w:p w:rsidR="00721000" w:rsidRPr="00856F4B" w:rsidP="007D5FB4" w14:paraId="75FC8EB3" w14:textId="52BCC300">
      <w:pPr>
        <w:pStyle w:val="NormalHanging12a"/>
        <w:widowControl/>
        <w:ind w:left="570" w:hanging="570"/>
        <w:rPr>
          <w:bCs/>
        </w:rPr>
      </w:pPr>
      <w:r w:rsidRPr="00856F4B">
        <w:rPr>
          <w:bCs/>
        </w:rPr>
        <w:t>55.</w:t>
      </w:r>
      <w:r w:rsidRPr="00856F4B">
        <w:rPr>
          <w:bCs/>
        </w:rPr>
        <w:tab/>
      </w:r>
      <w:r w:rsidRPr="00856F4B">
        <w:t xml:space="preserve">εκφράζει την ικανοποίησή του για τις πρόσφατες επικαιροποιήσεις του καταλόγου ελέγχου των εξαγωγών ειδών διπλής χρήσης της ΕΕ σύμφωνα με τον κατάλογο που συμφωνήθηκε στο πλαίσιο του Διακανονισμού του </w:t>
      </w:r>
      <w:r w:rsidRPr="00856F4B">
        <w:t>Wassenaar</w:t>
      </w:r>
      <w:r w:rsidRPr="00856F4B">
        <w:t>, παρόλο που η Ρωσία άσκησε βέτο στον Διακανονισμό· ζητεί την επείγουσα αναθεώρηση του κανονισμού (ΕΕ) 2021/821</w:t>
      </w:r>
      <w:r>
        <w:rPr>
          <w:rStyle w:val="FootnoteReference"/>
          <w:bCs/>
        </w:rPr>
        <w:footnoteReference w:id="13"/>
      </w:r>
      <w:r w:rsidRPr="00856F4B">
        <w:t>, ώστε να μπορέσει η ΕΕ να μιλά με μία φωνή για τους ελέγχους των εξαγωγών και να θεσπιστούν ενιαίοι έλεγχοι σε ολόκληρη την ΕΕ, και παράλληλα να διατηρηθούν η διεθνή ευθυγράμμιση και η ασφάλεια δικαίου για τους οικονομικούς φορείς· ζητεί, στο πλαίσιο αυτό, τη δημιουργία μιας ενοποιημένης μονάδας κοινής οικονομικής εξωτερικής πολιτικής στους κόλπους της Επιτροπής για την αντιμετώπιση των εξελισσόμενων προκλήσεων στον τομέα της οικονομικής ασφάλειας που θέτει η συνεχιζόμενη αποφυγή των ελέγχων των εξαγωγών και των κυρώσεων της ΕΕ από τρίτες χώρες· επισημαίνει ότι η μονάδα αυτή θα πρέπει να υποστηρίζεται από την κοινότητα των υπηρεσιών πληροφοριών των κρατών μελών με ενισχυμένη πρόσβαση σε πληροφορίες σε πραγματικό χρόνο σχετικά με τα δίκτυα φοροδιαφυγής και ικανότητες ανταλλαγής πληροφοριών σε πραγματικό χρόνο με τη βιομηχανία για τον εντοπισμό αναδυόμενων τακτικών φοροδιαφυγής· σημειώνει περαιτέρω ότι θα πρέπει να διαθέτει την εξουσία να επιβάλλει ελέγχους των εξαγωγών και πόρους για την ανάπτυξη τεχνολογίας, την ανάλυση και τον διεθνή συντονισμό, καθώς και την εξουσία να εφαρμόζει ισχυρά συστήματα επαλήθευσης και τεχνολογίες παρακολούθησης της αλυσίδας εφοδιασμού·</w:t>
      </w:r>
    </w:p>
    <w:p w:rsidR="00721000" w:rsidRPr="00856F4B" w:rsidP="007D5FB4" w14:paraId="74FB4E1A" w14:textId="38132D47">
      <w:pPr>
        <w:pStyle w:val="NormalHanging12a"/>
        <w:widowControl/>
        <w:ind w:left="570" w:hanging="570"/>
        <w:rPr>
          <w:bCs/>
        </w:rPr>
      </w:pPr>
      <w:r w:rsidRPr="00856F4B">
        <w:rPr>
          <w:bCs/>
        </w:rPr>
        <w:t>56.</w:t>
      </w:r>
      <w:r w:rsidRPr="00856F4B">
        <w:rPr>
          <w:bCs/>
        </w:rPr>
        <w:tab/>
      </w:r>
      <w:r w:rsidRPr="00856F4B">
        <w:t xml:space="preserve">τονίζει ότι η κοινή πολιτική ασφάλειας και άμυνας της ΕΕ θα πρέπει να διασφαλίζει συνοχή με τους στόχους οικονομικής ασφάλειας της ΕΕ· υπογραμμίζει ότι οι στρατηγικές εξαρτήσεις, οι ευπάθειες της αλυσίδας εφοδιασμού και οι καταναγκαστικές οικονομικές πρακτικές έχουν όλο και περισσότερο άμεσες επιπτώσεις στην ασφάλεια και επηρεάζουν την ικανότητα της βιομηχανικής και τεχνολογικής βάσης της ΕΕ στον τομέα της άμυνας· ζητεί να ενσωματώνονται συστηματικά τα ζητήματα οικονομικής ασφάλειας στις στρατηγικές πολιτικές της ΕΕ, στον αμυντικό σχεδιασμό και στους </w:t>
      </w:r>
      <w:r w:rsidRPr="00856F4B">
        <w:t>μηχανισμούς αντιμετώπισης κρίσεων, προκειμένου να ενισχυθούν η ετοιμότητα και η ανθεκτικότητα της ΕΕ σε ένα ολοένα και πιο αμφιλεγόμενο γεωπολιτικό περιβάλλον·</w:t>
      </w:r>
    </w:p>
    <w:p w:rsidR="00721000" w:rsidRPr="00856F4B" w:rsidP="007D5FB4" w14:paraId="67F03CFF" w14:textId="73A04B30">
      <w:pPr>
        <w:pStyle w:val="NormalHanging12a"/>
        <w:widowControl/>
        <w:ind w:left="0" w:firstLine="0"/>
        <w:rPr>
          <w:b/>
          <w:i/>
          <w:iCs/>
        </w:rPr>
      </w:pPr>
      <w:r w:rsidRPr="00856F4B">
        <w:rPr>
          <w:b/>
          <w:i/>
        </w:rPr>
        <w:t>Επενδύσεις, ροές κεφαλαίων και στρατηγικό άνοιγμα</w:t>
      </w:r>
    </w:p>
    <w:p w:rsidR="00721000" w:rsidRPr="00856F4B" w:rsidP="007D5FB4" w14:paraId="0660DEBA" w14:textId="5E748B5C">
      <w:pPr>
        <w:pStyle w:val="NormalHanging12a"/>
        <w:widowControl/>
        <w:ind w:left="570" w:hanging="570"/>
        <w:rPr>
          <w:bCs/>
        </w:rPr>
      </w:pPr>
      <w:r w:rsidRPr="00856F4B">
        <w:rPr>
          <w:bCs/>
        </w:rPr>
        <w:t>57.</w:t>
      </w:r>
      <w:r w:rsidRPr="00856F4B">
        <w:rPr>
          <w:bCs/>
        </w:rPr>
        <w:tab/>
      </w:r>
      <w:r w:rsidRPr="00856F4B">
        <w:t>εκφράζει την ικανοποίησή του για το εν εξελίξει νομοθετικό έργο σχετικά με την πράξη για την επιτάχυνση της βιομηχανικής παραγωγής και υπογραμμίζει τη δυνατότητά της να συμβάλει στους στόχους της ΕΕ για την οικονομική ασφάλεια· θεωρεί ότι η πράξη θα μπορούσε να συμβάλει σημαντικά στη μείωση των στρατηγικών εξαρτήσεων και στην ενίσχυση της ανθεκτικότητας της ΕΕ έναντι εξωτερικών κλυδωνισμών και πρακτικών εξαναγκασμού·</w:t>
      </w:r>
    </w:p>
    <w:p w:rsidR="00721000" w:rsidRPr="00856F4B" w:rsidP="007D5FB4" w14:paraId="4D4D421D" w14:textId="5141A570">
      <w:pPr>
        <w:pStyle w:val="NormalHanging12a"/>
        <w:widowControl/>
        <w:ind w:left="570" w:hanging="570"/>
        <w:rPr>
          <w:bCs/>
        </w:rPr>
      </w:pPr>
      <w:r w:rsidRPr="00856F4B">
        <w:rPr>
          <w:bCs/>
        </w:rPr>
        <w:t>58.</w:t>
      </w:r>
      <w:r w:rsidRPr="00856F4B">
        <w:rPr>
          <w:bCs/>
        </w:rPr>
        <w:tab/>
      </w:r>
      <w:r w:rsidRPr="00856F4B">
        <w:t>τονίζει ότι τα χρηματοδοτούμενα από την ΕΕ προγράμματα σε στρατηγικά ευαίσθητους τομείς θα πρέπει να σχεδιάζονται και να υλοποιούνται κατά τρόπο ώστε να ωφελούν πρωτίστως επενδύσεις που ενισχύουν την ευρωπαϊκή βιομηχανική ικανότητα, την τεχνολογική ανάπτυξη και τη δημιουργία αξίας εντός της ΕΕ· υπογραμμίζει ότι η πρόσβαση σε ενωσιακή χρηματοδότηση στους εν λόγω τομείς θα πρέπει να υπόκειται σε κατάλληλες διασφαλίσεις και προϋποθέσεις, ώστε να διασφαλίζεται ότι οι αποδέκτες δεν θέτουν σε κίνδυνο την οικονομική ασφάλεια και ότι οι χρηματοδοτούμενες δραστηριότητες συμβάλλουν αποτελεσματικά στη μακροπρόθεσμη ανθεκτικότητα και τα στρατηγικά συμφέροντα της ΕΕ·</w:t>
      </w:r>
    </w:p>
    <w:p w:rsidR="00721000" w:rsidRPr="00856F4B" w:rsidP="007D5FB4" w14:paraId="27EE2362" w14:textId="00C2EE6E">
      <w:pPr>
        <w:pStyle w:val="NormalHanging12a"/>
        <w:widowControl/>
        <w:ind w:left="570" w:hanging="570"/>
        <w:rPr>
          <w:bCs/>
        </w:rPr>
      </w:pPr>
      <w:r w:rsidRPr="00856F4B">
        <w:rPr>
          <w:bCs/>
        </w:rPr>
        <w:t>59.</w:t>
      </w:r>
      <w:r w:rsidRPr="00856F4B">
        <w:rPr>
          <w:bCs/>
        </w:rPr>
        <w:tab/>
      </w:r>
      <w:r w:rsidRPr="00856F4B">
        <w:t>τονίζει ότι υπάρχει επίσης ανάγκη για μέτρα παροχής κινήτρων στον τομέα της μεταποίησης στην ΕΕ, προκειμένου να καταστεί η ΕΕ πιο απαραίτητη σε κρίσιμες αλυσίδες εφοδιασμού και σημεία συμφόρησης· εκφράζει την ικανοποίησή του για τις απαιτήσεις ανθεκτικότητας που ορίζονται στην πράξη για τη βιομηχανία των μηδενικών καθαρών εκπομπών</w:t>
      </w:r>
      <w:r>
        <w:rPr>
          <w:rStyle w:val="FootnoteReference"/>
          <w:bCs/>
        </w:rPr>
        <w:footnoteReference w:id="14"/>
      </w:r>
      <w:r w:rsidRPr="00856F4B">
        <w:t xml:space="preserve"> και υπογραμμίζει τη σημασία του συνδυασμού τους με ποσοστώσεις από αξιόπιστους προμηθευτές, μεταξύ άλλων με σκοπό την τόνωση εναλλακτικών προμηθευτών με έδρα την ΕΕ και την επίτευξη των στόχων παραγωγής που ορίζονται στην πράξη για τη βιομηχανία των μηδενικών καθαρών εκπομπών·</w:t>
      </w:r>
    </w:p>
    <w:p w:rsidR="00721000" w:rsidRPr="00856F4B" w:rsidP="007D5FB4" w14:paraId="75D04010" w14:textId="7364E570">
      <w:pPr>
        <w:pStyle w:val="NormalHanging12a"/>
        <w:widowControl/>
        <w:ind w:left="570" w:hanging="570"/>
        <w:rPr>
          <w:bCs/>
        </w:rPr>
      </w:pPr>
      <w:r w:rsidRPr="00856F4B">
        <w:rPr>
          <w:bCs/>
        </w:rPr>
        <w:t>60.</w:t>
      </w:r>
      <w:r w:rsidRPr="00856F4B">
        <w:rPr>
          <w:bCs/>
        </w:rPr>
        <w:tab/>
      </w:r>
      <w:r w:rsidRPr="00856F4B">
        <w:t>τονίζει ότι οι αποφάσεις για τις δημόσιες συμβάσεις σε στρατηγικούς τομείς θα πρέπει να χρησιμοποιούνται ως μοχλός για την ενίσχυση της βιομηχανικής ικανότητας, της ασφάλειας του εφοδιασμού και της οικονομικής ασφάλειας της ΕΕ· υπογραμμίζει ότι η πρόσβαση σε δημόσιες συμβάσεις στους εν λόγω τομείς και στη σχετική στήριξη της ΕΕ θα πρέπει να υπόκειται σε σαφείς όρους επιλεξιμότητας, και παράλληλα να διασφαλίζεται ότι οι συμμετέχουσες οντότητες δεν ενέχουν κινδύνους για την οικονομική ασφάλεια·</w:t>
      </w:r>
    </w:p>
    <w:p w:rsidR="00721000" w:rsidRPr="00856F4B" w:rsidP="007D5FB4" w14:paraId="5136A15E" w14:textId="236BA34F">
      <w:pPr>
        <w:pStyle w:val="NormalHanging12a"/>
        <w:widowControl/>
        <w:ind w:left="570" w:hanging="570"/>
        <w:rPr>
          <w:bCs/>
        </w:rPr>
      </w:pPr>
      <w:r w:rsidRPr="00856F4B">
        <w:rPr>
          <w:bCs/>
        </w:rPr>
        <w:t>61.</w:t>
      </w:r>
      <w:r w:rsidRPr="00856F4B">
        <w:rPr>
          <w:bCs/>
        </w:rPr>
        <w:tab/>
      </w:r>
      <w:r w:rsidRPr="00856F4B">
        <w:t>τονίζει την ανάγκη να αντιμετωπιστεί η έλλειψη αμοιβαίας πρόσβασης στις δημόσιες συμβάσεις για βασικούς τομείς· ζητεί την αποτελεσματική χρήση, έναντι τρίτων χωρών, των μέσων της ΕΕ για την αντιμετώπιση περιοριστικών μέτρων ή μέτρων που εισάγουν διακρίσεις στον τομέα των δημόσιων συμβάσεων, με βάση την αρχή των ισότιμων όρων ανταγωνισμού·</w:t>
      </w:r>
    </w:p>
    <w:p w:rsidR="00721000" w:rsidRPr="00856F4B" w:rsidP="007D5FB4" w14:paraId="37D98138" w14:textId="7160A375">
      <w:pPr>
        <w:pStyle w:val="NormalHanging12a"/>
        <w:widowControl/>
        <w:ind w:left="570" w:hanging="570"/>
        <w:rPr>
          <w:bCs/>
        </w:rPr>
      </w:pPr>
      <w:r w:rsidRPr="00856F4B">
        <w:rPr>
          <w:bCs/>
        </w:rPr>
        <w:t>62.</w:t>
      </w:r>
      <w:r w:rsidRPr="00856F4B">
        <w:rPr>
          <w:bCs/>
        </w:rPr>
        <w:tab/>
      </w:r>
      <w:r w:rsidRPr="00856F4B">
        <w:t>υπενθυμίζει ότι οι διασυνοριακές επενδύσεις και ροές κεφαλαίων αποτελούν σημαντικούς μοχλούς ανάπτυξης, καινοτομίας και ανταγωνιστικότητας στην ΕΕ· σημειώνει ότι οι ευρωπαϊκές επεκτεινόμενες επιχειρήσεις που χρειάζονται χρηματοδότηση άνω του 1 δισεκατομμυρίου EUR αναγκάζονται συχνά να εγκαταλείψουν την ΕΕ για να εξασφαλίσουν κεφάλαια· καλεί την Επιτροπή να ολοκληρώσει επειγόντως την κεφαλαιακή ένωση και το Ευρωπαϊκό Ταμείο Ανταγωνιστικότητας να καλύψει το χρηματοδοτικό αυτό κενό για τις επεκτεινόμενες επιχειρήσεις· σημειώνει, ωστόσο, ότι οι επενδύσεις μπορούν να συνεπάγονται έκθεση σε κινδύνους όταν ο έλεγχος, η επιρροή ή η πρόσβαση σε ευαίσθητα περιουσιακά στοιχεία, τεχνολογίες ή υποδομές ζωτικής σημασίας συγκεντρώνονται σε τρίτες χώρες·</w:t>
      </w:r>
    </w:p>
    <w:p w:rsidR="00721000" w:rsidRPr="00856F4B" w:rsidP="007D5FB4" w14:paraId="2E3F14AA" w14:textId="1EC11C1F">
      <w:pPr>
        <w:pStyle w:val="NormalHanging12a"/>
        <w:widowControl/>
        <w:ind w:left="570" w:hanging="570"/>
        <w:rPr>
          <w:bCs/>
        </w:rPr>
      </w:pPr>
      <w:r w:rsidRPr="00856F4B">
        <w:rPr>
          <w:bCs/>
        </w:rPr>
        <w:t>63.</w:t>
      </w:r>
      <w:r w:rsidRPr="00856F4B">
        <w:rPr>
          <w:bCs/>
        </w:rPr>
        <w:tab/>
      </w:r>
      <w:r w:rsidRPr="00856F4B">
        <w:t>τονίζει τη σημασία του αναθεωρημένου κανονισμού για τον έλεγχο των άμεσων ξένων επενδύσεων ως βασικού μέσου οικονομικής ασφάλειας και ζητεί τη συνεπή, αποτελεσματική και αυστηρή εφαρμογή του σε όλα τα κράτη μέλη, μεταξύ άλλων μέσω ολοκληρωμένων εθνικών μηχανισμών ελέγχου, σαφών χρονοδιαγραμμάτων και ενισχυμένης συνεργασίας και ανταλλαγής πληροφοριών μεταξύ των εθνικών αρχών και της Επιτροπής, καθώς και την αποτελεσματική παρακολούθηση όταν εντοπίζονται κίνδυνοι· παροτρύνει την Επιτροπή να κάνει πλήρη και προορατική χρήση των διατάξεων που προβλέπονται στον αναθεωρημένο κανονισμό της ΕΕ ώστε να διασφαλίσει ότι ο κατάλογος κρίσιμων τεχνολογιών επανεξετάζεται συνεχώς και επικαιροποιείται τακτικά·</w:t>
      </w:r>
    </w:p>
    <w:p w:rsidR="00721000" w:rsidRPr="00856F4B" w:rsidP="007D5FB4" w14:paraId="450896FF" w14:textId="38292D71">
      <w:pPr>
        <w:pStyle w:val="NormalHanging12a"/>
        <w:widowControl/>
        <w:ind w:left="570" w:hanging="570"/>
        <w:rPr>
          <w:bCs/>
        </w:rPr>
      </w:pPr>
      <w:r w:rsidRPr="00856F4B">
        <w:rPr>
          <w:bCs/>
        </w:rPr>
        <w:t>64.</w:t>
      </w:r>
      <w:r w:rsidRPr="00856F4B">
        <w:rPr>
          <w:bCs/>
        </w:rPr>
        <w:tab/>
      </w:r>
      <w:r w:rsidRPr="00856F4B">
        <w:t>ζητεί μια πιο συνεκτική και συντονισμένη ευρωπαϊκή προσέγγιση για τον έλεγχο των επενδύσεων, υποστηριζόμενη από ισχυρότερη επιβολή σε επίπεδο ΕΕ και πιο ισχυρούς και σαφώς καθορισμένους όρους πρόσβασης στην αγορά· ζητεί, για τον σκοπό αυτόν, πρόσθετους ισχυρούς μηχανισμούς ελέγχου των άμεσων ξένων επενδύσεων με δείκτες οικονομικής ασφάλειας, όπως οι κοινές επιχειρήσεις, η μεταφορά τεχνολογιών σε ευρωπαϊκές οντότητες, οι συμφωνίες αγοράς όπου οι ξένοι επενδυτικοί εταίροι δεσμεύονται να αγοράσουν συγκεκριμένο μερίδιο της παραγωγής, η πρόσληψη εργαζομένων από την ΕΕ και η ενσωμάτωση στις αξιακές αλυσίδες της ΕΕ·</w:t>
      </w:r>
    </w:p>
    <w:p w:rsidR="00721000" w:rsidRPr="00856F4B" w:rsidP="007D5FB4" w14:paraId="75959B49" w14:textId="1DE01242">
      <w:pPr>
        <w:pStyle w:val="NormalHanging12a"/>
        <w:widowControl/>
        <w:ind w:left="570" w:hanging="570"/>
        <w:rPr>
          <w:bCs/>
        </w:rPr>
      </w:pPr>
      <w:r w:rsidRPr="00856F4B">
        <w:rPr>
          <w:bCs/>
        </w:rPr>
        <w:t>65.</w:t>
      </w:r>
      <w:r w:rsidRPr="00856F4B">
        <w:rPr>
          <w:bCs/>
        </w:rPr>
        <w:tab/>
      </w:r>
      <w:r w:rsidRPr="00856F4B">
        <w:t>εκφράζει τη βαθιά ανησυχία του για τον επιταχυνόμενο ρυθμό με τον οποίο μεγάλες εταιρείες τεχνολογίας εκτός ΕΕ εδραιώνουν την ισχύ τους στην αγορά στον τομέα της τεχνητής νοημοσύνης (ΤΝ) και των κβαντικών τεχνολογιών· καλεί την Επιτροπή να αξιολογήσει κατά πόσον οι υφιστάμενοι μηχανισμοί της ΕΕ είναι επαρκώς εξοπλισμένοι για τον εντοπισμό, την επανεξέταση και, όπου απαιτείται, την παύση μη παραδοσιακών συναλλαγών, όπως οι συμφωνίες πρόσληψης και παραχώρησης αδειών χρήσης</w:t>
      </w:r>
      <w:r w:rsidRPr="00856F4B" w:rsidR="00DE5F3D">
        <w:t xml:space="preserve"> </w:t>
      </w:r>
      <w:r w:rsidRPr="00856F4B">
        <w:t>(HALO), που υπονομεύουν την οικονομική ασφάλεια της ΕΕ σε στρατηγικά ευαίσθητους τομείς παρακάμπτοντας τα κατώτερα όρια κοινοποίησης συγκεντρώσεων και τον έλεγχο των άμεσων ξένων επενδύσεων·</w:t>
      </w:r>
    </w:p>
    <w:p w:rsidR="00721000" w:rsidRPr="00856F4B" w:rsidP="007D5FB4" w14:paraId="077339E2" w14:textId="7214AA8F">
      <w:pPr>
        <w:pStyle w:val="NormalHanging12a"/>
        <w:widowControl/>
        <w:ind w:left="570" w:hanging="570"/>
        <w:rPr>
          <w:bCs/>
        </w:rPr>
      </w:pPr>
      <w:r w:rsidRPr="00856F4B">
        <w:rPr>
          <w:bCs/>
        </w:rPr>
        <w:t>66.</w:t>
      </w:r>
      <w:r w:rsidRPr="00856F4B">
        <w:rPr>
          <w:bCs/>
        </w:rPr>
        <w:tab/>
      </w:r>
      <w:r w:rsidRPr="00856F4B">
        <w:t>λαμβάνει υπόψη την εμπειρία της Ιαπωνίας όσον αφορά την ενίσχυση του πλαισίου οικονομικής ασφάλειάς της μετά τη διακοπή του εφοδιασμού με σπάνιες γαίες το 2010, η οποία αποκάλυψε τους στρατηγικούς κινδύνους της υπερβολικής εξάρτησης από έναν μόνο προμηθευτή· επισημαίνει ως πρότυπο τον ρόλο που διαδραματίζει το υπουργείο Οικονομίας, Εμπορίου και Βιομηχανίας της χώρας στον συντονισμό του ελέγχου των επενδύσεων, των ελέγχων των εξαγωγών και των μέτρων βιομηχανικής ανθεκτικότητας·</w:t>
      </w:r>
    </w:p>
    <w:p w:rsidR="00721000" w:rsidRPr="00856F4B" w:rsidP="007D5FB4" w14:paraId="6A80380A" w14:textId="21C08756">
      <w:pPr>
        <w:pStyle w:val="NormalHanging12a"/>
        <w:widowControl/>
        <w:ind w:left="570" w:hanging="570"/>
        <w:rPr>
          <w:bCs/>
        </w:rPr>
      </w:pPr>
      <w:r w:rsidRPr="00856F4B">
        <w:rPr>
          <w:bCs/>
        </w:rPr>
        <w:t>67.</w:t>
      </w:r>
      <w:r w:rsidRPr="00856F4B">
        <w:rPr>
          <w:bCs/>
        </w:rPr>
        <w:tab/>
      </w:r>
      <w:r w:rsidRPr="00856F4B">
        <w:t xml:space="preserve">καλεί την ΕΕ να αντλήσει διδάγματα από τον ρόλο που διαδραματίζει η Επιτροπή Ξένων Επενδύσεων στις Ηνωμένες Πολιτείες στη διασφάλιση μιας συνεκτικής και </w:t>
      </w:r>
      <w:r w:rsidRPr="00856F4B">
        <w:t>συντονισμένης προσέγγισης όσον αφορά τον έλεγχο των επενδύσεων και την προστασία των κρίσιμων τεχνολογιών σε διάφορους οργανισμούς και ιδρύματα·</w:t>
      </w:r>
    </w:p>
    <w:p w:rsidR="00721000" w:rsidRPr="00856F4B" w:rsidP="007D5FB4" w14:paraId="53F2C687" w14:textId="0AA9737F">
      <w:pPr>
        <w:pStyle w:val="NormalHanging12a"/>
        <w:widowControl/>
        <w:ind w:left="570" w:hanging="570"/>
        <w:rPr>
          <w:bCs/>
        </w:rPr>
      </w:pPr>
      <w:r w:rsidRPr="00856F4B">
        <w:rPr>
          <w:bCs/>
        </w:rPr>
        <w:t>68.</w:t>
      </w:r>
      <w:r w:rsidRPr="00856F4B">
        <w:rPr>
          <w:bCs/>
        </w:rPr>
        <w:tab/>
      </w:r>
      <w:r w:rsidRPr="00856F4B">
        <w:t>υπογραμμίζει ότι οι επενδύσεις που επηρεάζουν τις υποδομές κρίσιμης σημασίας απαιτούν αυξημένη επαγρύπνηση, καθώς οι αλλαγές στην ιδιοκτησία, τη διακυβέρνηση ή τον επιχειρησιακό έλεγχο μπορούν να επηρεάσουν άμεσα την ασφάλεια και τη συνέχεια του εφοδιασμού, συμπεριλαμβανομένων, ιδίως, των μεγάλων κόμβων μεταφορών και εφοδιαστικής που είναι ζωτικής σημασίας για το εξωτερικό εμπόριο και τη στρατιωτική κινητικότητα, καθώς και των υποδομών παραγωγής, μεταφοράς, διανομής και αποθήκευσης ενέργειας· εκφράζει τη βαθιά ανησυχία του για την αυξανόμενη εξάρτηση από προμηθευτές υψηλού κινδύνου στις υποδομές ζωτικής σημασίας της ΕΕ· καταλήγει στο συμπέρασμα ότι η ΕΕ έχει αντικαταστήσει την εξάρτησή της από τα ορυκτά καύσιμα με την εισαγωγή καθαρών τεχνολογιών από τρίτες χώρες υψηλού κινδύνου, ιδίως στον τομέα της αιολικής ενέργειας, της ηλιακής ενέργειας και των συσσωρευτών, επισημαίνοντας ότι αυτές είναι συχνά εξοπλισμένες με ικανότητες εξ αποστάσεως παρακολούθησης και επικαιροποίησης, κάτι που δημιουργεί σημαντικά μεγαλύτερους κινδύνους διαρροής δεδομένων, διαταραχής του συστήματος ή εξ αποστάσεως παρεμβολής σε ενεργειακά δίκτυα, συστήματα μεταφορών και άλλες υποδομές ζωτικής σημασίας· θεωρεί ότι οι εν λόγω διαρθρωτικές εξαρτήσεις εκθέτουν την ΕΕ σε οικονομικό εξαναγκασμό και ευπάθειες στον τομέα της ασφάλειας σε μια περίοδο αυξημένου γεωπολιτικού ανταγωνισμού και παροτρύνει την ΕΕ να αποκτήσει μεγαλύτερη αυτονομία στους συγκεκριμένους τομείς· εκφράζει την ικανοποίησή του για την αναθεώρηση της πράξης για την κυβερνοασφάλεια</w:t>
      </w:r>
      <w:r>
        <w:rPr>
          <w:rStyle w:val="FootnoteReference"/>
          <w:bCs/>
        </w:rPr>
        <w:footnoteReference w:id="15"/>
      </w:r>
      <w:r w:rsidRPr="00856F4B">
        <w:t>, ως ευκαιρία για να διασφαλιστεί ότι απαγορεύεται σε όλους τους φορείς εκμετάλλευσης υποδομών ζωτικής σημασίας να χρησιμοποιούν συστήματα με ικανότητες εξ αποστάσεως παρακολούθησης που κατασκευάζονται από ή με τεχνολογία που έχει αδειοδοτηθεί από προμηθευτές υψηλού κινδύνου·</w:t>
      </w:r>
    </w:p>
    <w:p w:rsidR="00721000" w:rsidRPr="00856F4B" w:rsidP="007D5FB4" w14:paraId="23B6FC4A" w14:textId="52791863">
      <w:pPr>
        <w:pStyle w:val="NormalHanging12a"/>
        <w:widowControl/>
        <w:ind w:left="570" w:hanging="570"/>
        <w:rPr>
          <w:bCs/>
        </w:rPr>
      </w:pPr>
      <w:r w:rsidRPr="00856F4B">
        <w:rPr>
          <w:bCs/>
        </w:rPr>
        <w:t>69.</w:t>
      </w:r>
      <w:r w:rsidRPr="00856F4B">
        <w:rPr>
          <w:bCs/>
        </w:rPr>
        <w:tab/>
      </w:r>
      <w:r w:rsidRPr="00856F4B">
        <w:t>θεωρεί απαραίτητο να διαδραματίσει η Επιτροπή ισχυρότερο ρόλο στη διασφάλιση της οικονομικής ασφάλειας της ΕΕ, ανάλογο με την αποκλειστική αρμοδιότητα της ΕΕ για την κοινή εμπορική πολιτική σύμφωνα με το άρθρο 207 της Συνθήκης για τη λειτουργία της Ευρωπαϊκής Ένωσης· επισημαίνει, στο πλαίσιο αυτό, τον κανονισμό για τις ξένες επιδοτήσεις</w:t>
      </w:r>
      <w:r>
        <w:rPr>
          <w:rStyle w:val="FootnoteReference"/>
          <w:bCs/>
        </w:rPr>
        <w:footnoteReference w:id="16"/>
      </w:r>
      <w:r w:rsidRPr="00856F4B">
        <w:t xml:space="preserve"> ως ισχυρό και αποτελεσματικό μέσο σε επίπεδο ΕΕ για την προστασία της εσωτερικής αγοράς από στρεβλώσεις, και υπογραμμίζει τη σημαντική αποτρεπτική αξία του· θεωρεί ότι είναι ζωτικής σημασίας η Επιτροπή να φέρει την τελική ευθύνη για την έγκριση ή την παρεμπόδιση άμεσων ξένων επενδύσεων στην ΕΕ, όταν αυτές ενέχουν κινδύνους για την οικονομική ασφάλεια σε ολόκληρη την ΕΕ· προειδοποιεί ότι το να αφήνονται τέτοιες αποφάσεις στα κράτη μέλη ενέχει τον κίνδυνο ανταγωνισμού υποβάθμισης όσον αφορά τις εισερχόμενες επενδύσεις, ο οποίος οδηγεί μεμονωμένα κράτη μέλη να εγκρίνουν συναλλαγές που είναι επιζήμιες για τα συλλογικά συμφέροντα της ΕΕ· καλεί την Επιτροπή να κάνει πλήρη και αποφασιστική </w:t>
      </w:r>
      <w:r w:rsidRPr="00856F4B">
        <w:t>χρήση των εξουσιών της δυνάμει του κανονισμού για τις ξένες επιδοτήσεις, μεταξύ άλλων μέσω αυτεπάγγελτων ερευνών, προκειμένου να αντιμετωπίσει αναδυόμενες πρακτικές καταστρατήγησης, όπως η μετεγκατάσταση δασμών, στο πλαίσιο της οποίας οι εξαγωγείς αποκτούν ή εγκαθιστούν μονάδες παραγωγής σε τρίτες χώρες ή εντός της ΕΕ ώστε τα εμπορεύματα να αποκτήσουν νέα καταγωγή, παρακάμπτοντας έτσι τους υφιστάμενους δασμούς αντιντάμπινγκ ή τους δασμούς κατά των επιδοτήσεων της ΕΕ, ή για να αποκτήσουν μονοπωλιακή θέση στην αγορά της ΕΕ·</w:t>
      </w:r>
    </w:p>
    <w:p w:rsidR="00721000" w:rsidRPr="00856F4B" w:rsidP="007D5FB4" w14:paraId="3DF97528" w14:textId="400D1F5D">
      <w:pPr>
        <w:pStyle w:val="NormalHanging12a"/>
        <w:widowControl/>
        <w:ind w:left="570" w:hanging="570"/>
        <w:rPr>
          <w:bCs/>
        </w:rPr>
      </w:pPr>
      <w:r w:rsidRPr="00856F4B">
        <w:rPr>
          <w:bCs/>
        </w:rPr>
        <w:t>70.</w:t>
      </w:r>
      <w:r w:rsidRPr="00856F4B">
        <w:rPr>
          <w:bCs/>
        </w:rPr>
        <w:tab/>
      </w:r>
      <w:r w:rsidRPr="00856F4B">
        <w:t xml:space="preserve">τονίζει ότι κίνδυνοι για την οικονομική ασφάλεια προκύπτουν επίσης όταν οι εξερχόμενες επενδύσεις, οι στρατηγικές εταιρικές σχέσεις ή η εταιρική αναδιάρθρωση καθιστούν δυνατή τη μεταφορά, την ανάπτυξη ή την κλιμάκωση ευαίσθητων τεχνολογιών, παραγωγικών ικανοτήτων ή τεχνικής τεχνογνωσίας εκτός της ΕΕ, μεταξύ άλλων μέσω επενδύσεων σε αναξιοποίητες ζώνες, κοινών επιχειρήσεων, ρυθμίσεων αδειοδότησης, παραγωγής βάσει σύμβασης ή μετεγκατάστασης βασικών δραστηριοτήτων έρευνας και ανάπτυξης και παραγωγής· τονίζει ότι οι μεταφορές αυτές ενδέχεται να αποδυναμώσουν τη μακροπρόθεσμη βιομηχανική βάση ή την τεχνολογική υπεροχή της ΕΕ· </w:t>
      </w:r>
    </w:p>
    <w:p w:rsidR="00721000" w:rsidRPr="00856F4B" w:rsidP="007D5FB4" w14:paraId="261043F1" w14:textId="3BA18F8E">
      <w:pPr>
        <w:pStyle w:val="NormalHanging12a"/>
        <w:widowControl/>
        <w:ind w:left="570" w:hanging="570"/>
        <w:rPr>
          <w:bCs/>
        </w:rPr>
      </w:pPr>
      <w:r w:rsidRPr="00856F4B">
        <w:rPr>
          <w:bCs/>
        </w:rPr>
        <w:t>71.</w:t>
      </w:r>
      <w:r w:rsidRPr="00856F4B">
        <w:rPr>
          <w:bCs/>
        </w:rPr>
        <w:tab/>
      </w:r>
      <w:r w:rsidRPr="00856F4B">
        <w:t>λαμβάνει υπό σημείωση τις συστάσεις της Επιτροπής σχετικά με τις εξερχόμενες επενδύσεις και τονίζει την ανάγκη να αναπτυχθεί μια κοινή αντίληψη σε επίπεδο ΕΕ όσον αφορά τους δυνητικούς κινδύνους που απορρέουν από επενδύσεις, εταιρικές σχέσεις ή εταιρική αναδιάρθρωση· υπογραμμίζει τη σημασία μιας στοχευμένης, αναλογικής προσέγγισης που βασίζεται στους κινδύνους και σε αποδεικτικά στοιχεία, η οποία θα περιορίζεται σε σαφώς προσδιορισμένους και σαφώς καθορισμένους κινδύνους, προκειμένου να αποφευχθούν ακούσιες δευτερογενείς επιπτώσεις στις νόμιμες οικονομικές δραστηριότητες και να διασφαλιστεί ότι δεν υπονομεύονται η ανταγωνιστικότητα, η ικανότητα καινοτομίας και η νόμιμη παγκόσμια οικονομική δραστηριότητα της ΕΕ· καλεί την Επιτροπή να προτείνει ένα πλαίσιο ελέγχου των εξερχόμενων επενδύσεων με στόχο την αντιμετώπιση των κινδύνων διαρροής κρίσιμης τεχνολογίας το συντομότερο δυνατόν·</w:t>
      </w:r>
    </w:p>
    <w:p w:rsidR="00721000" w:rsidRPr="00856F4B" w:rsidP="007D5FB4" w14:paraId="590B482B" w14:textId="20CEE12F">
      <w:pPr>
        <w:widowControl/>
        <w:spacing w:after="240"/>
        <w:ind w:left="570" w:hanging="570"/>
        <w:rPr>
          <w:bCs/>
        </w:rPr>
      </w:pPr>
      <w:r w:rsidRPr="00856F4B">
        <w:rPr>
          <w:bCs/>
        </w:rPr>
        <w:t>72.</w:t>
      </w:r>
      <w:r w:rsidRPr="00856F4B">
        <w:rPr>
          <w:bCs/>
        </w:rPr>
        <w:tab/>
      </w:r>
      <w:r w:rsidRPr="00856F4B">
        <w:t>τονίζει ότι, για να διαφυλάξει την οικονομική της ασφάλεια, η ΕΕ πρέπει να διατηρήσει τον αποτελεσματικό έλεγχο, την ικανότητα λήψης αποφάσεων και την επιχειρησιακή αυτονομία ή τη στρατηγική ανεξαρτησία της όσον αφορά κρίσιμες τεχνολογίες, συμπεριλαμβανομένων, ιδίως, των προηγμένων ημιαγωγών και της μικροηλεκτρονικής, υποδομών υπολογιστικού νέφους και δεδομένων, της ΤΝ και της υπολογιστικής υψηλών επιδόσεων, των κβαντικών τεχνολογιών, της προηγμένης ρομποτικής, των διαστημικών και δορυφορικών συστημάτων, των τεχνολογιών κυβερνοασφάλειας και κρυπτογράφησης και των βασικών τεχνολογιών που σχετίζονται με την ενέργεια, καθώς αποτελούν βασικούς πυλώνες της τεχνολογικής και οικονομικής κυριαρχίας της Ευρώπης· καλεί την Επιτροπή να διασφαλίσει ότι οι επενδυτικοί κίνδυνοι σε αυτούς τους τομείς αξιολογούνται και αντιμετωπίζονται στοχευμένα και με εμπιστευτικότητα·</w:t>
      </w:r>
    </w:p>
    <w:p w:rsidR="00721000" w:rsidRPr="00856F4B" w:rsidP="007D5FB4" w14:paraId="20DC8EBC" w14:textId="0B2CE6EB">
      <w:pPr>
        <w:pStyle w:val="NormalHanging12a"/>
        <w:widowControl/>
        <w:ind w:left="570" w:hanging="570"/>
        <w:rPr>
          <w:bCs/>
        </w:rPr>
      </w:pPr>
      <w:r w:rsidRPr="00856F4B">
        <w:rPr>
          <w:bCs/>
        </w:rPr>
        <w:t>73.</w:t>
      </w:r>
      <w:r w:rsidRPr="00856F4B">
        <w:rPr>
          <w:bCs/>
        </w:rPr>
        <w:tab/>
      </w:r>
      <w:r w:rsidRPr="00856F4B">
        <w:t>τονίζει ότι η ΕΕ θα πρέπει να συμμετάσχει πλήρως στα αναδυόμενα πλαίσια συντονισμού για τους ημιαγωγούς· υπογραμμίζει ότι η ΕΕ υποεκπροσωπείται επί του παρόντος στις εν λόγω ρυθμίσεις, παρά τον στρατηγικό ρόλο ορισμένων εταιρειών της ΕΕ στις παγκόσμιες αλυσίδες εφοδιασμού ημιαγωγών·</w:t>
      </w:r>
    </w:p>
    <w:p w:rsidR="00721000" w:rsidRPr="00856F4B" w:rsidP="007D5FB4" w14:paraId="485C9877" w14:textId="3B0D601C">
      <w:pPr>
        <w:pStyle w:val="NormalHanging12a"/>
        <w:widowControl/>
        <w:ind w:left="570" w:hanging="570"/>
        <w:rPr>
          <w:bCs/>
        </w:rPr>
      </w:pPr>
      <w:r w:rsidRPr="00856F4B">
        <w:rPr>
          <w:bCs/>
        </w:rPr>
        <w:t>74.</w:t>
      </w:r>
      <w:r w:rsidRPr="00856F4B">
        <w:rPr>
          <w:bCs/>
        </w:rPr>
        <w:tab/>
      </w:r>
      <w:r w:rsidRPr="00856F4B">
        <w:t xml:space="preserve">τονίζει ότι, σε στρατηγικά ευαίσθητους τομείς, η διανοητική ιδιοκτησία και η βιομηχανική τεχνογνωσία αποτελούν βασικά στρατηγικά πλεονεκτήματα, ο έλεγχος και η τοποθεσία των οποίων είναι απαραίτητα για την οικονομική ασφάλεια της ΕΕ· </w:t>
      </w:r>
      <w:r w:rsidRPr="00856F4B">
        <w:t xml:space="preserve">υπογραμμίζει ότι η δημόσια στήριξη, οι αποφάσεις για τις δημόσιες συμβάσεις και οι άδειες ξένων επενδύσεων θα πρέπει να περιλαμβάνουν διασφαλίσεις που θα εγγυώνται ότι η κρίσιμη διανοητική ιδιοκτησία που παράγεται ή αναπτύσσεται εντός της ΕΕ παραμένει ουσιαστικά εδραιωμένη στην ΕΕ και δεν μεταφέρεται εκτός αυτής με τρόπους που υπονομεύουν την τεχνολογική υπεροχή και τη βιομηχανική ικανότητα της ΕΕ· </w:t>
      </w:r>
    </w:p>
    <w:p w:rsidR="00721000" w:rsidRPr="00856F4B" w:rsidP="007D5FB4" w14:paraId="2351E2BA" w14:textId="17C6A750">
      <w:pPr>
        <w:pStyle w:val="NormalHanging12a"/>
        <w:widowControl/>
        <w:ind w:left="570" w:hanging="570"/>
        <w:rPr>
          <w:bCs/>
        </w:rPr>
      </w:pPr>
      <w:r w:rsidRPr="00856F4B">
        <w:rPr>
          <w:bCs/>
        </w:rPr>
        <w:t>75.</w:t>
      </w:r>
      <w:r w:rsidRPr="00856F4B">
        <w:rPr>
          <w:bCs/>
        </w:rPr>
        <w:tab/>
      </w:r>
      <w:r w:rsidRPr="00856F4B">
        <w:t>τονίζει ότι κίνδυνοι για την οικονομική ασφάλεια μπορεί επίσης να προκύψουν αφού πραγματοποιηθεί μια επένδυση και υπογραμμίζει την ανάγκη για αποτελεσματική παρακολούθηση και εκτίμηση κινδύνου των εξελίξεων έπειτα από μια επένδυση, συμπεριλαμβανομένων της διακυβέρνησης, της λήψης στρατηγικών αποφάσεων και της δυνητικής μεταφοράς κρίσιμων τεχνολογιών ή τεχνογνωσίας, προκειμένου να διασφαλιστεί η πλήρης επίτευξη των στόχων του πλαισίου ελέγχου των επενδύσεων της ΕΕ·</w:t>
      </w:r>
    </w:p>
    <w:p w:rsidR="00721000" w:rsidRPr="00856F4B" w:rsidP="007D5FB4" w14:paraId="1773B6B7" w14:textId="6771572A">
      <w:pPr>
        <w:pStyle w:val="NormalHanging12a"/>
        <w:widowControl/>
        <w:ind w:left="0" w:firstLine="0"/>
        <w:rPr>
          <w:b/>
          <w:i/>
          <w:iCs/>
        </w:rPr>
      </w:pPr>
      <w:r w:rsidRPr="00856F4B">
        <w:rPr>
          <w:b/>
          <w:i/>
        </w:rPr>
        <w:t>Οικονομική ασφάλεια σε όλες τις τομεακές πολιτικές</w:t>
      </w:r>
    </w:p>
    <w:p w:rsidR="00721000" w:rsidRPr="00856F4B" w:rsidP="007D5FB4" w14:paraId="4D354659" w14:textId="1C843A8B">
      <w:pPr>
        <w:pStyle w:val="NormalHanging12a"/>
        <w:widowControl/>
        <w:ind w:left="570" w:hanging="570"/>
        <w:rPr>
          <w:bCs/>
        </w:rPr>
      </w:pPr>
      <w:r w:rsidRPr="00856F4B">
        <w:rPr>
          <w:bCs/>
        </w:rPr>
        <w:t>76.</w:t>
      </w:r>
      <w:r w:rsidRPr="00856F4B">
        <w:rPr>
          <w:bCs/>
        </w:rPr>
        <w:tab/>
      </w:r>
      <w:r w:rsidRPr="00856F4B">
        <w:t xml:space="preserve">θεωρεί ότι οι οδοί θαλάσσιων μεταφορών, οι λιμένες και οι υπηρεσίες εφοδιαστικής αποτελούν κρίσιμους πόρους οικονομικής ασφάλειας και τονίζει ότι η διασφάλιση της ελευθερίας ναυσιπλοΐας θα πρέπει να αποτελεί για την ΕΕ βασικό διπλωματικό και στρατιωτικό στόχο· ζητεί ισχυρότερο σχεδιασμό έκτακτης ανάγκης σε επίπεδο ΕΕ και συντονισμένους μηχανισμούς ετοιμότητας για την αντιμετώπιση παρατεταμένων διαταραχών που επηρεάζουν σημαντικά σημεία συμφόρησης στη θάλασσα, όπως τα στενά του </w:t>
      </w:r>
      <w:r w:rsidRPr="00856F4B">
        <w:t>Ορμούζ</w:t>
      </w:r>
      <w:r w:rsidRPr="00856F4B">
        <w:t>·</w:t>
      </w:r>
    </w:p>
    <w:p w:rsidR="00721000" w:rsidRPr="00856F4B" w:rsidP="007D5FB4" w14:paraId="0FD8A332" w14:textId="68122E39">
      <w:pPr>
        <w:pStyle w:val="NormalHanging12a"/>
        <w:widowControl/>
        <w:ind w:left="570" w:hanging="570"/>
        <w:rPr>
          <w:bCs/>
        </w:rPr>
      </w:pPr>
      <w:r w:rsidRPr="00856F4B">
        <w:rPr>
          <w:bCs/>
        </w:rPr>
        <w:t>77.</w:t>
      </w:r>
      <w:r w:rsidRPr="00856F4B">
        <w:rPr>
          <w:bCs/>
        </w:rPr>
        <w:tab/>
      </w:r>
      <w:r w:rsidRPr="00856F4B">
        <w:t xml:space="preserve">ζητεί έναν μηχανισμό ανθεκτικότητας των αεροπορικών εμπορευματικών μεταφορών της ΕΕ για βασικά αγαθά (όπως ιατρικά εφόδια και κρίσιμα κατασκευαστικά στοιχεία), καθώς και την ταχεία κινητοποίηση ικανοτήτων και την απλούστευση των διαδικασιών χορήγησης αδειών κατά τη διάρκεια περιόδων κρίσης· </w:t>
      </w:r>
    </w:p>
    <w:p w:rsidR="00721000" w:rsidRPr="00856F4B" w:rsidP="007D5FB4" w14:paraId="04F966FF" w14:textId="5FE4D026">
      <w:pPr>
        <w:pStyle w:val="NormalHanging12a"/>
        <w:widowControl/>
        <w:ind w:left="570" w:hanging="570"/>
        <w:rPr>
          <w:bCs/>
        </w:rPr>
      </w:pPr>
      <w:r w:rsidRPr="00856F4B">
        <w:rPr>
          <w:bCs/>
        </w:rPr>
        <w:t>78.</w:t>
      </w:r>
      <w:r w:rsidRPr="00856F4B">
        <w:rPr>
          <w:bCs/>
        </w:rPr>
        <w:tab/>
      </w:r>
      <w:r w:rsidRPr="00856F4B">
        <w:t>ζητεί μια στρατηγική προσέγγιση για τους σιδηροδρομικούς εμπορευματικούς διαδρόμους, η οποία θα δίνει προτεραιότητα στην ενίσχυση και την ολοκλήρωση του εσωτερικού δικτύου εμπορευματικών μεταφορών της ΕΕ για την αντιμετώπιση των υφιστάμενων ανεπαρκειών και σημείων συμφόρησης, στηρίζοντας παράλληλα διαφοροποιημένες και ανθεκτικές συνδέσεις με τρίτες χώρες, μεταξύ άλλων κατά μήκος των διαδρομών Ευρώπης-Ασίας· τονίζει την ανάγκη εκτίμησης κινδύνου των υποδομών των διαδρόμων, των φορέων εκμετάλλευσης και των ψηφιακών συστημάτων που υποστηρίζουν τις σιδηροδρομικές εμπορευματικές μεταφορές·</w:t>
      </w:r>
    </w:p>
    <w:p w:rsidR="00721000" w:rsidRPr="00856F4B" w:rsidP="007D5FB4" w14:paraId="6EF0F018" w14:textId="743CE9DE">
      <w:pPr>
        <w:pStyle w:val="NormalHanging12a"/>
        <w:widowControl/>
        <w:ind w:left="570" w:hanging="570"/>
        <w:rPr>
          <w:bCs/>
        </w:rPr>
      </w:pPr>
      <w:r w:rsidRPr="00856F4B">
        <w:rPr>
          <w:bCs/>
        </w:rPr>
        <w:t>79.</w:t>
      </w:r>
      <w:r w:rsidRPr="00856F4B">
        <w:rPr>
          <w:bCs/>
        </w:rPr>
        <w:tab/>
      </w:r>
      <w:r w:rsidRPr="00856F4B">
        <w:t xml:space="preserve">σημειώνει ότι τα ασφάλιστρα και οι ταξινομήσεις κινδύνων για τη ναυτιλία μπορούν να καταστούν de facto εμπορικοί φραγμοί σε περιόδους κρίσης· ζητεί συνεργασία σε επίπεδο ΕΕ με τους ασφαλιστές, τους φορείς ταξινόμησης και τις ναυτιλιακές εταιρείες ώστε να διασφαλιστεί η συνέχεια των κρίσιμων αποστολών και να αποτραπεί η χειραγώγηση μέσω του εξαναγκασμού· </w:t>
      </w:r>
    </w:p>
    <w:p w:rsidR="00721000" w:rsidRPr="00856F4B" w:rsidP="007D5FB4" w14:paraId="2C37B00C" w14:textId="63B6BB50">
      <w:pPr>
        <w:pStyle w:val="NormalHanging12a"/>
        <w:widowControl/>
        <w:ind w:left="570" w:hanging="570"/>
        <w:rPr>
          <w:bCs/>
        </w:rPr>
      </w:pPr>
      <w:r w:rsidRPr="00856F4B">
        <w:rPr>
          <w:bCs/>
        </w:rPr>
        <w:t>80.</w:t>
      </w:r>
      <w:r w:rsidRPr="00856F4B">
        <w:rPr>
          <w:bCs/>
        </w:rPr>
        <w:tab/>
      </w:r>
      <w:r w:rsidRPr="00856F4B">
        <w:t xml:space="preserve">ζητεί να ενισχυθεί η χρήση δεδομένων σχετικά με τις θαλάσσιες μεταφορές και τα εμπορευματοκιβώτια για τον εντοπισμό του εξαναγκασμού, της καταστρατήγησης και της παράνομης εκτροπής, καθώς και να βελτιωθεί η ικανότητα της ΕΕ να εντοπίζει τη χρήση ασυνήθιστων διαδρομών και κόμβων μεταφόρτωσης για την αποφυγή κυρώσεων· </w:t>
      </w:r>
    </w:p>
    <w:p w:rsidR="00721000" w:rsidRPr="00856F4B" w:rsidP="007D5FB4" w14:paraId="6F69826A" w14:textId="001293A4">
      <w:pPr>
        <w:pStyle w:val="NormalHanging12a"/>
        <w:widowControl/>
        <w:ind w:left="570" w:hanging="570"/>
        <w:rPr>
          <w:bCs/>
        </w:rPr>
      </w:pPr>
      <w:r w:rsidRPr="00856F4B">
        <w:rPr>
          <w:bCs/>
        </w:rPr>
        <w:t>81.</w:t>
      </w:r>
      <w:r w:rsidRPr="00856F4B">
        <w:rPr>
          <w:bCs/>
        </w:rPr>
        <w:tab/>
      </w:r>
      <w:r w:rsidRPr="00856F4B">
        <w:t>επικροτεί την καθιέρωση της τελωνειακής και συνοριακής «λωρίδας ταχείας κυκλοφορίας» της ΕΕ για κρίσιμες εισροές και βασικά αγαθά, στο πλαίσιο του επανασχεδιασμού του τελωνειακού κώδικα της ΕΕ και επισημαίνει ότι πρέπει να ενεργοποιείται κατά τη διάρκεια σοβαρών συμβάντων διαταραχής, με εναρμονισμένα κριτήρια για την αποφυγή του κατακερματισμού μεταξύ των κρατών μελών·</w:t>
      </w:r>
    </w:p>
    <w:p w:rsidR="00721000" w:rsidRPr="00856F4B" w:rsidP="007D5FB4" w14:paraId="3DBD1657" w14:textId="59071738">
      <w:pPr>
        <w:pStyle w:val="NormalHanging12a"/>
        <w:widowControl/>
        <w:ind w:left="570" w:hanging="570"/>
        <w:rPr>
          <w:bCs/>
        </w:rPr>
      </w:pPr>
      <w:r w:rsidRPr="00856F4B">
        <w:rPr>
          <w:bCs/>
        </w:rPr>
        <w:t>82.</w:t>
      </w:r>
      <w:r w:rsidRPr="00856F4B">
        <w:rPr>
          <w:bCs/>
        </w:rPr>
        <w:tab/>
      </w:r>
      <w:r w:rsidRPr="00856F4B">
        <w:t>ζητεί να ενισχυθεί η ανθεκτικότητα της ΕΕ έναντι διαταραχών του παγκόσμιου δορυφορικού συστήματος πλοήγησης (GNSS) μεγάλης κλίμακας, συμπεριλαμβανομένων των παρεμβολών και της παραποίησης που επηρεάζουν τις αεροπορικές μεταφορές, μέσω της ανάπτυξης εφεδρικών πρωτοκόλλων πλοήγησης και ασφαλών εναλλακτικών λύσεων εντοπισμού θέσης και ισχυρών συστημάτων εντοπισμού και μετριασμού, συμπεριλαμβανομένων, κατά περίπτωση, ικανοτήτων που υποστηρίζονται από ΤΝ για κρίσιμες επιχειρήσεις·</w:t>
      </w:r>
    </w:p>
    <w:p w:rsidR="00721000" w:rsidRPr="00856F4B" w:rsidP="007D5FB4" w14:paraId="1A0EEEEF" w14:textId="0B766B82">
      <w:pPr>
        <w:pStyle w:val="NormalHanging12a"/>
        <w:widowControl/>
        <w:ind w:left="570" w:hanging="570"/>
        <w:rPr>
          <w:bCs/>
        </w:rPr>
      </w:pPr>
      <w:r w:rsidRPr="00856F4B">
        <w:rPr>
          <w:bCs/>
        </w:rPr>
        <w:t>83.</w:t>
      </w:r>
      <w:r w:rsidRPr="00856F4B">
        <w:rPr>
          <w:bCs/>
        </w:rPr>
        <w:tab/>
      </w:r>
      <w:r w:rsidRPr="00856F4B">
        <w:t xml:space="preserve">προειδοποιεί ότι οι επανειλημμένες εισβολές δρόνων σε μεγάλους ευρωπαϊκούς αερολιμένες έχουν αποκαλύψει τις σοβαρές ευπάθειες του ευρωπαϊκού εναέριου χώρου και έχουν οδηγήσει σε σημαντική διαταραχή της εναέριας κυκλοφορίας και των εμπορευματικών διαδρομών· τονίζει ότι η προστασία υποδομών ζωτικής σημασίας, όπως οι αεροπορικοί κόμβοι, πρέπει να αντιμετωπίζεται ως προτεραιότητα για την οικονομική ασφάλεια, η οποία απαιτεί συντονισμένα μέτρα σε επίπεδο ΕΕ για την πρόληψη της λειτουργικής διαταραχής σε υποδομές μεταφορών ζωτικής σημασίας· </w:t>
      </w:r>
    </w:p>
    <w:p w:rsidR="00721000" w:rsidRPr="00856F4B" w:rsidP="007D5FB4" w14:paraId="49F10CCF" w14:textId="46DC4601">
      <w:pPr>
        <w:pStyle w:val="NormalHanging12a"/>
        <w:widowControl/>
        <w:ind w:left="570" w:hanging="570"/>
        <w:rPr>
          <w:bCs/>
        </w:rPr>
      </w:pPr>
      <w:r w:rsidRPr="00856F4B">
        <w:rPr>
          <w:bCs/>
        </w:rPr>
        <w:t>84.</w:t>
      </w:r>
      <w:r w:rsidRPr="00856F4B">
        <w:rPr>
          <w:bCs/>
        </w:rPr>
        <w:tab/>
      </w:r>
      <w:r w:rsidRPr="00856F4B">
        <w:t>τονίζει ότι οι κρίσιμες ενεργειακές υποδομές, όπως οι τερματικοί σταθμοί υγροποιημένου φυσικού αέριου (ΥΦΑ), οι γραμμές διασύνδεσης, οι εγκαταστάσεις αποθήκευσης ή τα δίκτυα ηλεκτρικής ενέργειας, πρέπει να αντιμετωπίζονται ως περιουσιακά στοιχεία οικονομικής ασφάλειας, με αυστηρότερη εξέταση της ιδιοκτησίας, του ελέγχου και των βασικών παρόχων υπηρεσιών, όπως προβλέπεται στον αναθεωρημένο κανονισμό για τον έλεγχο των άμεσων ξένων επενδύσεων·</w:t>
      </w:r>
    </w:p>
    <w:p w:rsidR="00721000" w:rsidRPr="00856F4B" w:rsidP="007D5FB4" w14:paraId="3F852DB4" w14:textId="6D6E9879">
      <w:pPr>
        <w:pStyle w:val="NormalHanging12a"/>
        <w:widowControl/>
        <w:ind w:left="570" w:hanging="570"/>
        <w:rPr>
          <w:bCs/>
        </w:rPr>
      </w:pPr>
      <w:r w:rsidRPr="00856F4B">
        <w:rPr>
          <w:bCs/>
        </w:rPr>
        <w:t>85.</w:t>
      </w:r>
      <w:r w:rsidRPr="00856F4B">
        <w:rPr>
          <w:bCs/>
        </w:rPr>
        <w:tab/>
      </w:r>
      <w:r w:rsidRPr="00856F4B">
        <w:t>ζητεί ένα στοχευμένο σχέδιο της ΕΕ για τη μείωση των εξαρτήσεων υψηλού κινδύνου στον κύκλο πυρηνικών καυσίμων, το οποίο θα περιλαμβάνει συντονισμένα πρωτόκολλα διαφοροποίησης και ανάθεση συμβάσεων έκτακτης ανάγκης·</w:t>
      </w:r>
    </w:p>
    <w:p w:rsidR="00721000" w:rsidRPr="00856F4B" w:rsidP="007D5FB4" w14:paraId="73371752" w14:textId="252A93A3">
      <w:pPr>
        <w:pStyle w:val="NormalHanging12a"/>
        <w:widowControl/>
        <w:ind w:left="570" w:hanging="570"/>
        <w:rPr>
          <w:bCs/>
        </w:rPr>
      </w:pPr>
      <w:r w:rsidRPr="00856F4B">
        <w:rPr>
          <w:bCs/>
        </w:rPr>
        <w:t>86.</w:t>
      </w:r>
      <w:r w:rsidRPr="00856F4B">
        <w:rPr>
          <w:bCs/>
        </w:rPr>
        <w:tab/>
      </w:r>
      <w:r w:rsidRPr="00856F4B">
        <w:t>σημειώνει ότι η πρόσφατη μεγάλης κλίμακας διακοπή ρεύματος στην ΕΕ αποκάλυψε τις ευπάθειες τόσο στη σταθερότητα του δικτύου όσο και στα συστήματα ψηφιακού ελέγχου που υποστηρίζουν κρίσιμες ενεργειακές υποδομές και προκάλεσε άμεσες αλυσιδωτές οικονομικές επιπτώσεις, με κινδύνους αυξημένης εξάρτησης από τρίτες χώρες·</w:t>
      </w:r>
    </w:p>
    <w:p w:rsidR="00721000" w:rsidRPr="00856F4B" w:rsidP="007D5FB4" w14:paraId="2386A930" w14:textId="6B7C9344">
      <w:pPr>
        <w:pStyle w:val="NormalHanging12a"/>
        <w:widowControl/>
        <w:ind w:left="570" w:hanging="570"/>
        <w:rPr>
          <w:bCs/>
        </w:rPr>
      </w:pPr>
      <w:r w:rsidRPr="00856F4B">
        <w:rPr>
          <w:bCs/>
        </w:rPr>
        <w:t>87.</w:t>
      </w:r>
      <w:r w:rsidRPr="00856F4B">
        <w:rPr>
          <w:bCs/>
        </w:rPr>
        <w:tab/>
      </w:r>
      <w:r w:rsidRPr="00856F4B">
        <w:t xml:space="preserve">υπογραμμίζει ότι η ικανότητα των κέντρων δεδομένων της ΕΕ παραμένει ανεπαρκής για την κάλυψη της ταχέως αυξανόμενης ζήτησης για προηγμένη υπολογιστική υψηλών επιδόσεων, με την Ευρώπη να αντιπροσωπεύει μόνο το 15 % περίπου της παγκόσμιας ικανότητας των κέντρων δεδομένων </w:t>
      </w:r>
      <w:r w:rsidRPr="00856F4B">
        <w:t>υπερκλίμακας</w:t>
      </w:r>
      <w:r w:rsidRPr="00856F4B">
        <w:t>, ενώ η ζήτηση αυξάνεται με διψήφιους ετήσιους ρυθμούς·</w:t>
      </w:r>
    </w:p>
    <w:p w:rsidR="00721000" w:rsidRPr="00856F4B" w:rsidP="007D5FB4" w14:paraId="00156EC8" w14:textId="36335CD1">
      <w:pPr>
        <w:pStyle w:val="NormalHanging12a"/>
        <w:widowControl/>
        <w:ind w:left="570" w:hanging="570"/>
        <w:rPr>
          <w:bCs/>
        </w:rPr>
      </w:pPr>
      <w:r w:rsidRPr="00856F4B">
        <w:rPr>
          <w:bCs/>
        </w:rPr>
        <w:t>88.</w:t>
      </w:r>
      <w:r w:rsidRPr="00856F4B">
        <w:rPr>
          <w:bCs/>
        </w:rPr>
        <w:tab/>
      </w:r>
      <w:r w:rsidRPr="00856F4B">
        <w:t>υπογραμμίζει τη σημασία του ενισχυμένου ελέγχου των συμβάσεων ιδιοκτησίας, λειτουργίας και συντήρησης όσον αφορά τα υποθαλάσσια καλώδια, τους σταθμούς εκφόρτωσης και τους βασικούς διαδικτυακούς κόμβους, που αποτελούν στρατηγικούς πόρους·</w:t>
      </w:r>
    </w:p>
    <w:p w:rsidR="00721000" w:rsidRPr="00856F4B" w:rsidP="007D5FB4" w14:paraId="5147A80D" w14:textId="7E845810">
      <w:pPr>
        <w:pStyle w:val="NormalHanging12a"/>
        <w:widowControl/>
        <w:ind w:left="570" w:hanging="570"/>
        <w:rPr>
          <w:bCs/>
        </w:rPr>
      </w:pPr>
      <w:r w:rsidRPr="00856F4B">
        <w:rPr>
          <w:bCs/>
        </w:rPr>
        <w:t>89.</w:t>
      </w:r>
      <w:r w:rsidRPr="00856F4B">
        <w:rPr>
          <w:bCs/>
        </w:rPr>
        <w:tab/>
      </w:r>
      <w:r w:rsidRPr="00856F4B">
        <w:t>ζητεί στοχευμένη προστασία από εχθρικές εξαγορές στρατηγικών ψηφιακών νεοφυών επιχειρήσεων, συμπεριλαμβανομένου του ελέγχου των μειοψηφικών συμμετοχών, των μετατρέψιμων μέσων και των ρυθμίσεων μεταφοράς διανοητικής ιδιοκτησίας, με παράλληλη εξασφάλιση επαρκών διαύλων υψηλού επιπέδου για τις επενδύσεις της ΕΕ·</w:t>
      </w:r>
    </w:p>
    <w:p w:rsidR="00721000" w:rsidRPr="00856F4B" w:rsidP="007D5FB4" w14:paraId="4506D9CF" w14:textId="333E77BD">
      <w:pPr>
        <w:pStyle w:val="NormalHanging12a"/>
        <w:widowControl/>
        <w:ind w:left="570" w:hanging="570"/>
        <w:rPr>
          <w:bCs/>
        </w:rPr>
      </w:pPr>
      <w:r w:rsidRPr="00856F4B">
        <w:rPr>
          <w:bCs/>
        </w:rPr>
        <w:t>90.</w:t>
      </w:r>
      <w:r w:rsidRPr="00856F4B">
        <w:rPr>
          <w:bCs/>
        </w:rPr>
        <w:tab/>
      </w:r>
      <w:r w:rsidRPr="00856F4B">
        <w:t>σημειώνει με ανησυχία ότι, σύμφωνα με τη δεύτερη έκθεση σχετικά με την πρόοδο των κρατών μελών όσον αφορά την εφαρμογή της εργαλειοθήκης της ΕΕ για την κυβερνοασφάλεια των δικτύων 5G, 14 κράτη μέλη δεν έχουν ακόμη εφαρμόσει περιορισμούς στους προμηθευτές υψηλού κινδύνου, γεγονός που δημιουργεί ανησυχητικές ευπάθειες στον τομέα της ασφάλειας· εκφράζει την ικανοποίησή του για την προσέγγιση βάσει κινδύνου και την αυστηρότερη επιβολή που περιγράφεται στην πρόταση για αναθεώρηση της πράξης για την κυβερνοασφάλεια σε περιπτώσεις υψηλού κινδύνου·</w:t>
      </w:r>
    </w:p>
    <w:p w:rsidR="00721000" w:rsidRPr="00856F4B" w:rsidP="007D5FB4" w14:paraId="32DEAE92" w14:textId="030D6092">
      <w:pPr>
        <w:pStyle w:val="NormalHanging12a"/>
        <w:widowControl/>
        <w:ind w:left="570" w:hanging="570"/>
        <w:rPr>
          <w:bCs/>
        </w:rPr>
      </w:pPr>
      <w:r w:rsidRPr="00856F4B">
        <w:rPr>
          <w:bCs/>
        </w:rPr>
        <w:t>91.</w:t>
      </w:r>
      <w:r w:rsidRPr="00856F4B">
        <w:rPr>
          <w:bCs/>
        </w:rPr>
        <w:tab/>
      </w:r>
      <w:r w:rsidRPr="00856F4B">
        <w:t>τονίζει ότι η ενίσχυση της οικονομικής ασφάλειας της ΕΕ απαιτεί την προστασία των εταιρειών της ΕΕ στον τομέα της τεχνολογίας αιχμής από τον εξαναγκασμό και τη στήριξή τους μέσω της προαγωγής ισότιμων όρων ανταγωνισμού·</w:t>
      </w:r>
    </w:p>
    <w:p w:rsidR="00721000" w:rsidRPr="00856F4B" w:rsidP="007D5FB4" w14:paraId="23DBDEBF" w14:textId="15308FE7">
      <w:pPr>
        <w:pStyle w:val="NormalHanging12a"/>
        <w:widowControl/>
        <w:ind w:left="570" w:hanging="570"/>
        <w:rPr>
          <w:bCs/>
        </w:rPr>
      </w:pPr>
      <w:r w:rsidRPr="00856F4B">
        <w:rPr>
          <w:bCs/>
        </w:rPr>
        <w:t>92.</w:t>
      </w:r>
      <w:r w:rsidRPr="00856F4B">
        <w:rPr>
          <w:bCs/>
        </w:rPr>
        <w:tab/>
      </w:r>
      <w:r w:rsidRPr="00856F4B">
        <w:t>υπογραμμίζει ότι το ψηφιακό κανονιστικό πλαίσιο της ΕΕ αποτελεί θεμελιώδη πυλώνα της κυριαρχίας της· τονίζει ότι η επιβολή του εν λόγω πλαισίου πρέπει να παραμείνει απαλλαγμένη από εξωτερικές πιέσεις ή απειλές αντιποίνων που προκύπτουν από εμπορικές διαφορές·</w:t>
      </w:r>
    </w:p>
    <w:p w:rsidR="00721000" w:rsidRPr="00856F4B" w:rsidP="007D5FB4" w14:paraId="44FD18B5" w14:textId="36FCA41C">
      <w:pPr>
        <w:pStyle w:val="NormalHanging12a"/>
        <w:widowControl/>
        <w:ind w:left="570" w:hanging="570"/>
        <w:rPr>
          <w:bCs/>
        </w:rPr>
      </w:pPr>
      <w:r w:rsidRPr="00856F4B">
        <w:rPr>
          <w:bCs/>
        </w:rPr>
        <w:t>93.</w:t>
      </w:r>
      <w:r w:rsidRPr="00856F4B">
        <w:rPr>
          <w:bCs/>
        </w:rPr>
        <w:tab/>
      </w:r>
      <w:r w:rsidRPr="00856F4B">
        <w:t>εκφράζει την ικανοποίησή του για την επικείμενη πρόταση για πράξη της ΕΕ για την κβαντική τεχνολογία, την πρόταση για πράξη της ΕΕ για το υπολογιστικό νέφος και για την ανάπτυξη της ΤΝ και την πρόταση για αναθεώρηση του κανονισμού για τα μικροκυκλώματα· υπογραμμίζει ότι η αποτελεσματικότητά τους θα εξαρτηθεί από μια ισχυρή εμπορική και επενδυτική διάσταση, συμπεριλαμβανομένων μέτρων για τη στήριξη της επέκτασης και της διείσδυσης στην αγορά και για τη διευκόλυνση της πρόσβασης σε παγκόσμιες αξιακές αλυσίδες, καθώς και από εταιρικές σχέσεις με ομόφρονες χώρες·</w:t>
      </w:r>
    </w:p>
    <w:p w:rsidR="00721000" w:rsidRPr="00856F4B" w:rsidP="007D5FB4" w14:paraId="3CA9B0FE" w14:textId="54616215">
      <w:pPr>
        <w:pStyle w:val="NormalHanging12a"/>
        <w:widowControl/>
        <w:ind w:left="570" w:hanging="570"/>
        <w:rPr>
          <w:bCs/>
        </w:rPr>
      </w:pPr>
      <w:r w:rsidRPr="00856F4B">
        <w:rPr>
          <w:bCs/>
        </w:rPr>
        <w:t>94.</w:t>
      </w:r>
      <w:r w:rsidRPr="00856F4B">
        <w:rPr>
          <w:bCs/>
        </w:rPr>
        <w:tab/>
      </w:r>
      <w:r w:rsidRPr="00856F4B">
        <w:t>αναγνωρίζει τις ελλείψεις φαρμάκων κρίσιμης σημασίας ως ευπάθεια της οικονομικής ασφάλειας· ζητεί στοχευμένα εργαλεία εμπορίου και ανάθεσης συμβάσεων για τη διασφάλιση της συνέχειας του εφοδιασμού με βασικά φάρμακα, τις δραστικές ουσίες τους και βασικές εισροές κατά τη διάρκεια καταστάσεων έκτακτης ανάγκης·</w:t>
      </w:r>
    </w:p>
    <w:p w:rsidR="00721000" w:rsidRPr="00856F4B" w:rsidP="007D5FB4" w14:paraId="54F7E6ED" w14:textId="2A2123A6">
      <w:pPr>
        <w:pStyle w:val="NormalHanging12a"/>
        <w:widowControl/>
        <w:ind w:left="570" w:hanging="570"/>
        <w:rPr>
          <w:bCs/>
        </w:rPr>
      </w:pPr>
      <w:r w:rsidRPr="00856F4B">
        <w:rPr>
          <w:bCs/>
        </w:rPr>
        <w:t>95.</w:t>
      </w:r>
      <w:r w:rsidRPr="00856F4B">
        <w:rPr>
          <w:bCs/>
        </w:rPr>
        <w:tab/>
      </w:r>
      <w:r w:rsidRPr="00856F4B">
        <w:t>ζητεί να δοθεί προτεραιότητα στον μετριασμό των εξαρτήσεων όσον αφορά τις δραστικές φαρμακευτικές ουσίες, τα αρχικά υλικά και τις βασικές πρόδρομες ουσίες όπου η παραγωγή είναι συγκεντρωμένη και οι εξαγωγικοί περιορισμοί είναι πιθανοί, μεταξύ άλλων με τη διαφοροποίηση των αλυσίδων εφοδιασμού·</w:t>
      </w:r>
    </w:p>
    <w:p w:rsidR="00721000" w:rsidRPr="00856F4B" w:rsidP="007D5FB4" w14:paraId="4562E618" w14:textId="4AFEC039">
      <w:pPr>
        <w:pStyle w:val="NormalHanging12a"/>
        <w:widowControl/>
        <w:ind w:left="570" w:hanging="570"/>
        <w:rPr>
          <w:bCs/>
        </w:rPr>
      </w:pPr>
      <w:r w:rsidRPr="00856F4B">
        <w:rPr>
          <w:bCs/>
        </w:rPr>
        <w:t>96.</w:t>
      </w:r>
      <w:r w:rsidRPr="00856F4B">
        <w:rPr>
          <w:bCs/>
        </w:rPr>
        <w:tab/>
      </w:r>
      <w:r w:rsidRPr="00856F4B">
        <w:t xml:space="preserve">ζητεί τη χαρτογράφηση και τον μετριασμό των εξαρτήσεων από μία πηγή στην κατασκευή </w:t>
      </w:r>
      <w:r w:rsidRPr="00856F4B">
        <w:t>ιατροτεχνολογικών</w:t>
      </w:r>
      <w:r w:rsidRPr="00856F4B">
        <w:t xml:space="preserve"> προϊόντων, in </w:t>
      </w:r>
      <w:r w:rsidRPr="00856F4B">
        <w:t>vitro</w:t>
      </w:r>
      <w:r w:rsidRPr="00856F4B">
        <w:t xml:space="preserve"> </w:t>
      </w:r>
      <w:r w:rsidRPr="00856F4B">
        <w:t>ιατροτεχνολογικών</w:t>
      </w:r>
      <w:r w:rsidRPr="00856F4B">
        <w:t xml:space="preserve"> προϊόντων και των βασικών εξαρτημάτων τους από την ΕΕ και τονίζει την ανάγκη για στοχευμένη διαφοροποίηση της μεταποίησης και κλιμάκωση της εγχώριας παραγωγής·</w:t>
      </w:r>
    </w:p>
    <w:p w:rsidR="00721000" w:rsidRPr="00856F4B" w:rsidP="007D5FB4" w14:paraId="7E21F1F1" w14:textId="4B6A6057">
      <w:pPr>
        <w:pStyle w:val="NormalHanging12a"/>
        <w:widowControl/>
        <w:ind w:left="570" w:hanging="570"/>
        <w:rPr>
          <w:bCs/>
        </w:rPr>
      </w:pPr>
      <w:r w:rsidRPr="00856F4B">
        <w:rPr>
          <w:bCs/>
        </w:rPr>
        <w:t>97.</w:t>
      </w:r>
      <w:r w:rsidRPr="00856F4B">
        <w:rPr>
          <w:bCs/>
        </w:rPr>
        <w:tab/>
      </w:r>
      <w:r w:rsidRPr="00856F4B">
        <w:t>ζητεί την προστασία, βάσει κινδύνου, των υποδομών δεδομένων υγείας και των υπηρεσιών υπολογιστικού νέφους που υποστηρίζουν τα συστήματα υγειονομικής περίθαλψης, συμπεριλαμβανομένων απαιτήσεων συνέχειας και διασφαλίσεων έναντι εχθρικής πρόσβασης ή διαταραχής·</w:t>
      </w:r>
    </w:p>
    <w:p w:rsidR="00721000" w:rsidRPr="00856F4B" w:rsidP="007D5FB4" w14:paraId="774BB8D6" w14:textId="4DEE561C">
      <w:pPr>
        <w:pStyle w:val="NormalHanging12a"/>
        <w:widowControl/>
        <w:ind w:left="570" w:hanging="570"/>
        <w:rPr>
          <w:bCs/>
        </w:rPr>
      </w:pPr>
      <w:r w:rsidRPr="00856F4B">
        <w:rPr>
          <w:bCs/>
        </w:rPr>
        <w:t>98.</w:t>
      </w:r>
      <w:r w:rsidRPr="00856F4B">
        <w:rPr>
          <w:bCs/>
        </w:rPr>
        <w:tab/>
      </w:r>
      <w:r w:rsidRPr="00856F4B">
        <w:t>τονίζει ότι η ροή παραποιημένων ιατρικών προϊόντων από τρίτες χώρες υπονομεύει την ασφάλεια και την εμπιστοσύνη του κοινού· ζητεί ισχυρότερη συνεργασία όσον αφορά την επιβολή της τελωνειακής νομοθεσίας για την ενίσχυση των απαιτήσεων ιχνηλασιμότητας που ορίζονται στην οδηγία για τα ψευδεπίγραφα φάρμακα</w:t>
      </w:r>
      <w:r>
        <w:rPr>
          <w:rStyle w:val="FootnoteReference"/>
          <w:bCs/>
        </w:rPr>
        <w:footnoteReference w:id="17"/>
      </w:r>
      <w:r w:rsidRPr="00856F4B">
        <w:t>·</w:t>
      </w:r>
    </w:p>
    <w:p w:rsidR="00721000" w:rsidRPr="00856F4B" w:rsidP="007D5FB4" w14:paraId="2EFEE78C" w14:textId="59668AF9">
      <w:pPr>
        <w:pStyle w:val="NormalHanging12a"/>
        <w:widowControl/>
        <w:ind w:left="570" w:hanging="570"/>
        <w:rPr>
          <w:bCs/>
        </w:rPr>
      </w:pPr>
      <w:r w:rsidRPr="00856F4B">
        <w:rPr>
          <w:bCs/>
        </w:rPr>
        <w:t>99.</w:t>
      </w:r>
      <w:r w:rsidRPr="00856F4B">
        <w:rPr>
          <w:bCs/>
        </w:rPr>
        <w:tab/>
      </w:r>
      <w:r w:rsidRPr="00856F4B">
        <w:t xml:space="preserve">τονίζει ότι η ενίσχυση και η ολοκλήρωση της Ένωσης Κεφαλαιαγορών και η κινητοποίηση των ευρωπαϊκών ιδιωτικών αποταμιεύσεων προς στρατηγικούς κλάδους θα μπορούσαν να μειώσουν την εξάρτηση από την εξωτερική χρηματοδότηση και να αποτρέψουν την απώλεια του ελέγχου σε πόρους και τεχνολογίες ζωτικής σημασίας· </w:t>
      </w:r>
    </w:p>
    <w:p w:rsidR="00721000" w:rsidRPr="00856F4B" w:rsidP="007D5FB4" w14:paraId="0405BECE" w14:textId="45F4BF95">
      <w:pPr>
        <w:pStyle w:val="NormalHanging12a"/>
        <w:widowControl/>
        <w:ind w:left="570" w:hanging="570"/>
        <w:rPr>
          <w:bCs/>
        </w:rPr>
      </w:pPr>
      <w:r w:rsidRPr="00856F4B">
        <w:rPr>
          <w:bCs/>
        </w:rPr>
        <w:t>100.</w:t>
      </w:r>
      <w:r w:rsidRPr="00856F4B">
        <w:rPr>
          <w:bCs/>
        </w:rPr>
        <w:tab/>
      </w:r>
      <w:r w:rsidRPr="00856F4B">
        <w:t>υπογραμμίζει ότι τα συστήματα διαβίβασης χρηματοπιστωτικών μηνυμάτων, συμπεριλαμβανομένου του SWIFT, αποτελούν υποδομή ζωτικής σημασίας για τη λειτουργία του παγκόσμιου χρηματοπιστωτικού συστήματος και του εξωτερικού εμπορίου της ΕΕ· σημειώνει ότι προηγούμενες περιπτώσεις γεωπολιτικών εντάσεων και καθεστώτων κυρώσεων έχουν καταδείξει τις επιπτώσεις της πρόσβασης στα εν λόγω συστήματα· τονίζει τη σημασία της διασφάλισης της ανθεκτικότητας, της αυτονομίας και της ασφάλειας δικαίου των χρηματοπιστωτικών υποδομών της ΕΕ, μεταξύ άλλων μέσω διασφαλίσεων έναντι αδικαιολόγητων εξωτερικών παρεμβάσεων ή διαταραχών που θα μπορούσαν να επηρεάσουν τη συνέχεια της οικονομικής δραστηριότητας·</w:t>
      </w:r>
    </w:p>
    <w:p w:rsidR="00721000" w:rsidRPr="00856F4B" w:rsidP="007D5FB4" w14:paraId="6B758940" w14:textId="0229C14D">
      <w:pPr>
        <w:pStyle w:val="NormalHanging12a"/>
        <w:widowControl/>
        <w:ind w:left="0" w:firstLine="0"/>
        <w:rPr>
          <w:b/>
          <w:i/>
          <w:iCs/>
        </w:rPr>
      </w:pPr>
      <w:r w:rsidRPr="00856F4B">
        <w:rPr>
          <w:b/>
          <w:i/>
        </w:rPr>
        <w:t>Πολυμερής δέσμευση και εταιρικές σχέσεις</w:t>
      </w:r>
    </w:p>
    <w:p w:rsidR="00721000" w:rsidRPr="00856F4B" w:rsidP="007D5FB4" w14:paraId="171F40BB" w14:textId="43022FE8">
      <w:pPr>
        <w:pStyle w:val="NormalHanging12a"/>
        <w:widowControl/>
        <w:ind w:left="570" w:hanging="570"/>
        <w:rPr>
          <w:bCs/>
        </w:rPr>
      </w:pPr>
      <w:r w:rsidRPr="00856F4B">
        <w:rPr>
          <w:bCs/>
        </w:rPr>
        <w:t>101.</w:t>
      </w:r>
      <w:r w:rsidRPr="00856F4B">
        <w:rPr>
          <w:bCs/>
        </w:rPr>
        <w:tab/>
      </w:r>
      <w:r w:rsidRPr="00856F4B">
        <w:t>επιβεβαιώνει τη δέσμευση της ΕΕ σε ένα πολυμερές εμπορικό σύστημα βασισμένο σε κανόνες, με τον ΠΟΕ ως το πλέον ανεπτυγμένο πλαίσιο για τη διαχείριση της παγκόσμιας οικονομικής αλληλεξάρτησης και την αντιμετώπιση των κινδύνων για την οικονομική ασφάλεια με προβλέψιμο τρόπο που δεν εισάγει διακρίσεις·</w:t>
      </w:r>
    </w:p>
    <w:p w:rsidR="00721000" w:rsidRPr="00856F4B" w:rsidP="007D5FB4" w14:paraId="25030FBD" w14:textId="2C834531">
      <w:pPr>
        <w:pStyle w:val="NormalHanging12a"/>
        <w:widowControl/>
        <w:ind w:left="570" w:hanging="570"/>
        <w:rPr>
          <w:bCs/>
        </w:rPr>
      </w:pPr>
      <w:r w:rsidRPr="00856F4B">
        <w:rPr>
          <w:bCs/>
        </w:rPr>
        <w:t>102.</w:t>
      </w:r>
      <w:r w:rsidRPr="00856F4B">
        <w:rPr>
          <w:bCs/>
        </w:rPr>
        <w:tab/>
      </w:r>
      <w:r w:rsidRPr="00856F4B">
        <w:t>εκφράζει, ωστόσο, τη λύπη του για το γεγονός ότι ο ΠΟΕ, στην τρέχουσα μορφή του, δεν αντιμετωπίζει τις ασυμμετρίες μεταξύ των μελών του όσον αφορά το άνοιγμα της αγοράς και τη δέσμευση για θεμιτό ανταγωνισμό, ενώ διαθέτει ένα δυσλειτουργικό σύστημα επίλυσης διαφορών· τονίζει ότι η ουσιαστική μεταρρύθμιση του ΠΟΕ, συμπεριλαμβανομένης της επαναφοράς ενός πλήρως λειτουργικού συστήματος επίλυσης διαφορών, είναι απαραίτητη για την αντιμετώπιση των συστημικών κινδύνων, τον περιορισμό των αθέμιτων πρακτικών και την πρόληψη της κλιμάκωσης των εμπορικών διαφορών· αναγνωρίζει ότι, εν αναμονή της εν λόγω μεταρρύθμισης, η ΕΕ πρέπει να ενισχύσει τη δική της ικανότητα να ενεργεί αυτόνομα και να αντεπεξέρχεται αποτελεσματικά στους κινδύνους για την οικονομική ασφάλεια, στους αυξανόμενους δασμούς και στην έλλειψη αμοιβαιότητας στο άνοιγμα της αγοράς· πιστεύει ότι η ΕΕ θα πρέπει να αναλάβει ηγετικό ρόλο στη δημιουργία ενός συνασπισμού ομόφρονων μεσαίων δυνάμεων, με σαφές πλαίσιο για συλλογική αντίδραση και αμοιβαία συνδρομή σε περιπτώσεις οικονομικού εξαναγκασμού·</w:t>
      </w:r>
    </w:p>
    <w:p w:rsidR="00721000" w:rsidRPr="00856F4B" w:rsidP="007D5FB4" w14:paraId="017F9C48" w14:textId="1B01BB83">
      <w:pPr>
        <w:pStyle w:val="NormalHanging12a"/>
        <w:widowControl/>
        <w:ind w:left="570" w:hanging="570"/>
        <w:rPr>
          <w:bCs/>
        </w:rPr>
      </w:pPr>
      <w:r w:rsidRPr="00856F4B">
        <w:rPr>
          <w:bCs/>
        </w:rPr>
        <w:t>103.</w:t>
      </w:r>
      <w:r w:rsidRPr="00856F4B">
        <w:rPr>
          <w:bCs/>
        </w:rPr>
        <w:tab/>
      </w:r>
      <w:r w:rsidRPr="00856F4B">
        <w:t>σημειώνει με ενδιαφέρον τη θέση του κ. </w:t>
      </w:r>
      <w:r w:rsidRPr="00856F4B">
        <w:t>Maroš</w:t>
      </w:r>
      <w:r w:rsidRPr="00856F4B">
        <w:t xml:space="preserve"> </w:t>
      </w:r>
      <w:r w:rsidRPr="00856F4B">
        <w:t>Šefčovič</w:t>
      </w:r>
      <w:r w:rsidRPr="00856F4B">
        <w:t xml:space="preserve">, επιτρόπου Εμπορίου και Οικονομικής Ασφάλειας, σχετικά με την ανάγκη επαναξιολόγησης της αρχής του μάλλον ευνοούμενου κράτους με γνώμονα το γεγονός ότι ορισμένα μέλη του ΠΟΕ </w:t>
      </w:r>
      <w:r w:rsidRPr="00856F4B">
        <w:t>έχουν αυξήσει θεαματικά το μερίδιό τους στο παγκόσμιο εμπόριο, ενώ παράλληλα διατηρούν τις δικές τους αγορές σχετικά κλειστές· ζητεί να αξιολογηθεί ο τρόπος με τον οποίο η αρχή του «μάλλον ευνοούμενου κράτους» θα μπορούσε να αντικατοπτρίζει καλύτερα την πραγματικότητα του τρέχοντος εμπορικού περιβάλλοντος·</w:t>
      </w:r>
    </w:p>
    <w:p w:rsidR="00721000" w:rsidRPr="00856F4B" w:rsidP="007D5FB4" w14:paraId="179B28BC" w14:textId="2CC84B69">
      <w:pPr>
        <w:pStyle w:val="NormalHanging12a"/>
        <w:widowControl/>
        <w:ind w:left="570" w:hanging="570"/>
        <w:rPr>
          <w:bCs/>
        </w:rPr>
      </w:pPr>
      <w:r w:rsidRPr="00856F4B">
        <w:rPr>
          <w:bCs/>
        </w:rPr>
        <w:t>104.</w:t>
      </w:r>
      <w:r w:rsidRPr="00856F4B">
        <w:rPr>
          <w:bCs/>
        </w:rPr>
        <w:tab/>
      </w:r>
      <w:r w:rsidRPr="00856F4B">
        <w:t>ενθαρρύνει τη στενότερη και πιο διαρθρωμένη συνεργασία με αξιόπιστους εταίρους και ομόφρονες οικονομίες για την οικοδόμηση δικτυωμένης ανθεκτικότητας έναντι διαταραχών στο εμπόριο και τον εφοδιασμό, μεταξύ άλλων μέσω αξιόπιστων δικτύων προμηθευτών για κρίσιμες τεχνολογίες και υποδομές, που θα πρέπει να μην περιορίζονται στην τεχνική συμμόρφωση, αλλά να ενσωματώνουν τεχνικά κριτήρια που βασίζονται στη διακυβέρνηση και αντιμετωπίζουν τους συστημικούς κινδύνους που θέτουν οι προμηθευτές υπό ξένη κρατική επιρροή, και μέσω συντονισμένης ετοιμότητας, ρυθμίσεων αμοιβαίας στήριξης και συμπληρωματικών προσεγγίσεων για τη δημιουργία αποθεμάτων, την αντιμετώπιση κρίσεων και την προστασία κρίσιμων αλυσίδων εφοδιασμού· καλεί την Επιτροπή να διασφαλίσει ότι οι εμπειρίες των εταίρων που έχουν εκτεθεί σε κινδύνους οικονομικής ασφάλειας αντικατοπτρίζονται συστηματικά στις αξιολογήσεις οικονομικής ασφάλειας, στον σχεδιασμό ετοιμότητας και στον εξωτερικό συντονισμό της ΕΕ·</w:t>
      </w:r>
    </w:p>
    <w:p w:rsidR="00721000" w:rsidRPr="00856F4B" w:rsidP="007D5FB4" w14:paraId="36767F14" w14:textId="35E85316">
      <w:pPr>
        <w:pStyle w:val="NormalHanging12a"/>
        <w:widowControl/>
        <w:ind w:left="570" w:hanging="570"/>
        <w:rPr>
          <w:bCs/>
        </w:rPr>
      </w:pPr>
      <w:r w:rsidRPr="00856F4B">
        <w:rPr>
          <w:bCs/>
        </w:rPr>
        <w:t>105.</w:t>
      </w:r>
      <w:r w:rsidRPr="00856F4B">
        <w:rPr>
          <w:bCs/>
        </w:rPr>
        <w:tab/>
      </w:r>
      <w:r w:rsidRPr="00856F4B">
        <w:t>εκφράζει την ικανοποίησή του για τις πρωτοβουλίες οικονομικής ασφάλειας που αναπτύχθηκαν στο πλαίσιο της G7· καλεί την Επιτροπή να διασφαλίσει ότι η ΕΕ διαδραματίζει προδραστικό και ορατό ρόλο στην εφαρμογή και την παρακολούθηση των πρωτοβουλιών αυτών και παράλληλα να διασφαλίσει τη συνοχή μεταξύ των δεσμεύσεων της G7 και της εργαλειοθήκης της ΕΕ για την οικονομική ασφάλεια·</w:t>
      </w:r>
    </w:p>
    <w:p w:rsidR="00721000" w:rsidRPr="00856F4B" w:rsidP="007D5FB4" w14:paraId="7AF5EBE1" w14:textId="05D42050">
      <w:pPr>
        <w:pStyle w:val="NormalHanging12a"/>
        <w:widowControl/>
        <w:ind w:left="570" w:hanging="570"/>
        <w:rPr>
          <w:bCs/>
        </w:rPr>
      </w:pPr>
      <w:r w:rsidRPr="00856F4B">
        <w:rPr>
          <w:bCs/>
        </w:rPr>
        <w:t>106.</w:t>
      </w:r>
      <w:r w:rsidRPr="00856F4B">
        <w:rPr>
          <w:bCs/>
        </w:rPr>
        <w:tab/>
      </w:r>
      <w:r w:rsidRPr="00856F4B">
        <w:t xml:space="preserve">επιμένει στον καίριο ρόλο του Κοινοβουλίου, και ιδίως της Επιτροπής Διεθνούς Εμπορίου του Κοινοβουλίου, στον δημοκρατικό έλεγχο των μέτρων που σχετίζονται με την οικονομική ασφάλεια και έχουν επιπτώσεις στο εμπόριο και τις επενδύσεις, μεταξύ άλλων σε όλα τα στάδια του σχεδιασμού, της εφαρμογής και της επανεξέτασής τους, προκειμένου να διασφαλιστούν η διαφάνεια, η λογοδοσία και η τεκμηριωμένη κοινοβουλευτική εποπτεία· ζητεί από την Επιτροπή να παράσχει στην Επιτροπή Διεθνούς Εμπορίου πρόσβαση σε όλα τα σχετικά έγγραφα που αφορούν την εφαρμογή της στρατηγικής για την οικονομική ασφάλεια, σύμφωνα με τις βέλτιστες διοργανικές πρακτικές για την πρόσβαση στα έγγραφα· ζητεί να συμπεριληφθεί η Επιτροπή Διεθνούς Εμπορίου στο δίκτυο οικονομικής ασφάλειας που προτείνεται στην κοινή ανακοίνωση της 3ης Δεκεμβρίου 2025· τονίζει την ανάγκη διατήρησης τακτικού διαρθρωμένου διαλόγου με το Κοινοβούλιο σχετικά με τις προτεραιότητες οικονομικής ασφάλειας, τους κινδύνους και τις στρατηγικές μετριασμού· </w:t>
      </w:r>
    </w:p>
    <w:p w:rsidR="00721000" w:rsidRPr="00856F4B" w:rsidP="007D5FB4" w14:paraId="47671584" w14:textId="34719E56">
      <w:pPr>
        <w:pStyle w:val="NormalHanging12a"/>
        <w:widowControl/>
        <w:ind w:left="570" w:hanging="570"/>
        <w:rPr>
          <w:bCs/>
        </w:rPr>
      </w:pPr>
      <w:r w:rsidRPr="00856F4B">
        <w:rPr>
          <w:bCs/>
        </w:rPr>
        <w:t>107.</w:t>
      </w:r>
      <w:r w:rsidRPr="00856F4B">
        <w:rPr>
          <w:bCs/>
        </w:rPr>
        <w:tab/>
      </w:r>
      <w:r w:rsidRPr="00856F4B">
        <w:t>καλεί την Επιτροπή να προτείνει ένα θεσμικό πλαίσιο και πλαίσιο διακυβέρνησης που θα επιτρέπει την ανάπτυξη και την εφαρμογή μιας ολοκληρωμένης στρατηγικής για την οικονομική ασφάλεια σε συνεργασία με το Κοινοβούλιο και το Συμβούλιο, καθώς και με όλους τους άλλους σχετικούς συμφεροντούχους του δημόσιου και του ιδιωτικού τομέα·</w:t>
      </w:r>
    </w:p>
    <w:p w:rsidR="00721000" w:rsidRPr="00856F4B" w:rsidP="008E246E" w14:paraId="58B14FAE" w14:textId="77777777">
      <w:pPr>
        <w:pStyle w:val="NormalHanging12a"/>
        <w:widowControl/>
        <w:jc w:val="center"/>
        <w:rPr>
          <w:bCs/>
        </w:rPr>
      </w:pPr>
      <w:r w:rsidRPr="00856F4B">
        <w:t>°</w:t>
      </w:r>
    </w:p>
    <w:p w:rsidR="00721000" w:rsidRPr="00856F4B" w:rsidP="008E246E" w14:paraId="254AA12D" w14:textId="77777777">
      <w:pPr>
        <w:pStyle w:val="NormalHanging12a"/>
        <w:widowControl/>
        <w:jc w:val="center"/>
        <w:rPr>
          <w:bCs/>
        </w:rPr>
      </w:pPr>
      <w:r w:rsidRPr="00856F4B">
        <w:t>°</w:t>
      </w:r>
      <w:r w:rsidRPr="00856F4B">
        <w:tab/>
        <w:t>°</w:t>
      </w:r>
    </w:p>
    <w:p w:rsidR="00721000" w:rsidRPr="00856F4B" w:rsidP="007D5FB4" w14:paraId="3B160275" w14:textId="0F7C73C2">
      <w:pPr>
        <w:pStyle w:val="NormalHanging12a"/>
        <w:widowControl/>
        <w:ind w:left="570" w:hanging="570"/>
      </w:pPr>
      <w:r w:rsidRPr="00856F4B">
        <w:t>108.</w:t>
      </w:r>
      <w:r w:rsidRPr="00856F4B">
        <w:tab/>
      </w:r>
      <w:r w:rsidRPr="00856F4B">
        <w:t xml:space="preserve">αναθέτει στην Πρόεδρό του να διαβιβάσει το παρόν ψήφισμα στο Συμβούλιο, στην Αντιπρόεδρο της Επιτροπής / Ύπατη Εκπρόσωπο της Ένωσης για θέματα εξωτερικής </w:t>
      </w:r>
      <w:r w:rsidRPr="00856F4B">
        <w:t>πολιτικής και πολιτικής ασφαλείας, στην Επιτροπή και στις κυβερνήσεις και στα κοινοβούλια των κρατών μελών.</w:t>
      </w:r>
    </w:p>
    <w:sectPr w:rsidSect="00BB466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4665" w14:paraId="62818DE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4665" w14:paraId="2AAE40B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4665" w14:paraId="441FD94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F1D85" w:rsidRPr="00BB4665" w14:paraId="376A5E09" w14:textId="77777777">
      <w:r w:rsidRPr="00BB4665">
        <w:separator/>
      </w:r>
    </w:p>
  </w:footnote>
  <w:footnote w:type="continuationSeparator" w:id="1">
    <w:p w:rsidR="009F1D85" w:rsidRPr="00BB4665" w14:paraId="36B278F9" w14:textId="77777777">
      <w:r w:rsidRPr="00BB4665">
        <w:continuationSeparator/>
      </w:r>
    </w:p>
  </w:footnote>
  <w:footnote w:id="2">
    <w:p w:rsidR="00721000" w:rsidRPr="00BB4665" w:rsidP="008E246E" w14:paraId="04CF98A4" w14:textId="3AC102A5">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ΕΕ L 79</w:t>
      </w:r>
      <w:r w:rsidR="008E246E">
        <w:rPr>
          <w:sz w:val="24"/>
          <w:lang w:val="el-GR"/>
        </w:rPr>
        <w:t xml:space="preserve"> </w:t>
      </w:r>
      <w:r w:rsidRPr="00BB4665">
        <w:rPr>
          <w:sz w:val="24"/>
          <w:lang w:val="el-GR"/>
        </w:rPr>
        <w:t>I της 21.3.2019, σ. 1, ELI: </w:t>
      </w:r>
      <w:hyperlink r:id="rId1" w:tooltip="Πρόσβαση στο έγγραφο μέσω URI τύπου ELI." w:history="1">
        <w:r w:rsidRPr="00BB4665">
          <w:rPr>
            <w:rStyle w:val="Hyperlink"/>
            <w:sz w:val="24"/>
            <w:lang w:val="el-GR"/>
          </w:rPr>
          <w:t>http://data.europa.eu/eli/reg/2019/452/oj</w:t>
        </w:r>
      </w:hyperlink>
      <w:r w:rsidRPr="00BB4665">
        <w:rPr>
          <w:sz w:val="24"/>
          <w:lang w:val="el-GR"/>
        </w:rPr>
        <w:t>.</w:t>
      </w:r>
      <w:r w:rsidRPr="00BB4665">
        <w:rPr>
          <w:i/>
          <w:sz w:val="24"/>
          <w:lang w:val="el-GR"/>
        </w:rPr>
        <w:t xml:space="preserve"> </w:t>
      </w:r>
    </w:p>
  </w:footnote>
  <w:footnote w:id="3">
    <w:p w:rsidR="00721000" w:rsidRPr="00BB4665" w:rsidP="008E246E" w14:paraId="2B1F7BD5" w14:textId="2658BB2F">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 xml:space="preserve">ΕΕ L 206 της 11.6.2021, σ. </w:t>
      </w:r>
      <w:r w:rsidRPr="00BB4665">
        <w:rPr>
          <w:sz w:val="24"/>
          <w:lang w:val="el-GR"/>
        </w:rPr>
        <w:t>1, ELI: </w:t>
      </w:r>
      <w:hyperlink r:id="rId2" w:tooltip="Πρόσβαση στο έγγραφο μέσω URI τύπου ELI." w:history="1">
        <w:r w:rsidRPr="00BB4665">
          <w:rPr>
            <w:rStyle w:val="Hyperlink"/>
            <w:sz w:val="24"/>
            <w:lang w:val="el-GR"/>
          </w:rPr>
          <w:t>http://data.europa.eu/eli/reg/2021/821/oj</w:t>
        </w:r>
      </w:hyperlink>
      <w:r w:rsidRPr="00BB4665">
        <w:rPr>
          <w:sz w:val="24"/>
          <w:lang w:val="el-GR"/>
        </w:rPr>
        <w:t>.</w:t>
      </w:r>
      <w:r w:rsidRPr="00BB4665">
        <w:rPr>
          <w:i/>
          <w:sz w:val="24"/>
          <w:lang w:val="el-GR"/>
        </w:rPr>
        <w:t xml:space="preserve"> </w:t>
      </w:r>
    </w:p>
  </w:footnote>
  <w:footnote w:id="4">
    <w:p w:rsidR="00721000" w:rsidRPr="00BB4665" w:rsidP="008E246E" w14:paraId="71DE7351" w14:textId="065D9C4E">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 xml:space="preserve">ΕΕ L 229 της 18.9.2023, σ. </w:t>
      </w:r>
      <w:r w:rsidRPr="00BB4665">
        <w:rPr>
          <w:sz w:val="24"/>
          <w:lang w:val="el-GR"/>
        </w:rPr>
        <w:t>1, ELI: </w:t>
      </w:r>
      <w:hyperlink r:id="rId3" w:tooltip="Πρόσβαση στο έγγραφο μέσω URI τύπου ELI." w:history="1">
        <w:r w:rsidRPr="00BB4665">
          <w:rPr>
            <w:rStyle w:val="Hyperlink"/>
            <w:sz w:val="24"/>
            <w:lang w:val="el-GR"/>
          </w:rPr>
          <w:t>http://data.europa.eu/eli/reg/2023/1781/oj</w:t>
        </w:r>
      </w:hyperlink>
      <w:r w:rsidRPr="00BB4665">
        <w:rPr>
          <w:sz w:val="24"/>
          <w:lang w:val="el-GR"/>
        </w:rPr>
        <w:t>.</w:t>
      </w:r>
      <w:r w:rsidRPr="00BB4665">
        <w:rPr>
          <w:i/>
          <w:sz w:val="24"/>
          <w:lang w:val="el-GR"/>
        </w:rPr>
        <w:t xml:space="preserve"> </w:t>
      </w:r>
    </w:p>
  </w:footnote>
  <w:footnote w:id="5">
    <w:p w:rsidR="00721000" w:rsidRPr="00BB4665" w:rsidP="008E246E" w14:paraId="7DFADB90" w14:textId="140611FA">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ΕΕ L, 2023/2675, 7.12.2023, ELI: </w:t>
      </w:r>
      <w:hyperlink r:id="rId4" w:tgtFrame="_blank" w:tooltip="Πρόσβαση στο έγγραφο μέσω URI τύπου ELI." w:history="1">
        <w:r w:rsidRPr="00BB4665">
          <w:rPr>
            <w:rStyle w:val="Hyperlink"/>
            <w:sz w:val="24"/>
            <w:lang w:val="el-GR"/>
          </w:rPr>
          <w:t>http://data.europa.eu/eli/reg/2023/2675/oj</w:t>
        </w:r>
      </w:hyperlink>
      <w:r w:rsidRPr="00BB4665">
        <w:rPr>
          <w:sz w:val="24"/>
          <w:lang w:val="el-GR"/>
        </w:rPr>
        <w:t>.</w:t>
      </w:r>
    </w:p>
  </w:footnote>
  <w:footnote w:id="6">
    <w:p w:rsidR="00721000" w:rsidRPr="00BB4665" w:rsidP="008E246E" w14:paraId="1BC62E4F" w14:textId="50035A1C">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ΕΕ L, 2024/1252, 3.5.2024, ELI: </w:t>
      </w:r>
      <w:hyperlink r:id="rId5" w:tgtFrame="_blank" w:tooltip="Πρόσβαση στο έγγραφο μέσω URI τύπου ELI." w:history="1">
        <w:r w:rsidRPr="00BB4665">
          <w:rPr>
            <w:rStyle w:val="Hyperlink"/>
            <w:sz w:val="24"/>
            <w:lang w:val="el-GR"/>
          </w:rPr>
          <w:t>http://data.europa.eu/eli/reg/2024/1252/oj</w:t>
        </w:r>
      </w:hyperlink>
      <w:r w:rsidRPr="00BB4665">
        <w:rPr>
          <w:sz w:val="24"/>
          <w:lang w:val="el-GR"/>
        </w:rPr>
        <w:t>.</w:t>
      </w:r>
    </w:p>
  </w:footnote>
  <w:footnote w:id="7">
    <w:p w:rsidR="00721000" w:rsidRPr="00BB4665" w:rsidP="008E246E" w14:paraId="1CEB3E14" w14:textId="6AFA80AC">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ΕΕ L, 2024/1735, 28.6.2024, ELI: </w:t>
      </w:r>
      <w:hyperlink r:id="rId6" w:tgtFrame="_blank" w:tooltip="Πρόσβαση στο έγγραφο μέσω URI τύπου ELI." w:history="1">
        <w:r w:rsidRPr="00BB4665">
          <w:rPr>
            <w:rStyle w:val="Hyperlink"/>
            <w:sz w:val="24"/>
            <w:lang w:val="el-GR"/>
          </w:rPr>
          <w:t>http://data.europa.eu/eli/reg/2024/1735/oj</w:t>
        </w:r>
      </w:hyperlink>
      <w:r w:rsidRPr="00BB4665">
        <w:rPr>
          <w:sz w:val="24"/>
          <w:lang w:val="el-GR"/>
        </w:rPr>
        <w:t>.</w:t>
      </w:r>
    </w:p>
  </w:footnote>
  <w:footnote w:id="8">
    <w:p w:rsidR="00721000" w:rsidRPr="00BB4665" w:rsidP="008E246E" w14:paraId="07B953A5" w14:textId="2690B98D">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ΕΕ L, 2024/2747, 8.11.2024, ELI: </w:t>
      </w:r>
      <w:hyperlink r:id="rId7" w:tgtFrame="_blank" w:tooltip="Πρόσβαση στο έγγραφο μέσω URI τύπου ELI." w:history="1">
        <w:r w:rsidRPr="00BB4665">
          <w:rPr>
            <w:rStyle w:val="Hyperlink"/>
            <w:sz w:val="24"/>
            <w:lang w:val="el-GR"/>
          </w:rPr>
          <w:t>http://data.europa.eu/eli/reg/2024/2747/oj</w:t>
        </w:r>
      </w:hyperlink>
      <w:r w:rsidRPr="00BB4665">
        <w:rPr>
          <w:sz w:val="24"/>
          <w:lang w:val="el-GR"/>
        </w:rPr>
        <w:t>.</w:t>
      </w:r>
    </w:p>
  </w:footnote>
  <w:footnote w:id="9">
    <w:p w:rsidR="00721000" w:rsidRPr="00BB4665" w:rsidP="008E246E" w14:paraId="6BCA9444" w14:textId="26E2DE60">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ΕΕ L, 2025/63, 15.1.2025, ELI: </w:t>
      </w:r>
      <w:hyperlink r:id="rId8" w:tgtFrame="_blank" w:tooltip="Πρόσβαση στο έγγραφο μέσω URI τύπου ELI." w:history="1">
        <w:r w:rsidRPr="00BB4665">
          <w:rPr>
            <w:rStyle w:val="Hyperlink"/>
            <w:sz w:val="24"/>
            <w:lang w:val="el-GR"/>
          </w:rPr>
          <w:t>http://data.europa.eu/eli/reco/2025/63/oj</w:t>
        </w:r>
      </w:hyperlink>
      <w:r w:rsidRPr="00BB4665">
        <w:rPr>
          <w:sz w:val="24"/>
          <w:lang w:val="el-GR"/>
        </w:rPr>
        <w:t>.</w:t>
      </w:r>
    </w:p>
  </w:footnote>
  <w:footnote w:id="10">
    <w:p w:rsidR="00721000" w:rsidRPr="00BB4665" w:rsidP="008E246E" w14:paraId="55A6DECD" w14:textId="26FE3806">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ΕΕ L, 2025/683, 16.4.2025, ELI: </w:t>
      </w:r>
      <w:hyperlink r:id="rId9" w:tgtFrame="_blank" w:tooltip="Πρόσβαση στο έγγραφο μέσω URI τύπου ELI." w:history="1">
        <w:r w:rsidRPr="00BB4665">
          <w:rPr>
            <w:rStyle w:val="Hyperlink"/>
            <w:sz w:val="24"/>
            <w:lang w:val="el-GR"/>
          </w:rPr>
          <w:t>http://data.europa.eu/eli/reco/2025/683/oj</w:t>
        </w:r>
      </w:hyperlink>
      <w:r w:rsidRPr="00BB4665">
        <w:rPr>
          <w:sz w:val="24"/>
          <w:lang w:val="el-GR"/>
        </w:rPr>
        <w:t>.</w:t>
      </w:r>
    </w:p>
  </w:footnote>
  <w:footnote w:id="11">
    <w:p w:rsidR="00721000" w:rsidRPr="00BB4665" w:rsidP="008E246E" w14:paraId="7DBE401A" w14:textId="0DCEF161">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ΕΕ C, C/2024/3510, 30.5.2024, ELI: </w:t>
      </w:r>
      <w:hyperlink r:id="rId10" w:tgtFrame="_blank" w:tooltip="Πρόσβαση στο έγγραφο μέσω URI τύπου ELI." w:history="1">
        <w:r w:rsidRPr="00BB4665">
          <w:rPr>
            <w:rStyle w:val="Hyperlink"/>
            <w:sz w:val="24"/>
            <w:lang w:val="el-GR"/>
          </w:rPr>
          <w:t>http://data.europa.eu/eli/C/2024/3510/oj</w:t>
        </w:r>
      </w:hyperlink>
      <w:r w:rsidRPr="00BB4665">
        <w:rPr>
          <w:sz w:val="24"/>
          <w:lang w:val="el-GR"/>
        </w:rPr>
        <w:t>.</w:t>
      </w:r>
    </w:p>
  </w:footnote>
  <w:footnote w:id="12">
    <w:p w:rsidR="00721000" w:rsidRPr="00BB4665" w:rsidP="008E246E" w14:paraId="06AE194A" w14:textId="70799654">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COM(2025)0726.</w:t>
      </w:r>
    </w:p>
  </w:footnote>
  <w:footnote w:id="13">
    <w:p w:rsidR="00721000" w:rsidRPr="00BB4665" w:rsidP="008E246E" w14:paraId="600CD877" w14:textId="10064689">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 xml:space="preserve">Κανονισμός (ΕΕ) 2021/821 του Ευρωπαϊκού Κοινοβουλίου και του Συμβουλίου, της 20ής Μαΐου 2021, για τη θέσπιση ενωσιακού συστήματος ελέγχου των εξαγωγών, της μεσιτείας, της τεχνικής βοήθειας, της διαμετακόμισης και της μεταφοράς ειδών διπλής χρήσης (ΕΕ L 206 της 11.6.2021, σ. </w:t>
      </w:r>
      <w:r w:rsidRPr="00BB4665">
        <w:rPr>
          <w:sz w:val="24"/>
          <w:lang w:val="el-GR"/>
        </w:rPr>
        <w:t xml:space="preserve">1, </w:t>
      </w:r>
      <w:r w:rsidR="00593ACD">
        <w:rPr>
          <w:sz w:val="24"/>
          <w:lang w:val="en-GB"/>
        </w:rPr>
        <w:t>ELI</w:t>
      </w:r>
      <w:r w:rsidRPr="007D5FB4" w:rsidR="00593ACD">
        <w:rPr>
          <w:sz w:val="24"/>
          <w:lang w:val="el-GR"/>
        </w:rPr>
        <w:t xml:space="preserve">: </w:t>
      </w:r>
      <w:hyperlink r:id="rId2" w:history="1">
        <w:r w:rsidRPr="00593ACD" w:rsidR="00593ACD">
          <w:rPr>
            <w:rStyle w:val="Hyperlink"/>
            <w:sz w:val="24"/>
            <w:lang w:val="el-GR"/>
          </w:rPr>
          <w:t>http://data.europa.eu/eli/reg/2021/821/oj</w:t>
        </w:r>
      </w:hyperlink>
      <w:r w:rsidRPr="00BB4665">
        <w:rPr>
          <w:sz w:val="24"/>
          <w:lang w:val="el-GR"/>
        </w:rPr>
        <w:t>).</w:t>
      </w:r>
    </w:p>
  </w:footnote>
  <w:footnote w:id="14">
    <w:p w:rsidR="00721000" w:rsidRPr="00BB4665" w:rsidP="008E246E" w14:paraId="67D929FD" w14:textId="1B602CAE">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 xml:space="preserve">Κανονισμός (ΕΕ) 2024/1735 του Ευρωπαϊκού Κοινοβουλίου και του Συμβουλίου, της 13ης Ιουνίου 2024, σχετικά με τη θέσπιση πλαισίου μέτρων για την ενίσχυση του οικοσυστήματος παραγωγής τεχνολογιών μηδενικών καθαρών εκπομπών της Ευρώπης και την τροποποίηση του κανονισμού (ΕΕ) 2018/1724 (ΕΕ L, 2024/1735, 28.6.2024, ELI: </w:t>
      </w:r>
      <w:hyperlink r:id="rId6" w:history="1">
        <w:r w:rsidRPr="00BB4665">
          <w:rPr>
            <w:rStyle w:val="Hyperlink"/>
            <w:sz w:val="24"/>
            <w:lang w:val="el-GR"/>
          </w:rPr>
          <w:t>http://data.europa.eu/eli/reg/2024/1735/oj</w:t>
        </w:r>
      </w:hyperlink>
      <w:r w:rsidRPr="00BB4665">
        <w:rPr>
          <w:sz w:val="24"/>
          <w:lang w:val="el-GR"/>
        </w:rPr>
        <w:t>).</w:t>
      </w:r>
    </w:p>
  </w:footnote>
  <w:footnote w:id="15">
    <w:p w:rsidR="00721000" w:rsidRPr="00BB4665" w:rsidP="008E246E" w14:paraId="112CCA2C" w14:textId="41A24809">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 xml:space="preserve">Κανονισμός (ΕΕ) 2019/881 του Ευρωπαϊκού Κοινοβουλίου και του Συμβουλίου, της 17ης Απριλίου 2019, σχετικά με τον ENISA («Οργανισμός της Ευρωπαϊκής Ένωσης για την Κυβερνοασφάλεια») και με την πιστοποίηση της κυβερνοασφάλειας στον τομέα της τεχνολογίας πληροφοριών και επικοινωνιών και για την κατάργηση του κανονισμού (ΕΕ) αριθ. 526/2013 (πράξη για την κυβερνοασφάλεια) (ΕΕ L 151 της 7.6.2019, σ. </w:t>
      </w:r>
      <w:r w:rsidRPr="00BB4665">
        <w:rPr>
          <w:sz w:val="24"/>
          <w:lang w:val="el-GR"/>
        </w:rPr>
        <w:t xml:space="preserve">15, </w:t>
      </w:r>
      <w:r w:rsidR="00593ACD">
        <w:rPr>
          <w:sz w:val="24"/>
          <w:lang w:val="en-GB"/>
        </w:rPr>
        <w:t>ELI</w:t>
      </w:r>
      <w:r w:rsidRPr="007D5FB4" w:rsidR="00593ACD">
        <w:rPr>
          <w:sz w:val="24"/>
          <w:lang w:val="el-GR"/>
        </w:rPr>
        <w:t xml:space="preserve">: </w:t>
      </w:r>
      <w:hyperlink r:id="rId11" w:history="1">
        <w:r w:rsidRPr="00593ACD" w:rsidR="00593ACD">
          <w:rPr>
            <w:rStyle w:val="Hyperlink"/>
            <w:sz w:val="24"/>
            <w:lang w:val="el-GR"/>
          </w:rPr>
          <w:t>http://data.europa.eu/eli/reg/2019/881/oj</w:t>
        </w:r>
      </w:hyperlink>
      <w:r w:rsidRPr="00BB4665">
        <w:rPr>
          <w:sz w:val="24"/>
          <w:lang w:val="el-GR"/>
        </w:rPr>
        <w:t>).</w:t>
      </w:r>
    </w:p>
  </w:footnote>
  <w:footnote w:id="16">
    <w:p w:rsidR="00721000" w:rsidRPr="00BB4665" w:rsidP="008E246E" w14:paraId="7E54A5BD" w14:textId="49C2FCF6">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Κανονισμός (ΕΕ) 2022/2560 του Ευρωπαϊκού Κοινοβουλίου και του Συμβουλίου, της 14ης Δεκεμβρίου 2022, για τις ξένες επιδοτήσεις που στρεβλώνουν την εσωτερική αγορά (ΕΕ L 330 της 23.12.2022, σ. </w:t>
      </w:r>
      <w:r w:rsidRPr="00BB4665">
        <w:rPr>
          <w:sz w:val="24"/>
          <w:lang w:val="el-GR"/>
        </w:rPr>
        <w:t>1, ELI: </w:t>
      </w:r>
      <w:hyperlink r:id="rId12" w:history="1">
        <w:r w:rsidRPr="00BB4665">
          <w:rPr>
            <w:rStyle w:val="Hyperlink"/>
            <w:sz w:val="24"/>
            <w:lang w:val="el-GR"/>
          </w:rPr>
          <w:t>http://data.europa.eu/eli/reg/2022/2560/oj</w:t>
        </w:r>
      </w:hyperlink>
      <w:r w:rsidRPr="00BB4665">
        <w:rPr>
          <w:sz w:val="24"/>
          <w:lang w:val="el-GR"/>
        </w:rPr>
        <w:t>).</w:t>
      </w:r>
    </w:p>
  </w:footnote>
  <w:footnote w:id="17">
    <w:p w:rsidR="00721000" w:rsidRPr="00BB4665" w:rsidP="008E246E" w14:paraId="106746DD" w14:textId="35126B48">
      <w:pPr>
        <w:pStyle w:val="FootnoteText"/>
        <w:spacing w:line="240" w:lineRule="auto"/>
        <w:ind w:left="567" w:hanging="567"/>
        <w:rPr>
          <w:sz w:val="24"/>
          <w:lang w:val="el-GR"/>
        </w:rPr>
      </w:pPr>
      <w:r w:rsidRPr="00BB4665">
        <w:rPr>
          <w:rStyle w:val="FootnoteReference"/>
          <w:sz w:val="24"/>
          <w:lang w:val="el-GR"/>
        </w:rPr>
        <w:footnoteRef/>
      </w:r>
      <w:r w:rsidRPr="00BB4665" w:rsidR="00BB4665">
        <w:rPr>
          <w:sz w:val="24"/>
          <w:lang w:val="el-GR"/>
        </w:rPr>
        <w:t xml:space="preserve"> </w:t>
      </w:r>
      <w:r w:rsidRPr="00BB4665" w:rsidR="00BB4665">
        <w:rPr>
          <w:sz w:val="24"/>
          <w:lang w:val="el-GR"/>
        </w:rPr>
        <w:tab/>
      </w:r>
      <w:r w:rsidRPr="00BB4665">
        <w:rPr>
          <w:sz w:val="24"/>
          <w:lang w:val="el-GR"/>
        </w:rPr>
        <w:t>Οδηγία 2011/62/ΕΕ του Ευρωπαϊκού Κοινοβουλίου και του Συμβουλίου, της 8ης</w:t>
      </w:r>
      <w:r w:rsidR="008E246E">
        <w:rPr>
          <w:sz w:val="24"/>
          <w:lang w:val="el-GR"/>
        </w:rPr>
        <w:t> </w:t>
      </w:r>
      <w:r w:rsidRPr="00BB4665">
        <w:rPr>
          <w:sz w:val="24"/>
          <w:lang w:val="el-GR"/>
        </w:rPr>
        <w:t xml:space="preserve">Ιουνίου 2011, για την τροποποίηση της οδηγίας 2001/83/ΕΚ περί κοινοτικού </w:t>
      </w:r>
      <w:r w:rsidRPr="00BB4665">
        <w:rPr>
          <w:sz w:val="24"/>
          <w:lang w:val="el-GR"/>
        </w:rPr>
        <w:t>κώδικος</w:t>
      </w:r>
      <w:r w:rsidRPr="00BB4665">
        <w:rPr>
          <w:sz w:val="24"/>
          <w:lang w:val="el-GR"/>
        </w:rPr>
        <w:t xml:space="preserve"> για τα φάρμακα που προορίζονται για ανθρώπινη χρήση, όσον αφορά την πρόληψη της εισόδου ψευδεπίγραφων φαρμάκων στη νόμιμη αλυσίδα εφοδιασμού (ΕΕ L 174</w:t>
      </w:r>
      <w:r w:rsidRPr="00B35017" w:rsidR="00B35017">
        <w:rPr>
          <w:sz w:val="24"/>
          <w:lang w:val="el-GR"/>
        </w:rPr>
        <w:t xml:space="preserve"> </w:t>
      </w:r>
      <w:r w:rsidR="00B35017">
        <w:rPr>
          <w:sz w:val="24"/>
          <w:lang w:val="el-GR"/>
        </w:rPr>
        <w:t>της</w:t>
      </w:r>
      <w:r w:rsidRPr="00BB4665">
        <w:rPr>
          <w:sz w:val="24"/>
          <w:lang w:val="el-GR"/>
        </w:rPr>
        <w:t xml:space="preserve"> 1.7.2011, σ. 74, </w:t>
      </w:r>
      <w:r w:rsidR="00593ACD">
        <w:rPr>
          <w:sz w:val="24"/>
          <w:lang w:val="en-GB"/>
        </w:rPr>
        <w:t>ELI</w:t>
      </w:r>
      <w:r w:rsidRPr="007D5FB4" w:rsidR="00593ACD">
        <w:rPr>
          <w:sz w:val="24"/>
          <w:lang w:val="el-GR"/>
        </w:rPr>
        <w:t xml:space="preserve">: </w:t>
      </w:r>
      <w:hyperlink r:id="rId13" w:history="1">
        <w:r w:rsidRPr="00593ACD" w:rsidR="00593ACD">
          <w:rPr>
            <w:rStyle w:val="Hyperlink"/>
            <w:sz w:val="24"/>
            <w:lang w:val="el-GR"/>
          </w:rPr>
          <w:t>http://data.europa.eu/eli/dir/2011/62/oj</w:t>
        </w:r>
      </w:hyperlink>
      <w:r w:rsidRPr="00BB4665">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4665" w14:paraId="7D51C3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4665" w14:paraId="3BFEEDD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4665" w14:paraId="6B06B2F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2C5B67C1"/>
    <w:multiLevelType w:val="hybridMultilevel"/>
    <w:tmpl w:val="0F5C7BBC"/>
    <w:lvl w:ilvl="0">
      <w:start w:val="1"/>
      <w:numFmt w:val="decimal"/>
      <w:lvlText w:val="%1."/>
      <w:lvlJc w:val="left"/>
      <w:pPr>
        <w:ind w:left="570" w:hanging="57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3042016">
    <w:abstractNumId w:val="0"/>
  </w:num>
  <w:num w:numId="2" w16cid:durableId="992753839">
    <w:abstractNumId w:val="2"/>
  </w:num>
  <w:num w:numId="3" w16cid:durableId="83407782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D85"/>
    <w:rsid w:val="00002272"/>
    <w:rsid w:val="00022DB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0FFC"/>
    <w:rsid w:val="00395FA1"/>
    <w:rsid w:val="003E15D4"/>
    <w:rsid w:val="00411CCE"/>
    <w:rsid w:val="0041666E"/>
    <w:rsid w:val="00421060"/>
    <w:rsid w:val="00471C19"/>
    <w:rsid w:val="004867E3"/>
    <w:rsid w:val="00494A28"/>
    <w:rsid w:val="004C0004"/>
    <w:rsid w:val="004C5D52"/>
    <w:rsid w:val="0050519A"/>
    <w:rsid w:val="005072A1"/>
    <w:rsid w:val="00514517"/>
    <w:rsid w:val="005327A9"/>
    <w:rsid w:val="00545827"/>
    <w:rsid w:val="00560270"/>
    <w:rsid w:val="005910BA"/>
    <w:rsid w:val="00593ACD"/>
    <w:rsid w:val="005C2568"/>
    <w:rsid w:val="005F1B17"/>
    <w:rsid w:val="006037C0"/>
    <w:rsid w:val="006631B6"/>
    <w:rsid w:val="00680577"/>
    <w:rsid w:val="006F74FA"/>
    <w:rsid w:val="00721000"/>
    <w:rsid w:val="00731ADD"/>
    <w:rsid w:val="00734777"/>
    <w:rsid w:val="00747932"/>
    <w:rsid w:val="00751A4A"/>
    <w:rsid w:val="00756632"/>
    <w:rsid w:val="00762C74"/>
    <w:rsid w:val="00786EC0"/>
    <w:rsid w:val="007A714B"/>
    <w:rsid w:val="007D1690"/>
    <w:rsid w:val="007D5FB4"/>
    <w:rsid w:val="007E22AD"/>
    <w:rsid w:val="00817416"/>
    <w:rsid w:val="00842779"/>
    <w:rsid w:val="00844BEA"/>
    <w:rsid w:val="00856F4B"/>
    <w:rsid w:val="00865F67"/>
    <w:rsid w:val="00881A7B"/>
    <w:rsid w:val="008840E5"/>
    <w:rsid w:val="00887B3E"/>
    <w:rsid w:val="008C2AC6"/>
    <w:rsid w:val="008E246E"/>
    <w:rsid w:val="00930C23"/>
    <w:rsid w:val="0093193B"/>
    <w:rsid w:val="009509D8"/>
    <w:rsid w:val="00950B64"/>
    <w:rsid w:val="00981893"/>
    <w:rsid w:val="009F1D85"/>
    <w:rsid w:val="00A1687D"/>
    <w:rsid w:val="00A43E52"/>
    <w:rsid w:val="00A4678D"/>
    <w:rsid w:val="00A778C7"/>
    <w:rsid w:val="00AB441E"/>
    <w:rsid w:val="00AB6293"/>
    <w:rsid w:val="00AE0928"/>
    <w:rsid w:val="00AF3B82"/>
    <w:rsid w:val="00AF4A29"/>
    <w:rsid w:val="00B12E95"/>
    <w:rsid w:val="00B22876"/>
    <w:rsid w:val="00B35017"/>
    <w:rsid w:val="00B558F0"/>
    <w:rsid w:val="00BB4665"/>
    <w:rsid w:val="00BD48FE"/>
    <w:rsid w:val="00BD7BD8"/>
    <w:rsid w:val="00BE6ADC"/>
    <w:rsid w:val="00C05BFE"/>
    <w:rsid w:val="00C23CD4"/>
    <w:rsid w:val="00C61C0C"/>
    <w:rsid w:val="00C941CB"/>
    <w:rsid w:val="00C94869"/>
    <w:rsid w:val="00CC2357"/>
    <w:rsid w:val="00CF071A"/>
    <w:rsid w:val="00D058B8"/>
    <w:rsid w:val="00D56C11"/>
    <w:rsid w:val="00D834A0"/>
    <w:rsid w:val="00D872DF"/>
    <w:rsid w:val="00D91E21"/>
    <w:rsid w:val="00DA7FCD"/>
    <w:rsid w:val="00DE5F3D"/>
    <w:rsid w:val="00E365E1"/>
    <w:rsid w:val="00E820A4"/>
    <w:rsid w:val="00EB006A"/>
    <w:rsid w:val="00EB4772"/>
    <w:rsid w:val="00ED169E"/>
    <w:rsid w:val="00ED4235"/>
    <w:rsid w:val="00F04346"/>
    <w:rsid w:val="00F075DC"/>
    <w:rsid w:val="00F149E9"/>
    <w:rsid w:val="00F5134D"/>
    <w:rsid w:val="00F74202"/>
    <w:rsid w:val="00F87713"/>
    <w:rsid w:val="00FB4360"/>
    <w:rsid w:val="00FD0C35"/>
    <w:rsid w:val="00FD0C70"/>
  </w:rsids>
  <w:docVars>
    <w:docVar w:name="dvdocse" w:val="A10-0148/2026"/>
    <w:docVar w:name="dvlangue" w:val="EL"/>
    <w:docVar w:name="dvnumam" w:val="0"/>
    <w:docVar w:name="dvpe" w:val="784.220"/>
    <w:docVar w:name="dvrapporteur" w:val="Εισηγητής: "/>
    <w:docVar w:name="dvtitre" w:val="Ψήφισμα του Ευρωπαϊκού Κοινοβουλίου της ... 2026 σχετικά με τον ρόλο του εμπορίου στην ενίσχυση της οικονομικής ασφάλειας της ΕΕ(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D6DDD28"/>
  <w15:chartTrackingRefBased/>
  <w15:docId w15:val="{F89325F4-EE4C-4A8F-91AE-9841D16FF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2100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21000"/>
    <w:pPr>
      <w:keepNext/>
      <w:spacing w:after="480"/>
      <w:jc w:val="center"/>
    </w:pPr>
    <w:rPr>
      <w:rFonts w:ascii="Arial" w:hAnsi="Arial" w:cs="Arial"/>
      <w:b/>
    </w:rPr>
  </w:style>
  <w:style w:type="paragraph" w:customStyle="1" w:styleId="NormalBold">
    <w:name w:val="NormalBold"/>
    <w:basedOn w:val="Normal"/>
    <w:rsid w:val="00721000"/>
    <w:rPr>
      <w:b/>
    </w:rPr>
  </w:style>
  <w:style w:type="paragraph" w:customStyle="1" w:styleId="NormalHanging12a">
    <w:name w:val="NormalHanging12a"/>
    <w:basedOn w:val="Normal"/>
    <w:rsid w:val="00721000"/>
    <w:pPr>
      <w:spacing w:after="240"/>
      <w:ind w:left="567" w:hanging="567"/>
    </w:pPr>
  </w:style>
  <w:style w:type="paragraph" w:styleId="Header">
    <w:name w:val="header"/>
    <w:basedOn w:val="Normal"/>
    <w:link w:val="HeaderChar"/>
    <w:rsid w:val="00721000"/>
    <w:pPr>
      <w:tabs>
        <w:tab w:val="center" w:pos="4513"/>
        <w:tab w:val="right" w:pos="9026"/>
      </w:tabs>
    </w:pPr>
  </w:style>
  <w:style w:type="character" w:customStyle="1" w:styleId="HeaderChar">
    <w:name w:val="Header Char"/>
    <w:basedOn w:val="DefaultParagraphFont"/>
    <w:link w:val="Header"/>
    <w:rsid w:val="00721000"/>
    <w:rPr>
      <w:sz w:val="24"/>
      <w:lang w:val="el-GR"/>
    </w:rPr>
  </w:style>
  <w:style w:type="paragraph" w:customStyle="1" w:styleId="EPFooter">
    <w:name w:val="EPFooter"/>
    <w:basedOn w:val="Normal"/>
    <w:rsid w:val="00721000"/>
    <w:pPr>
      <w:tabs>
        <w:tab w:val="center" w:pos="4535"/>
        <w:tab w:val="right" w:pos="9071"/>
      </w:tabs>
      <w:spacing w:before="240" w:after="240"/>
    </w:pPr>
    <w:rPr>
      <w:color w:val="010000"/>
      <w:sz w:val="22"/>
    </w:rPr>
  </w:style>
  <w:style w:type="paragraph" w:customStyle="1" w:styleId="EPComma">
    <w:name w:val="EPComma"/>
    <w:basedOn w:val="Normal"/>
    <w:rsid w:val="00721000"/>
    <w:pPr>
      <w:spacing w:before="480" w:after="240"/>
    </w:pPr>
  </w:style>
  <w:style w:type="character" w:styleId="Hyperlink">
    <w:name w:val="Hyperlink"/>
    <w:basedOn w:val="DefaultParagraphFont"/>
    <w:rsid w:val="00721000"/>
    <w:rPr>
      <w:color w:val="0563C1" w:themeColor="hyperlink"/>
      <w:u w:val="single"/>
    </w:rPr>
  </w:style>
  <w:style w:type="paragraph" w:styleId="Footer">
    <w:name w:val="footer"/>
    <w:basedOn w:val="Normal"/>
    <w:link w:val="FooterChar"/>
    <w:rsid w:val="008E246E"/>
    <w:pPr>
      <w:tabs>
        <w:tab w:val="center" w:pos="4513"/>
        <w:tab w:val="right" w:pos="9026"/>
      </w:tabs>
    </w:pPr>
  </w:style>
  <w:style w:type="character" w:customStyle="1" w:styleId="FooterChar">
    <w:name w:val="Footer Char"/>
    <w:basedOn w:val="DefaultParagraphFont"/>
    <w:link w:val="Footer"/>
    <w:rsid w:val="008E246E"/>
    <w:rPr>
      <w:sz w:val="24"/>
      <w:lang w:val="el-GR"/>
    </w:rPr>
  </w:style>
  <w:style w:type="paragraph" w:styleId="ListParagraph">
    <w:name w:val="List Paragraph"/>
    <w:basedOn w:val="Normal"/>
    <w:uiPriority w:val="34"/>
    <w:qFormat/>
    <w:rsid w:val="008E246E"/>
    <w:pPr>
      <w:ind w:left="720"/>
      <w:contextualSpacing/>
    </w:pPr>
  </w:style>
  <w:style w:type="paragraph" w:styleId="Revision">
    <w:name w:val="Revision"/>
    <w:hidden/>
    <w:uiPriority w:val="99"/>
    <w:semiHidden/>
    <w:rsid w:val="008E246E"/>
    <w:rPr>
      <w:sz w:val="24"/>
      <w:lang w:val="el-GR"/>
    </w:rPr>
  </w:style>
  <w:style w:type="character" w:styleId="FollowedHyperlink">
    <w:name w:val="FollowedHyperlink"/>
    <w:basedOn w:val="DefaultParagraphFont"/>
    <w:rsid w:val="008E246E"/>
    <w:rPr>
      <w:color w:val="954F72" w:themeColor="followedHyperlink"/>
      <w:u w:val="single"/>
    </w:rPr>
  </w:style>
  <w:style w:type="character" w:styleId="UnresolvedMention">
    <w:name w:val="Unresolved Mention"/>
    <w:basedOn w:val="DefaultParagraphFont"/>
    <w:uiPriority w:val="99"/>
    <w:semiHidden/>
    <w:unhideWhenUsed/>
    <w:rsid w:val="00593A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11333</Words>
  <Characters>70010</Characters>
  <Application>Microsoft Office Word</Application>
  <DocSecurity>0</DocSecurity>
  <Lines>1400</Lines>
  <Paragraphs>528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2026-07-22T06:04:00Z</dcterms:created>
  <dcterms:modified xsi:type="dcterms:W3CDTF">2026-07-22T06:04:00Z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A10-0148/2026</vt:lpwstr>
  </property>
  <property fmtid="{D5CDD505-2E9C-101B-9397-08002B2CF9AE}" pid="4" name="&lt;Type&gt;">
    <vt:lpwstr>RR</vt:lpwstr>
  </property>
</Properties>
</file>