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6FDF70D4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A0F1F" w:rsidP="0010095E" w14:paraId="4F11A449" w14:textId="77777777">
            <w:pPr>
              <w:pStyle w:val="EPName"/>
            </w:pPr>
            <w:r w:rsidRPr="002A0F1F">
              <w:t>Európsky parlament</w:t>
            </w:r>
          </w:p>
          <w:p w:rsidR="00751A4A" w:rsidRPr="002A0F1F" w:rsidP="005F1B17" w14:paraId="72D86566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A0F1F">
              <w:t>2024</w:t>
            </w:r>
            <w:r w:rsidRPr="002A0F1F" w:rsidR="00817416">
              <w:t>-202</w:t>
            </w:r>
            <w:r w:rsidRPr="002A0F1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A0F1F" w:rsidP="0010095E" w14:paraId="72B6F4EF" w14:textId="77777777">
            <w:pPr>
              <w:pStyle w:val="EPLogo"/>
            </w:pPr>
            <w:r w:rsidRPr="002A0F1F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A0F1F" w:rsidP="004C5D52" w14:paraId="69F86688" w14:textId="77777777">
      <w:pPr>
        <w:pStyle w:val="LineTop"/>
      </w:pPr>
    </w:p>
    <w:p w:rsidR="00680577" w:rsidRPr="002A0F1F" w:rsidP="00680577" w14:paraId="7982506F" w14:textId="77777777">
      <w:pPr>
        <w:pStyle w:val="EPBodyTA1"/>
      </w:pPr>
      <w:r w:rsidRPr="002A0F1F">
        <w:t>PRIJATÉ TEXTY</w:t>
      </w:r>
    </w:p>
    <w:p w:rsidR="00D058B8" w:rsidRPr="002A0F1F" w:rsidP="00D058B8" w14:paraId="1754BB25" w14:textId="77777777">
      <w:pPr>
        <w:pStyle w:val="LineBottom"/>
      </w:pPr>
    </w:p>
    <w:p w:rsidR="00CE008A" w:rsidRPr="002A0F1F" w:rsidP="00CE008A" w14:paraId="289C47FE" w14:textId="4F42A915">
      <w:pPr>
        <w:pStyle w:val="ATHeading1"/>
      </w:pPr>
      <w:bookmarkStart w:id="0" w:name="TANumber"/>
      <w:r w:rsidRPr="002A0F1F">
        <w:t>P10_TA(2026)0</w:t>
      </w:r>
      <w:r w:rsidRPr="002A0F1F" w:rsidR="002A0F1F">
        <w:t>204</w:t>
      </w:r>
      <w:bookmarkEnd w:id="0"/>
    </w:p>
    <w:p w:rsidR="00CE008A" w:rsidRPr="002A0F1F" w:rsidP="00CE008A" w14:paraId="0E82B50A" w14:textId="77777777">
      <w:pPr>
        <w:pStyle w:val="ATHeading2"/>
      </w:pPr>
      <w:bookmarkStart w:id="1" w:name="title"/>
      <w:r w:rsidRPr="002A0F1F">
        <w:t>Úloha obchodu pri posilňovaní hospodárskej bezpečnosti EÚ</w:t>
      </w:r>
      <w:bookmarkEnd w:id="1"/>
    </w:p>
    <w:p w:rsidR="00CE008A" w:rsidRPr="002A0F1F" w:rsidP="00CE008A" w14:paraId="47680B56" w14:textId="77777777">
      <w:pPr>
        <w:rPr>
          <w:i/>
          <w:vanish/>
        </w:rPr>
      </w:pPr>
      <w:r>
        <w:rPr>
          <w:i/>
        </w:rPr>
        <w:fldChar w:fldCharType="begin"/>
      </w:r>
      <w:r w:rsidRPr="002A0F1F">
        <w:rPr>
          <w:i/>
        </w:rPr>
        <w:instrText xml:space="preserve"> TC"(</w:instrText>
      </w:r>
      <w:bookmarkStart w:id="2" w:name="DocNumber"/>
      <w:r w:rsidRPr="002A0F1F">
        <w:rPr>
          <w:i/>
        </w:rPr>
        <w:instrText>A10-0148/2026</w:instrText>
      </w:r>
      <w:bookmarkEnd w:id="2"/>
      <w:r w:rsidRPr="002A0F1F">
        <w:rPr>
          <w:i/>
        </w:rPr>
        <w:instrText xml:space="preserve"> - Spravodajca: Juan </w:instrText>
      </w:r>
      <w:r w:rsidRPr="002A0F1F">
        <w:rPr>
          <w:i/>
        </w:rPr>
        <w:instrText>Ignacio</w:instrText>
      </w:r>
      <w:r w:rsidRPr="002A0F1F">
        <w:rPr>
          <w:i/>
        </w:rPr>
        <w:instrText xml:space="preserve"> </w:instrText>
      </w:r>
      <w:r w:rsidRPr="002A0F1F">
        <w:rPr>
          <w:i/>
        </w:rPr>
        <w:instrText>Zoido</w:instrText>
      </w:r>
      <w:r w:rsidRPr="002A0F1F">
        <w:rPr>
          <w:i/>
        </w:rPr>
        <w:instrText xml:space="preserve"> </w:instrText>
      </w:r>
      <w:r w:rsidRPr="002A0F1F">
        <w:rPr>
          <w:i/>
        </w:rPr>
        <w:instrText>Álvarez</w:instrText>
      </w:r>
      <w:r w:rsidRPr="002A0F1F">
        <w:rPr>
          <w:i/>
        </w:rPr>
        <w:instrText xml:space="preserve">)"\l3 \n&gt; \* MERGEFORMAT </w:instrText>
      </w:r>
      <w:r>
        <w:rPr>
          <w:i/>
        </w:rPr>
        <w:fldChar w:fldCharType="end"/>
      </w:r>
    </w:p>
    <w:p w:rsidR="00CE008A" w:rsidRPr="002A0F1F" w:rsidP="00CE008A" w14:paraId="7D87BFC0" w14:textId="77777777">
      <w:pPr>
        <w:rPr>
          <w:vanish/>
        </w:rPr>
      </w:pPr>
      <w:bookmarkStart w:id="3" w:name="Commission"/>
      <w:r w:rsidRPr="002A0F1F">
        <w:rPr>
          <w:vanish/>
        </w:rPr>
        <w:t>Výbor pre medzinárodný obchod</w:t>
      </w:r>
      <w:bookmarkEnd w:id="3"/>
    </w:p>
    <w:p w:rsidR="00CE008A" w:rsidRPr="002A0F1F" w:rsidP="00CE008A" w14:paraId="5BD41CF6" w14:textId="77777777">
      <w:pPr>
        <w:rPr>
          <w:vanish/>
        </w:rPr>
      </w:pPr>
      <w:bookmarkStart w:id="4" w:name="PE"/>
      <w:r w:rsidRPr="002A0F1F">
        <w:rPr>
          <w:vanish/>
        </w:rPr>
        <w:t>PE784.220</w:t>
      </w:r>
      <w:bookmarkEnd w:id="4"/>
    </w:p>
    <w:p w:rsidR="00CE008A" w:rsidRPr="002A0F1F" w:rsidP="00CE008A" w14:paraId="7367FF14" w14:textId="2ED9BE56">
      <w:pPr>
        <w:pStyle w:val="ATHeading3"/>
      </w:pPr>
      <w:bookmarkStart w:id="5" w:name="Sujet"/>
      <w:r w:rsidRPr="002A0F1F">
        <w:t xml:space="preserve">Uznesenie Európskeho parlamentu zo </w:t>
      </w:r>
      <w:r w:rsidRPr="002A0F1F" w:rsidR="00BC182E">
        <w:t>16</w:t>
      </w:r>
      <w:r w:rsidRPr="002A0F1F">
        <w:t xml:space="preserve">. </w:t>
      </w:r>
      <w:r w:rsidRPr="002A0F1F" w:rsidR="00BC182E">
        <w:t xml:space="preserve">júna </w:t>
      </w:r>
      <w:r w:rsidRPr="002A0F1F">
        <w:t>2026 o úlohe obchodu pri posilňovaní hospodárskej bezpečnosti EÚ</w:t>
      </w:r>
      <w:bookmarkEnd w:id="5"/>
      <w:r w:rsidRPr="002A0F1F">
        <w:t xml:space="preserve"> </w:t>
      </w:r>
      <w:bookmarkStart w:id="6" w:name="References"/>
      <w:r w:rsidRPr="002A0F1F">
        <w:t>(2025/2113(INI))</w:t>
      </w:r>
      <w:bookmarkEnd w:id="6"/>
    </w:p>
    <w:p w:rsidR="003A72B0" w:rsidRPr="002A0F1F" w:rsidP="003A72B0" w14:paraId="73F9A8B6" w14:textId="77777777">
      <w:pPr>
        <w:pStyle w:val="EPComma"/>
        <w:rPr>
          <w:bCs/>
          <w:i/>
          <w:iCs/>
        </w:rPr>
      </w:pPr>
      <w:r w:rsidRPr="002A0F1F">
        <w:rPr>
          <w:i/>
        </w:rPr>
        <w:t>Európsky parlament,</w:t>
      </w:r>
    </w:p>
    <w:p w:rsidR="003A72B0" w:rsidRPr="002A0F1F" w:rsidP="003A72B0" w14:paraId="4BCA37D7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Zmluvu o Európskej únii,</w:t>
      </w:r>
    </w:p>
    <w:p w:rsidR="003A72B0" w:rsidRPr="002A0F1F" w:rsidP="003A72B0" w14:paraId="27CD1856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Zmluvu o fungovaní Európskej únie,</w:t>
      </w:r>
    </w:p>
    <w:p w:rsidR="003A72B0" w:rsidRPr="002A0F1F" w:rsidP="003A72B0" w14:paraId="022B5DEF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 Rady (EÚ) 2019/452 z 19. marca 2019, ktorým sa ustanovuje rámec na preverovanie priamych zahraničných investícií do Únie</w:t>
      </w:r>
      <w:r>
        <w:rPr>
          <w:rStyle w:val="FootnoteReference"/>
          <w:bCs/>
        </w:rPr>
        <w:footnoteReference w:id="2"/>
      </w:r>
      <w:r w:rsidRPr="002A0F1F">
        <w:t xml:space="preserve"> (nariadenie o preverovaní PZI),</w:t>
      </w:r>
    </w:p>
    <w:p w:rsidR="003A72B0" w:rsidRPr="002A0F1F" w:rsidP="003A72B0" w14:paraId="54BF4043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 Rady (EÚ) 2021/821 z 20. mája 2021, ktorým sa stanovuje režim Únie na kontrolu vývozov, sprostredkovania, technickej pomoci, tranzitu a transferu položiek s dvojakým použitím</w:t>
      </w:r>
      <w:r>
        <w:rPr>
          <w:rStyle w:val="FootnoteReference"/>
          <w:bCs/>
        </w:rPr>
        <w:footnoteReference w:id="3"/>
      </w:r>
      <w:r w:rsidRPr="002A0F1F">
        <w:t>,</w:t>
      </w:r>
    </w:p>
    <w:p w:rsidR="003A72B0" w:rsidRPr="002A0F1F" w:rsidP="003A72B0" w14:paraId="48112B26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 Rady (EÚ) 2023/1781 z 13. septembra 2023, ktorým sa zriaďuje rámec opatrení na posilnenie európskeho ekosystému polovodičov a mení nariadenie (EÚ) 2021/694 (akt o čipoch)</w:t>
      </w:r>
      <w:r>
        <w:rPr>
          <w:rStyle w:val="FootnoteReference"/>
          <w:bCs/>
        </w:rPr>
        <w:footnoteReference w:id="4"/>
      </w:r>
      <w:r w:rsidRPr="002A0F1F">
        <w:t>,</w:t>
      </w:r>
    </w:p>
    <w:p w:rsidR="003A72B0" w:rsidRPr="002A0F1F" w:rsidP="003A72B0" w14:paraId="55B1355C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 Rady (EÚ) 2023/2675 z 22. novembra 2023 o ochrane Únie a jej členských štátov pred hospodárskym nátlakom tretích krajín</w:t>
      </w:r>
      <w:r>
        <w:rPr>
          <w:rStyle w:val="FootnoteReference"/>
          <w:bCs/>
        </w:rPr>
        <w:footnoteReference w:id="5"/>
      </w:r>
      <w:r w:rsidRPr="002A0F1F">
        <w:t>,</w:t>
      </w:r>
    </w:p>
    <w:p w:rsidR="003A72B0" w:rsidRPr="002A0F1F" w:rsidP="003A72B0" w14:paraId="0A58DB20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 xml:space="preserve">so zreteľom na nariadenie Európskeho parlamentu a Rady (EÚ) 2024/1252 z 11. apríla 2024, ktorým sa stanovuje rámec na zaistenie bezpečných a udržateľných dodávok kritických surovín a ktorým sa menia nariadenia (EÚ) č. 168/2013, (EÚ) 2018/858, </w:t>
      </w:r>
      <w:r w:rsidRPr="002A0F1F">
        <w:t>(EÚ) 2018/1724 a (EÚ) 2019/1020</w:t>
      </w:r>
      <w:r>
        <w:rPr>
          <w:rStyle w:val="FootnoteReference"/>
          <w:bCs/>
        </w:rPr>
        <w:footnoteReference w:id="6"/>
      </w:r>
      <w:r w:rsidRPr="002A0F1F">
        <w:t xml:space="preserve"> (európsky akt o kritických surovinách),</w:t>
      </w:r>
    </w:p>
    <w:p w:rsidR="003A72B0" w:rsidRPr="002A0F1F" w:rsidP="003A72B0" w14:paraId="0DDAFFCB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 Rady (EÚ) 2024/1735 z 13. júna 2024 o zriadení rámca opatrení na posilnenie európskeho ekosystému výroby emisne neutrálnych technológií a o zmene nariadenia (EÚ) 2018/1724</w:t>
      </w:r>
      <w:r>
        <w:rPr>
          <w:rStyle w:val="FootnoteReference"/>
          <w:bCs/>
        </w:rPr>
        <w:footnoteReference w:id="7"/>
      </w:r>
      <w:r w:rsidRPr="002A0F1F">
        <w:t>,</w:t>
      </w:r>
    </w:p>
    <w:p w:rsidR="003A72B0" w:rsidRPr="002A0F1F" w:rsidP="003A72B0" w14:paraId="2593C5D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nariadenie Európskeho parlamentu a Rady (EÚ) 2024/2747 z 9. októbra 2024, ktorým sa stanovuje rámec opatrení týkajúcich sa núdzovej situácie na vnútornom trhu a jeho odolnosti a ktorým sa mení nariadenie Rady (ES) č. 2679/98 (akt o núdzovej situácii na vnútornom trhu a jeho odolnosti)</w:t>
      </w:r>
      <w:r>
        <w:rPr>
          <w:rStyle w:val="FootnoteReference"/>
          <w:bCs/>
        </w:rPr>
        <w:footnoteReference w:id="8"/>
      </w:r>
      <w:r w:rsidRPr="002A0F1F">
        <w:t>,</w:t>
      </w:r>
    </w:p>
    <w:p w:rsidR="003A72B0" w:rsidRPr="002A0F1F" w:rsidP="003A72B0" w14:paraId="3118D02C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odporúčanie Komisie z 3. októbra 2023 o kritických technologických oblastiach pre hospodársku bezpečnosť EÚ na účely ďalšieho hodnotenia rizík s členskými štátmi (C(2023)6689),</w:t>
      </w:r>
    </w:p>
    <w:p w:rsidR="003A72B0" w:rsidRPr="002A0F1F" w:rsidP="003A72B0" w14:paraId="1FF6FB6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odporúčanie Komisie (EÚ) 2025/63 z 15. januára 2025 o preskúmaní odchádzajúcich investícií v technologických oblastiach kritických pre hospodársku bezpečnosť Únie</w:t>
      </w:r>
      <w:r>
        <w:rPr>
          <w:rStyle w:val="FootnoteReference"/>
          <w:bCs/>
        </w:rPr>
        <w:footnoteReference w:id="9"/>
      </w:r>
      <w:r w:rsidRPr="002A0F1F">
        <w:t>,</w:t>
      </w:r>
    </w:p>
    <w:p w:rsidR="003A72B0" w:rsidRPr="002A0F1F" w:rsidP="003A72B0" w14:paraId="6116987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odporúčanie Komisie (EÚ) 2025/683 z 8. apríla 2025 o koordinácii vnútroštátnych kontrolných zoznamov</w:t>
      </w:r>
      <w:r>
        <w:rPr>
          <w:rStyle w:val="FootnoteReference"/>
          <w:bCs/>
        </w:rPr>
        <w:footnoteReference w:id="10"/>
      </w:r>
      <w:r w:rsidRPr="002A0F1F">
        <w:t>,</w:t>
      </w:r>
    </w:p>
    <w:p w:rsidR="003A72B0" w:rsidRPr="002A0F1F" w:rsidP="003A72B0" w14:paraId="3AE32FF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odporúčanie Rady zo 23. mája 2024 o posilnení bezpečnosti výskumu</w:t>
      </w:r>
      <w:r>
        <w:rPr>
          <w:rStyle w:val="FootnoteReference"/>
          <w:bCs/>
        </w:rPr>
        <w:footnoteReference w:id="11"/>
      </w:r>
      <w:r w:rsidRPr="002A0F1F">
        <w:t>,</w:t>
      </w:r>
    </w:p>
    <w:p w:rsidR="003A72B0" w:rsidRPr="002A0F1F" w:rsidP="003A72B0" w14:paraId="38B32B49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návrh Komisie z 24. januára 2024 na nariadenie Európskeho parlamentu a Rady o preverovaní zahraničných investícií v Únii a o zrušení nariadenia Európskeho parlamentu a Rady (EÚ) 2019/452 (COM(2024)0023),</w:t>
      </w:r>
    </w:p>
    <w:p w:rsidR="003A72B0" w:rsidRPr="002A0F1F" w:rsidP="003A72B0" w14:paraId="4C90573A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návrh Komisie z 11. marca 2025 na nariadenie Európskeho parlamentu a Rady, ktorým sa stanovuje rámec na posilnenie dostupnosti a bezpečnosti dodávok kritických liekov, ako aj dostupnosti a prístupnosti liekov spoločného záujmu, a ktorým sa mení nariadenie (EÚ) 2024/795 (COM(2025)0102),</w:t>
      </w:r>
    </w:p>
    <w:p w:rsidR="003A72B0" w:rsidRPr="002A0F1F" w:rsidP="003A72B0" w14:paraId="586F1F64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návrh Komisie z 20. januára 2026 na nariadenie Európskeho parlamentu a Rady o Agentúre Európskej únie pre kybernetickú bezpečnosť (ENISA), európskom rámci certifikácie kybernetickej bezpečnosti a bezpečnosti dodávateľského reťazca IKT a o zrušení nariadenia (EÚ) 2019/881 (akt o kybernetickej bezpečnosti 2) (COM(2026)0011),</w:t>
      </w:r>
    </w:p>
    <w:p w:rsidR="003A72B0" w:rsidRPr="002A0F1F" w:rsidP="003A72B0" w14:paraId="3A14189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návrh Komisie z 21. januára 2026 na nariadenie Európskeho parlamentu a Rady o digitálnych sieťach, ktorým sa mení nariadenie (EÚ) 2015/2120, smernica 2002/58/ES a rozhodnutie č. 676/2002/ES a zrušuje nariadenie (EÚ) 2018/1971, smernica (EÚ) 2018/1972 a rozhodnutie č. 243/2012/EÚ (akt o digitálnych sieťach) (COM(2026)0016),</w:t>
      </w:r>
    </w:p>
    <w:p w:rsidR="003A72B0" w:rsidRPr="002A0F1F" w:rsidP="003A72B0" w14:paraId="2FFF5954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spoločné oznámenie Komisie a vysokého predstaviteľa Únie pre zahraničné veci a bezpečnostnú politiku z 20. júna 2023 o európskej stratégii hospodárskej bezpečnosti (JOIN(2023)0020),</w:t>
      </w:r>
    </w:p>
    <w:p w:rsidR="003A72B0" w:rsidRPr="002A0F1F" w:rsidP="003A72B0" w14:paraId="7212BF8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oznámenie Komisie z 29. januára 2025 s názvom Kompas konkurencieschopnosti pre EÚ (COM(2025)0030),</w:t>
      </w:r>
    </w:p>
    <w:p w:rsidR="003A72B0" w:rsidRPr="002A0F1F" w:rsidP="003A72B0" w14:paraId="5449CFD1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spoločné oznámenie Komisie a vysokej predstaviteľky Únie pre zahraničné veci a bezpečnostnú politiku z 3. decembra 2025 s názvom Posilnenie hospodárskej bezpečnosti EÚ (JOIN(2025)0977),</w:t>
      </w:r>
    </w:p>
    <w:p w:rsidR="003A72B0" w:rsidRPr="002A0F1F" w:rsidP="003A72B0" w14:paraId="2EB66CDA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 xml:space="preserve">so zreteľom na správu </w:t>
      </w:r>
      <w:r w:rsidRPr="002A0F1F">
        <w:t>Enrica</w:t>
      </w:r>
      <w:r w:rsidRPr="002A0F1F">
        <w:t xml:space="preserve"> </w:t>
      </w:r>
      <w:r w:rsidRPr="002A0F1F">
        <w:t>Lettu</w:t>
      </w:r>
      <w:r w:rsidRPr="002A0F1F">
        <w:t xml:space="preserve"> z apríla 2024 s názvom Oveľa viac než len trh,</w:t>
      </w:r>
    </w:p>
    <w:p w:rsidR="003A72B0" w:rsidRPr="002A0F1F" w:rsidP="003A72B0" w14:paraId="277ABE90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politické usmernenia pre budúcu Európsku komisiu 2024 – 2029 z 18. júla 2024,</w:t>
      </w:r>
    </w:p>
    <w:p w:rsidR="003A72B0" w:rsidRPr="002A0F1F" w:rsidP="003A72B0" w14:paraId="2AED6C36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 xml:space="preserve">so zreteľom na správu Maria </w:t>
      </w:r>
      <w:r w:rsidRPr="002A0F1F">
        <w:t>Draghiho</w:t>
      </w:r>
      <w:r w:rsidRPr="002A0F1F">
        <w:t xml:space="preserve"> z 9. septembra 2024 s názvom Budúcnosť európskej konkurencieschopnosti,</w:t>
      </w:r>
    </w:p>
    <w:p w:rsidR="003A72B0" w:rsidRPr="002A0F1F" w:rsidP="003A72B0" w14:paraId="715D1B8C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 xml:space="preserve">so zreteľom na poverovací list predsedníčky Komisie dezignovanému komisárovi pre obchod a hospodársku bezpečnosť a pre </w:t>
      </w:r>
      <w:r w:rsidRPr="002A0F1F">
        <w:t>medziinštitucionálne</w:t>
      </w:r>
      <w:r w:rsidRPr="002A0F1F">
        <w:t xml:space="preserve"> vzťahy a transparentnosť zo 17. septembra 2024,</w:t>
      </w:r>
    </w:p>
    <w:p w:rsidR="003A72B0" w:rsidRPr="002A0F1F" w:rsidP="003A72B0" w14:paraId="1BF6B216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 xml:space="preserve">so zreteľom na </w:t>
      </w:r>
      <w:r w:rsidRPr="002A0F1F">
        <w:t>únijný</w:t>
      </w:r>
      <w:r w:rsidRPr="002A0F1F">
        <w:t xml:space="preserve"> zoznam kritických liekov, ktorý vytvorila a vedie Európska agentúra pre lieky s cieľom riešiť zraniteľné miesta a nedostatky v dodávkach základných liekov,</w:t>
      </w:r>
    </w:p>
    <w:p w:rsidR="003A72B0" w:rsidRPr="002A0F1F" w:rsidP="003A72B0" w14:paraId="621AC2F1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bielu knihu Komisie z 24. januára 2024 o kontrolách vývozu (COM(2024)0025),</w:t>
      </w:r>
    </w:p>
    <w:p w:rsidR="003A72B0" w:rsidRPr="002A0F1F" w:rsidP="003A72B0" w14:paraId="37B5864C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bielu knihu Komisie z 24. januára 2024 o odchádzajúcich investíciách (COM(2024)0024),</w:t>
      </w:r>
    </w:p>
    <w:p w:rsidR="003A72B0" w:rsidRPr="002A0F1F" w:rsidP="003A72B0" w14:paraId="49EDD6EB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bielu knihu Komisie z 24. januára 2024 o možnostiach posilnenia podpory výskumu a vývoja v oblasti technológií s potenciálom dvojakého použitia (COM(2024)0027),</w:t>
      </w:r>
    </w:p>
    <w:p w:rsidR="003A72B0" w:rsidRPr="002A0F1F" w:rsidP="003A72B0" w14:paraId="445ACFE2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článok 55 rokovacieho poriadku,</w:t>
      </w:r>
    </w:p>
    <w:p w:rsidR="003A72B0" w:rsidRPr="002A0F1F" w:rsidP="003A72B0" w14:paraId="6AE5FB1F" w14:textId="77777777">
      <w:pPr>
        <w:pStyle w:val="NormalHanging12a"/>
        <w:rPr>
          <w:bCs/>
        </w:rPr>
      </w:pPr>
      <w:r w:rsidRPr="002A0F1F">
        <w:t>–</w:t>
      </w:r>
      <w:r w:rsidRPr="002A0F1F">
        <w:tab/>
        <w:t>so zreteľom na správu Výboru pre medzinárodný obchod (A10-0148/2026),</w:t>
      </w:r>
    </w:p>
    <w:p w:rsidR="003A72B0" w:rsidRPr="002A0F1F" w:rsidP="003A72B0" w14:paraId="13DFD54B" w14:textId="77777777">
      <w:pPr>
        <w:pStyle w:val="NormalHanging12a"/>
        <w:rPr>
          <w:bCs/>
        </w:rPr>
      </w:pPr>
      <w:r w:rsidRPr="002A0F1F">
        <w:t>A.</w:t>
      </w:r>
      <w:r w:rsidRPr="002A0F1F">
        <w:tab/>
        <w:t>keďže otvorenosť EÚ obchodu a investíciám zostáva základným kameňom jej prosperity, konkurencieschopnosti a globálneho vplyvu;</w:t>
      </w:r>
    </w:p>
    <w:p w:rsidR="003A72B0" w:rsidRPr="002A0F1F" w:rsidP="003A72B0" w14:paraId="0D0649A2" w14:textId="77777777">
      <w:pPr>
        <w:pStyle w:val="NormalHanging12a"/>
        <w:rPr>
          <w:bCs/>
        </w:rPr>
      </w:pPr>
      <w:r w:rsidRPr="002A0F1F">
        <w:t>B.</w:t>
      </w:r>
      <w:r w:rsidRPr="002A0F1F">
        <w:tab/>
        <w:t>keďže v medzinárodnom hospodárskom prostredí došlo k štrukturálnemu posunu, ktorý sa vyznačuje rastúcou geopolitickou rivalitou, systémovou konkurenciou, štrukturálnou nadmernou kapacitou a čoraz častejším využívaním hospodárskych nástrojov na strategické účely, ako napríklad zneužívanie obchodu a hospodárskych závislostí ako zbrane a hospodársky nátlak;</w:t>
      </w:r>
    </w:p>
    <w:p w:rsidR="003A72B0" w:rsidRPr="002A0F1F" w:rsidP="003A72B0" w14:paraId="454385D9" w14:textId="77777777">
      <w:pPr>
        <w:pStyle w:val="NormalHanging12a"/>
        <w:rPr>
          <w:bCs/>
        </w:rPr>
      </w:pPr>
      <w:r w:rsidRPr="002A0F1F">
        <w:t>C.</w:t>
      </w:r>
      <w:r w:rsidRPr="002A0F1F">
        <w:tab/>
        <w:t xml:space="preserve">keďže čoraz častejšie využívanie kontrol vývozu alebo vývozných obmedzení, politík štátnej pomoci, ktoré narúšajú spravodlivú hospodársku súťaž, zneužívanie obchodu </w:t>
      </w:r>
      <w:r w:rsidRPr="002A0F1F">
        <w:t>ako zbrane a hospodársky nátlak si vyžadujú, aby EÚ urýchlene vypracovala účinnú stratégiu hospodárskej bezpečnosti, ktorá by komplexne riešila jej hospodársku zraniteľnosť;</w:t>
      </w:r>
    </w:p>
    <w:p w:rsidR="003A72B0" w:rsidRPr="002A0F1F" w:rsidP="003A72B0" w14:paraId="4A729FF0" w14:textId="77777777">
      <w:pPr>
        <w:pStyle w:val="NormalHanging12a"/>
        <w:rPr>
          <w:bCs/>
        </w:rPr>
      </w:pPr>
      <w:r w:rsidRPr="002A0F1F">
        <w:t>D.</w:t>
      </w:r>
      <w:r w:rsidRPr="002A0F1F">
        <w:tab/>
        <w:t>keďže dôveryhodná stratégia hospodárskej bezpečnosti sa musí riadiť cieľom posilniť hospodársku, digitálnu a finančnú autonómiu EÚ a zároveň zachovať integritu vnútorného trhu, kvantifikovať nadmerné závislosti v príslušných odvetviach, zabezpečiť právnu istotu pre hospodárske subjekty a dodržiavať záväzok EÚ k spravodlivému a udržateľnému obchodu a medzinárodnému poriadku založenému na pravidlách; keďže si to vyžaduje aj zníženie strategických technologických závislostí, a to aj v oblastiach digitálnej infraštruktúry, polovodičov, cloudových služieb a systémov kybernetickej bezpečnosti, keďže tieto sú neoddeliteľnou súčasťou hospodárskej bezpečnosti;</w:t>
      </w:r>
    </w:p>
    <w:p w:rsidR="003A72B0" w:rsidRPr="002A0F1F" w:rsidP="002A0F1F" w14:paraId="2A6E8651" w14:textId="77777777">
      <w:pPr>
        <w:spacing w:after="240"/>
        <w:ind w:left="567" w:hanging="567"/>
        <w:rPr>
          <w:bCs/>
        </w:rPr>
      </w:pPr>
      <w:r w:rsidRPr="002A0F1F">
        <w:t>E.</w:t>
      </w:r>
      <w:r w:rsidRPr="002A0F1F">
        <w:tab/>
        <w:t>keďže spoločné oznámenie z 3. decembra 2025 predstavuje koncepčný posun v prístupe EÚ k hospodárskej bezpečnosti, ktorý odráža uznanie, že obchod a hospodársku otvorenosť nemožno považovať výlučne za situáciu s pozitívnym výsledkom a že tretie krajiny môžu využívať vzájomnú hospodársku závislosť na strategické alebo nátlakové účely; keďže v dôsledku toho musia byť EÚ a jej členské štáty v prípade potreby pripravené akceptovať hospodárske náklady s cieľom znížiť zraniteľnosť a zvýšiť celkovú bezpečnosť; keďže úvahy o hospodárskej bezpečnosti sa preto musia začleniť do obchodnej a hospodárskej politiky EÚ ako štrukturálny rozmer, a nie považovať za výnimočný odklon od nej;</w:t>
      </w:r>
    </w:p>
    <w:p w:rsidR="003A72B0" w:rsidRPr="002A0F1F" w:rsidP="003A72B0" w14:paraId="6D2399E1" w14:textId="77777777">
      <w:pPr>
        <w:pStyle w:val="NormalHanging12a"/>
        <w:rPr>
          <w:bCs/>
        </w:rPr>
      </w:pPr>
      <w:r w:rsidRPr="002A0F1F">
        <w:t>F.</w:t>
      </w:r>
      <w:r w:rsidRPr="002A0F1F">
        <w:tab/>
        <w:t>keďže pojem hospodárskej bezpečnosti nebol vymedzený v práve EÚ ani v žiadnej oficiálnej dokumentácii EÚ, a to napriek komplexným rámcom stanoveným v spoločných oznámeniach z 20. júna 2023 a 3. decembra 2025; keďže sa však vytvoril široký konsenzus v tom, že hospodárska bezpečnosť EÚ spočíva v jej schopnosti predvídať, odrádzať a reagovať na hrozby pre jej hospodárstvo, občanov a strategické záujmy vrátane rizík pre odolnosť dodávateľského reťazca, fyzickú a kybernetickú bezpečnosť kritickej infraštruktúry, bezpečnosť technológií, a to aj prostredníctvom úniku technológií, a hospodárskej otvorenosti v prípadoch, keď sa závislosti stávajú zbraňou alebo sa uplatňuje nátlak, – a že ich riešenie si vyžaduje, aby EÚ na jednej strane riešila strategické závislosti prostredníctvom domácej výroby alebo diverzifikácie a na druhej strane zmierňovala štrukturálne zraniteľnosti prostredníctvom zachovania kontroly EÚ nad kritickými aktívami, a to aj prostredníctvom preverovania zahraničných investícií;</w:t>
      </w:r>
    </w:p>
    <w:p w:rsidR="003A72B0" w:rsidRPr="002A0F1F" w:rsidP="003A72B0" w14:paraId="09D33F62" w14:textId="77777777">
      <w:pPr>
        <w:pStyle w:val="NormalHanging12a"/>
        <w:rPr>
          <w:bCs/>
        </w:rPr>
      </w:pPr>
      <w:r w:rsidRPr="002A0F1F">
        <w:t>G.</w:t>
      </w:r>
      <w:r w:rsidRPr="002A0F1F">
        <w:tab/>
        <w:t xml:space="preserve">keďže nedávna analýza odhalila rozdiely vo výrobných nákladoch medzi európskymi a čínskymi výrobcami vo výške 30 % až 40 %, čo ovplyvňuje takmer dve tretiny pridanej hodnoty európskej výroby; keďže tieto rozdiely sú štrukturálne a navzájom sa posilňujú, sú poháňané koherentným systémom štátnej podpory, výhodami v nákladoch na výrobné faktory a regulačnou asymetriou, ktoré samotný nárast produktivity nemôže vyrovnať; keďže EÚ zažíva bezprecedentnú nerovnováhu v obchode s Čínou, pričom deficit dosiahol 400 miliárd EUR napriek tomu, že EÚ si udržiava celkový prebytok so zvyškom sveta; keďže táto nerovnováha bola spôsobená masívne dotovanou nadmernou výrobnou kapacitou v Číne, čo viedlo k </w:t>
      </w:r>
      <w:r w:rsidRPr="002A0F1F">
        <w:t>deindustrializácii</w:t>
      </w:r>
      <w:r w:rsidRPr="002A0F1F">
        <w:t xml:space="preserve"> v EÚ; keďže nedošlo k očakávanej úprave výmenných kurzov, čo ďalej prehlbuje rozdiely v konkurencieschopnosti a prispieva k strate trhového podielu európskych výrobcov; keďže existujúce nástroje EÚ na ochranu obchodu sú zväčša špecifické pre jednotlivé výrobky a ich uplatňovanie v súčasnej forme, nepostačujú na riešenie systémových </w:t>
      </w:r>
      <w:r w:rsidRPr="002A0F1F">
        <w:t>deformácií takéhoto rozsahu v celom hospodárstve;</w:t>
      </w:r>
    </w:p>
    <w:p w:rsidR="003A72B0" w:rsidRPr="002A0F1F" w:rsidP="003A72B0" w14:paraId="083342C9" w14:textId="77777777">
      <w:pPr>
        <w:pStyle w:val="NormalHanging12a"/>
        <w:rPr>
          <w:bCs/>
        </w:rPr>
      </w:pPr>
      <w:r w:rsidRPr="002A0F1F">
        <w:t>H.</w:t>
      </w:r>
      <w:r w:rsidRPr="002A0F1F">
        <w:tab/>
        <w:t>keďže EÚ vyčleňuje na presadzovanie ochrany obchodu podstatne menej administratívnych zdrojov ako porovnateľné jurisdikcie, čo zvyšuje praktické prekážky pri otváraní a riešení prípadov v čase, keď európske priemyselné odvetvia čelia rastúcemu obchodnému tlaku; keďže v pomere k celkovému objemu a hodnote dovozu už EÚ využíva nástroje na ochranu obchodu podstatne menej často ako Spojené štáty, Kanada a Austrália; keďže antidumpingové clá EÚ sú často výrazne nižšie ako clá uložené inými veľkými ekonomikami napriek porovnateľným zisteniam dumpingu a ujmy; keďže EÚ je povinná uplatňovať rozpätie ujmy, ak je nižšie ako dumpingové rozpätie; keďže EÚ sa zdráha konať len na základe hrozby ujmy; keďže táto kombinácia nižšej intenzity presadzovania práva, procesných obmedzení a relatívne skromných úrovní ciel prispieva k presmerovaniu obchodu a k vnímaniu EÚ ako prostredia s miernejším presadzovaním práva alebo ako „skládky“, čím sa zvyšuje tlak na priemyselnú základňu EÚ;</w:t>
      </w:r>
    </w:p>
    <w:p w:rsidR="003A72B0" w:rsidRPr="002A0F1F" w:rsidP="003A72B0" w14:paraId="3195C4A1" w14:textId="77777777">
      <w:pPr>
        <w:pStyle w:val="NormalHanging12a"/>
        <w:rPr>
          <w:bCs/>
        </w:rPr>
      </w:pPr>
      <w:r w:rsidRPr="002A0F1F">
        <w:t>I.</w:t>
      </w:r>
      <w:r w:rsidRPr="002A0F1F">
        <w:tab/>
        <w:t xml:space="preserve">keďže zmena klímy a zhoršovanie životného prostredia predstavujú rastúce a systémové riziko pre dlhodobú hospodársku bezpečnosť EÚ, pretože narúšajú dodávateľské reťazce, ohrozujú poľnohospodársku produkciu a podnecujú súperenie o zdroje; keďže zneužívanie dodávok fosílnych palív ako zbrane zo strany Ruska po tom, ako začalo útočnú vojnu proti Ukrajine, obzvlášť jasne ukázalo, že závislosť od dovozu energie z nespoľahlivých tretích krajín predstavuje priamu a akútnu hrozbu pre hospodársku bezpečnosť EÚ, a že urýchlenie transformácie na obnoviteľné zdroje energie a znižovanie súvisiacich rizík je preto nielen environmentálnou, ale aj strategickou nevyhnutnosťou; keďže však samotná zelená transformácia rýchlo vytvorila nové a významné závislosti, najmä pokiaľ ide o kritické suroviny a čisté technológie, ako sú solárne panely, </w:t>
      </w:r>
      <w:r w:rsidRPr="002A0F1F">
        <w:t>fotovoltické</w:t>
      </w:r>
      <w:r w:rsidRPr="002A0F1F">
        <w:t xml:space="preserve"> </w:t>
      </w:r>
      <w:r w:rsidRPr="002A0F1F">
        <w:t>invertory</w:t>
      </w:r>
      <w:r w:rsidRPr="002A0F1F">
        <w:t>, elektrické vozidlá a sieťové batérie, ktorých dodávky sa sústreďujú v Číne; keďže EÚ musí dbať o to, aby nenahradila jednu strategickú závislosť druhou, a preto sa musí usilovať o skutočnú autonómiu v oblasti vstupov potrebných na ekologickú transformáciu, ktorá je hlavnou súčasťou jej stratégie hospodárskej bezpečnosti;</w:t>
      </w:r>
    </w:p>
    <w:p w:rsidR="003A72B0" w:rsidRPr="002A0F1F" w:rsidP="003A72B0" w14:paraId="59A52363" w14:textId="77777777">
      <w:pPr>
        <w:pStyle w:val="NormalHanging12a"/>
        <w:rPr>
          <w:bCs/>
        </w:rPr>
      </w:pPr>
      <w:r w:rsidRPr="002A0F1F">
        <w:t>J.</w:t>
      </w:r>
      <w:r w:rsidRPr="002A0F1F">
        <w:tab/>
        <w:t>keďže monitorovanie dodávateľského reťazca môže pomôcť identifikovať a zmierňovať riziká pre hospodársku bezpečnosť a predchádzať im;</w:t>
      </w:r>
    </w:p>
    <w:p w:rsidR="003A72B0" w:rsidRPr="002A0F1F" w:rsidP="003A72B0" w14:paraId="2F4B7112" w14:textId="77777777">
      <w:pPr>
        <w:pStyle w:val="NormalHanging12a"/>
        <w:rPr>
          <w:bCs/>
        </w:rPr>
      </w:pPr>
      <w:r w:rsidRPr="002A0F1F">
        <w:t>K.</w:t>
      </w:r>
      <w:r w:rsidRPr="002A0F1F">
        <w:tab/>
        <w:t>keďže hospodárska bezpečnosť musí v konečnom dôsledku slúžiť občanom EÚ; keďže schopnosť odolávať vonkajším hospodárskym otrasom a zvládať ich je predpokladom zachovania životnej úrovne, kontinuity verejných služieb a udržania sociálnej súdržnosti; keďže politika hospodárskej bezpečnosti sa preto musí posudzovať nielen z hľadiska makroekonomických agregátov alebo strategických záujmov, ale aj s ohľadom na jej konkrétny vplyv na blahobyt občanov;</w:t>
      </w:r>
    </w:p>
    <w:p w:rsidR="003A72B0" w:rsidRPr="002A0F1F" w:rsidP="002A0F1F" w14:paraId="7C3D8CC9" w14:textId="1988DA57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Vyvíjajúce sa prostredie rizík pre hospodársku bezpečnosť</w:t>
      </w:r>
    </w:p>
    <w:p w:rsidR="003A72B0" w:rsidRPr="002A0F1F" w:rsidP="003A72B0" w14:paraId="604F05A3" w14:textId="77777777">
      <w:pPr>
        <w:pStyle w:val="NormalHanging12a"/>
        <w:rPr>
          <w:bCs/>
        </w:rPr>
      </w:pPr>
      <w:r w:rsidRPr="002A0F1F">
        <w:t>1.</w:t>
      </w:r>
      <w:r w:rsidRPr="002A0F1F">
        <w:tab/>
        <w:t>víta spoločné oznámenie z 3. decembra 2025 ako nevyhnutný krok na posilnenie spoločného prístupu EÚ k hospodárskej bezpečnosti; konštatuje, že na realizáciu cieľov EÚ v oblasti hospodárskej bezpečnosti sú potrebné ďalšie kroky vrátane akčného plánu, celkového plánu a konkrétnych cieľov v oblasti znižovania rizika dodávateľských reťazcov v strategických odvetviach;</w:t>
      </w:r>
    </w:p>
    <w:p w:rsidR="003A72B0" w:rsidRPr="002A0F1F" w:rsidP="003A72B0" w14:paraId="5298198D" w14:textId="322D0902">
      <w:pPr>
        <w:pStyle w:val="NormalHanging12a"/>
        <w:rPr>
          <w:bCs/>
        </w:rPr>
      </w:pPr>
      <w:r w:rsidRPr="002A0F1F">
        <w:t>2.</w:t>
      </w:r>
      <w:r w:rsidRPr="002A0F1F">
        <w:tab/>
        <w:t xml:space="preserve">domnieva sa, že v spoločnom oznámení sa správne zdôrazňuje potreba zmeny kultúry, </w:t>
      </w:r>
      <w:r w:rsidRPr="002A0F1F">
        <w:t xml:space="preserve">ktorá by viedla od reaktívneho k aktívnejšiemu prístupu k hospodárskej bezpečnosti; zdôrazňuje, že si to vyžaduje zmenu paradigmy smerom k </w:t>
      </w:r>
      <w:r w:rsidRPr="002A0F1F">
        <w:t>celosystémovému</w:t>
      </w:r>
      <w:r w:rsidRPr="002A0F1F">
        <w:t xml:space="preserve"> prístupu, v rámci ktorého Komisia, </w:t>
      </w:r>
      <w:r w:rsidRPr="002A0F1F" w:rsidR="00511B54">
        <w:t>Európsky p</w:t>
      </w:r>
      <w:r w:rsidRPr="002A0F1F">
        <w:t>arlament, členské štáty, súkromný sektor a ďalšie verejné a súkromné zainteresované strany spolupracujú, aby prispeli k cieľu posilniť hospodársku bezpečnosť EÚ; zdôrazňuje, že skutočná európska stratégia hospodárskej bezpečnosti musí byť založená na strategickej orientácii, integrácii a strategickom zosúladení politík v oblasti klímy a energetiky, obchodu a hospodárskej súťaže, regulácie digitálneho trhu, priemyselnej politiky, výskumu a inovácií, zahraničných investícií a úlohy eura;</w:t>
      </w:r>
    </w:p>
    <w:p w:rsidR="003A72B0" w:rsidRPr="002A0F1F" w:rsidP="003A72B0" w14:paraId="3019202C" w14:textId="77777777">
      <w:pPr>
        <w:pStyle w:val="NormalHanging12a"/>
        <w:rPr>
          <w:bCs/>
        </w:rPr>
      </w:pPr>
      <w:r w:rsidRPr="002A0F1F">
        <w:t>3.</w:t>
      </w:r>
      <w:r w:rsidRPr="002A0F1F">
        <w:tab/>
        <w:t>súhlasí s hodnotením Komisie, že opatrenia hospodárskej bezpečnosti môžu v krátkodobom horizonte predstavovať určité náklady tak pre podniky, ako aj pre verejné inštitúcie, ale zdôrazňuje, že náklady vyplývajúce zo závislostí a vystavenia hospodárskemu nátlaku sú oveľa vyššie; žiada, aby sa takéto opatrenia primerane podporovali prostredníctvom programu Horizont Európa a Fondu pre konkurencieschopnosť v budúcom viacročnom finančnom rámci; nabáda Komisiu, aby zabezpečila dostatočnú podporu pre odvetvia a pracovníkov, ktorí sú najviac postihnutí prerušením dodávateľského reťazca alebo inými formami hospodárskeho tlaku alebo nátlaku;</w:t>
      </w:r>
    </w:p>
    <w:p w:rsidR="003A72B0" w:rsidRPr="002A0F1F" w:rsidP="003A72B0" w14:paraId="4EF40BAE" w14:textId="77777777">
      <w:pPr>
        <w:pStyle w:val="NormalHanging12a"/>
        <w:rPr>
          <w:bCs/>
        </w:rPr>
      </w:pPr>
      <w:r w:rsidRPr="002A0F1F">
        <w:t>4.</w:t>
      </w:r>
      <w:r w:rsidRPr="002A0F1F">
        <w:tab/>
        <w:t>pripomína, že EÚ je jednou z najväčších svetových obchodných veľmocí a viac ako 20 % jej HDP pochádza zo zahraničného obchodu; zdôrazňuje, že obchod a medzinárodné investície majú pre hospodárstvo EÚ zásadný význam; zdôrazňuje, že vysoký stupeň integrácie EÚ do globálnych trhov zvýšil jej vystavenie narušeniam, donucovacím praktikám a strategickému vplyvu tretích krajín uplatňovanému prostredníctvom úzkych miest dodávateľských reťazcoch, monopolných pozícií v kritických vstupoch, závislosti od vysokorizikových dodávateľov kritických technológií a zraniteľných miest v kľúčovej fyzickej a digitálnej infraštruktúre a v súvislosti s dovozom energie z tretích krajín; zdôrazňuje, že táto značná a štrukturálna závislosť od vonkajších aktérov v oblasti strategických tovarov, služieb a infraštruktúry vytvára nebezpečné zraniteľné miesta, ktoré je potrebné urýchlene riešiť;</w:t>
      </w:r>
    </w:p>
    <w:p w:rsidR="003A72B0" w:rsidRPr="002A0F1F" w:rsidP="003A72B0" w14:paraId="0370E7EF" w14:textId="77777777">
      <w:pPr>
        <w:pStyle w:val="NormalHanging12a"/>
        <w:rPr>
          <w:bCs/>
        </w:rPr>
      </w:pPr>
      <w:r w:rsidRPr="002A0F1F">
        <w:t>5.</w:t>
      </w:r>
      <w:r w:rsidRPr="002A0F1F">
        <w:tab/>
        <w:t>zdôrazňuje, že nedávne krízy – vrátane pandémie COVID-19, narušení dodávok energie v dôsledku útočnej vojny Ruska proti Ukrajine, šírenia nezákonných ciel, obchodných obmedzení a iných protekcionistických opatrení, opakujúceho sa napätia ovplyvňujúceho globálne dopravné a logistické trasy, donucovacích obmedzení prístupu ku kritickým materiálom, stupňujúceho sa hospodárskeho vplyvu zmeny klímy, a to aj v dôsledku extrémnych poveternostných udalostí narúšajúcich výrobu a logistiku, politík štátnej pomoci a dumpingu tretích krajín v dôsledku dotovanej nadmernej kapacity v kľúčových odvetviach európskych trhov – ukázali, ako sa závislosť od dovozu môže rýchlo premietnuť do nedostatku, inflácie, poškodenia miestnych výrobných kapacít a zastavenia výroby; zdôrazňuje, že vývozné závislosti sa takisto ukázali ako významné riziko pre vývozcov z EÚ; zdôrazňuje, že dovozná aj vývozná závislosť predstavujú konkrétne obmedzenia hospodárskej činnosti Európy a schopnosti EÚ účinne reagovať na vonkajšie otrasy; zdôrazňuje, že tieto zraniteľné miesta sú skôr štrukturálne než dočasné, pretože vyplývajú z koncentrácií a monopolov, ktoré sa postupom času vyvinuli;</w:t>
      </w:r>
    </w:p>
    <w:p w:rsidR="003A72B0" w:rsidRPr="002A0F1F" w:rsidP="003A72B0" w14:paraId="1D7E6783" w14:textId="77777777">
      <w:pPr>
        <w:pStyle w:val="NormalHanging12a"/>
        <w:rPr>
          <w:bCs/>
        </w:rPr>
      </w:pPr>
      <w:r w:rsidRPr="002A0F1F">
        <w:t>6.</w:t>
      </w:r>
      <w:r w:rsidRPr="002A0F1F">
        <w:tab/>
        <w:t xml:space="preserve">vyjadruje hlboké znepokojenie nad systémovými deformáciami trhu zo strany Číny, ktoré podnecujú nadmernú kapacitu vrátane rozsiahlych štátom riadených podporných </w:t>
      </w:r>
      <w:r w:rsidRPr="002A0F1F">
        <w:t>mechanizmov, strategického obstarávania v rámci politiky „</w:t>
      </w:r>
      <w:r w:rsidRPr="002A0F1F">
        <w:t>Buy</w:t>
      </w:r>
      <w:r w:rsidRPr="002A0F1F">
        <w:t xml:space="preserve"> </w:t>
      </w:r>
      <w:r w:rsidRPr="002A0F1F">
        <w:t>China</w:t>
      </w:r>
      <w:r w:rsidRPr="002A0F1F">
        <w:t>“, preferenčného zaobchádzania s domácimi firmami a nedostatočnej reciprocity; opakuje, že obchod nemôže byť spravodlivý v systéme, v ktorom jedna krajina dominuje a zaplavuje svetový trh;</w:t>
      </w:r>
    </w:p>
    <w:p w:rsidR="003A72B0" w:rsidRPr="002A0F1F" w:rsidP="003A72B0" w14:paraId="1555BC19" w14:textId="77777777">
      <w:pPr>
        <w:pStyle w:val="NormalHanging12a"/>
        <w:rPr>
          <w:bCs/>
        </w:rPr>
      </w:pPr>
      <w:r w:rsidRPr="002A0F1F">
        <w:t>7.</w:t>
      </w:r>
      <w:r w:rsidRPr="002A0F1F">
        <w:tab/>
        <w:t>víta plán Komisie na vytvorenie komplexného, systematického a pravidelne aktualizovaného hodnotenia najkritickejších závislostí EÚ v rámci hodnotových reťazcov a požaduje, aby tieto hodnotenia zahŕňali analýzu zraniteľných miest, ktoré by potenciálne mohli vyústiť do úzkych miest EÚ, vrátane kvantifikovaných údajov o koncentrácii dovozu a podieloch na svetovom trhu podľa krajín a odvetví;</w:t>
      </w:r>
    </w:p>
    <w:p w:rsidR="003A72B0" w:rsidRPr="002A0F1F" w:rsidP="002A0F1F" w14:paraId="151DC4B4" w14:textId="04BF5D8F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Prevencia prostredníctvom diverzifikácie, inovácie a konkurencieschopnosti</w:t>
      </w:r>
    </w:p>
    <w:p w:rsidR="003A72B0" w:rsidRPr="002A0F1F" w:rsidP="003A72B0" w14:paraId="320FFB04" w14:textId="77777777">
      <w:pPr>
        <w:pStyle w:val="NormalHanging12a"/>
        <w:rPr>
          <w:bCs/>
        </w:rPr>
      </w:pPr>
      <w:r w:rsidRPr="002A0F1F">
        <w:t>8.</w:t>
      </w:r>
      <w:r w:rsidRPr="002A0F1F">
        <w:tab/>
        <w:t>zdôrazňuje, že hospodárska bezpečnosť sa nesmie interpretovať ako ekonomická izolácia; potvrdzuje, že otvorenosť udržateľnému obchodu a investíciám v kombinácii s opatreniami zameranými na riešenie nekalej súťaže a diverzifikáciu partnerov, dodávateľov, dovozu energie a dopravných trás je jedným z hlavných prostriedkov EÚ na zníženie štrukturálnej zraniteľnosti voči vonkajším otrasom a narušeniam v kritických odvetviach a voči donucovacím praktikám; zdôrazňuje, že posilnenie odolnosti a hospodárskej bezpečnosti EÚ by malo byť výslovným cieľom každého obchodného alebo investičného partnerstva EÚ; zdôrazňuje, že podpora dopytu po alternatívach vyrobených v EÚ a vytvorenie odvetvových ekosystémov so sídlom v EÚ sú kľúčom k dôveryhodnému budovaniu hospodárskej bezpečnosti EÚ;</w:t>
      </w:r>
    </w:p>
    <w:p w:rsidR="003A72B0" w:rsidRPr="002A0F1F" w:rsidP="003A72B0" w14:paraId="2A1DA930" w14:textId="77777777">
      <w:pPr>
        <w:pStyle w:val="NormalHanging12a"/>
        <w:rPr>
          <w:bCs/>
        </w:rPr>
      </w:pPr>
      <w:r w:rsidRPr="002A0F1F">
        <w:t>9.</w:t>
      </w:r>
      <w:r w:rsidRPr="002A0F1F">
        <w:tab/>
        <w:t>zdôrazňuje, že otvorenosť trhu EÚ musí byť založená na zásadách vzájomnosti, spoľahlivosti a nenútenia a že nemôže byť bezpodmienečná, ak sú ohrozené základné bezpečnostné záujmy; zdôrazňuje, že EÚ má značné hospodárske prednosti, najmä jednotný trh v hodnote 18 biliónov EUR so 450 miliónmi spotrebiteľov, vedúce postavenie v oblasti výroby a služieb špičkových technológií, vysoké normy a štandardy a vysokokvalitné vzdelávacie inštitúcie a programy výskumu a vývoja; zdôrazňuje, že tieto silné stránky by sa mali využiť v prípade vonkajšieho nátlaku, najmä v oblastiach, v ktorých je európsky tovar alebo technológie na svetových trhoch nenahraditeľný;</w:t>
      </w:r>
    </w:p>
    <w:p w:rsidR="003A72B0" w:rsidRPr="002A0F1F" w:rsidP="003A72B0" w14:paraId="4EF05D05" w14:textId="77777777">
      <w:pPr>
        <w:pStyle w:val="NormalHanging12a"/>
        <w:rPr>
          <w:bCs/>
        </w:rPr>
      </w:pPr>
      <w:r w:rsidRPr="002A0F1F">
        <w:t>10.</w:t>
      </w:r>
      <w:r w:rsidRPr="002A0F1F">
        <w:tab/>
        <w:t>varuje, že mikroekonomické a makroekonomické prostredie, ktoré oslabuje konkurencieschopnosť podnikov, a to aj charakteristiky, ako sú prekážky na vnútornom trhu, zbytočná administratívna záťaž, regulačná neistota, vysoké ceny energie, príliš zložité postupy udeľovania povolení a nedostatočné investície, odrádza od inovácií a narúša hospodársku odolnosť a bezpečnostné ciele EÚ;</w:t>
      </w:r>
    </w:p>
    <w:p w:rsidR="003A72B0" w:rsidRPr="002A0F1F" w:rsidP="003A72B0" w14:paraId="762D66B3" w14:textId="77777777">
      <w:pPr>
        <w:pStyle w:val="NormalHanging12a"/>
        <w:rPr>
          <w:bCs/>
        </w:rPr>
      </w:pPr>
      <w:r w:rsidRPr="002A0F1F">
        <w:t>11.</w:t>
      </w:r>
      <w:r w:rsidRPr="002A0F1F">
        <w:tab/>
        <w:t xml:space="preserve">zdôrazňuje, že hospodársku bezpečnosť EÚ nemožno podstatne posilniť, pokiaľ bude európske hospodárstvo nadmerne závislé od dovozu fosílnych palív alebo technológií v oblasti obnoviteľných zdrojov energie; domnieva sa, že pokračovanie v stabilných a predvídateľných politikách dekarbonizácie zameraných na dosiahnutie nulovej čistej bilancie a ukončenie dovozu fosílnych palív prispieva k posilneniu hospodárskej bezpečnosti a zvýšeniu konkurencieschopnosti EÚ; zdôrazňuje, že podstatne zvýšené a urýchlené investície do elektrifikácie a do obehového hospodárstva majú zásadný význam pre zníženie strategických závislostí EÚ od vonkajších aktérov; nabáda Komisiu, aby prijala silné a rozsiahle politiky na strane dopytu s cieľom zvýšiť dopyt po európskom </w:t>
      </w:r>
      <w:r w:rsidRPr="002A0F1F">
        <w:t>nízkouhlíkovom</w:t>
      </w:r>
      <w:r w:rsidRPr="002A0F1F">
        <w:t xml:space="preserve"> strategickom tovare, ktorý je kľúčový pre energetickú transformáciu, ako je zelená oceľ, batérie, energia z obnoviteľných zdrojov a polovodiče; ďalej vyzýva Komisiu, aby zabezpečila, že sa pri ekologickej transformácii </w:t>
      </w:r>
      <w:r w:rsidRPr="002A0F1F">
        <w:t>nezopakuje rovnaká štrukturálna logika závislosti v inej podobe, a aby na tento účel uprednostnila výrobné kapacity na úrovni EÚ, tvorbu strategických zásob a silnú diverzifikáciu zdrojov kritických surovín a komponentov čistých technológií, od ktorých transformácia závisí;</w:t>
      </w:r>
    </w:p>
    <w:p w:rsidR="003A72B0" w:rsidRPr="002A0F1F" w:rsidP="002A0F1F" w14:paraId="46C9D1B8" w14:textId="77777777">
      <w:pPr>
        <w:spacing w:after="240"/>
        <w:ind w:left="567" w:hanging="567"/>
        <w:rPr>
          <w:bCs/>
        </w:rPr>
      </w:pPr>
      <w:r w:rsidRPr="002A0F1F">
        <w:t>12.</w:t>
      </w:r>
      <w:r w:rsidRPr="002A0F1F">
        <w:tab/>
        <w:t>zdôrazňuje, že plne funkčný a integrovaný jednotný trh je základným kameňom hospodárskej bezpečnosti; zdôrazňuje, že hlbšia integrácia a odstránenie prekážok pre skutočne harmonizovaný trh s tovarom, službami a kapitálom majú zásadný význam pre dlhodobý sociálno-ekonomický model, konkurencieschopnosť a bezpečnosť EÚ; domnieva sa, že posilnenie investovania do vzdelávania, inovácií a výskumu a vývoja je zásadným prvkom dlhodobej stratégie na ochranu hospodárskej bezpečnosti EÚ;</w:t>
      </w:r>
    </w:p>
    <w:p w:rsidR="003A72B0" w:rsidRPr="002A0F1F" w:rsidP="003A72B0" w14:paraId="477F60E0" w14:textId="77777777">
      <w:pPr>
        <w:pStyle w:val="NormalHanging12a"/>
        <w:rPr>
          <w:bCs/>
        </w:rPr>
      </w:pPr>
      <w:r w:rsidRPr="002A0F1F">
        <w:t>13.</w:t>
      </w:r>
      <w:r w:rsidRPr="002A0F1F">
        <w:tab/>
        <w:t>vyjadruje poľutovanie nad nadmernou závislosťou EÚ od tretích krajín v oblasti dodávok kritických surovín, pričom uznáva, že takáto závislosť vystavuje Európsku úniu značnej geopolitickej a hospodárskej zraniteľnosti a zraniteľnosti dodávateľského reťazca; domnieva sa preto, že posilnenie domácej odolnosti, a to aj prostredníctvom strategických projektov v oblasti domácej ťažby a spracovania, zvýšených recyklačných kapacít, lepšej efektívnosti využívania zdrojov a úplného zavedenia modelu obehového hospodárstva predstavuje udržateľné a strategické riešenie; vyzýva na prijatie ambiciózneho aktu o obehovom hospodárstve; vyzýva na stimuláciu investícií do kritických inovatívnych obehových technológií a na ochranu takýchto investícií;</w:t>
      </w:r>
    </w:p>
    <w:p w:rsidR="003A72B0" w:rsidRPr="002A0F1F" w:rsidP="003A72B0" w14:paraId="7CB453D4" w14:textId="77777777">
      <w:pPr>
        <w:pStyle w:val="NormalHanging12a"/>
        <w:rPr>
          <w:bCs/>
        </w:rPr>
      </w:pPr>
      <w:r w:rsidRPr="002A0F1F">
        <w:t>14.</w:t>
      </w:r>
      <w:r w:rsidRPr="002A0F1F">
        <w:tab/>
        <w:t>zdôrazňuje, že ochrana občanov pred konkrétnymi vonkajšími hospodárskymi otrasmi vrátane narušenia dodávateľských reťazcov, prudkého nárastu cien energie a dôsledkov hospodárskeho nátlaku je hlavným cieľom politiky hospodárskej bezpečnosti; vyzýva Komisiu a členské štáty, aby zabezpečili systematické posudzovanie sociálneho vplyvu opatrení hospodárskej bezpečnosti a to, aby takéto opatrenia neúmerne nepostihovali najzraniteľnejšie skupiny;</w:t>
      </w:r>
    </w:p>
    <w:p w:rsidR="003A72B0" w:rsidRPr="002A0F1F" w:rsidP="003A72B0" w14:paraId="2D00DFC8" w14:textId="77777777">
      <w:pPr>
        <w:pStyle w:val="NormalHanging12a"/>
        <w:rPr>
          <w:bCs/>
        </w:rPr>
      </w:pPr>
      <w:r w:rsidRPr="002A0F1F">
        <w:t>15.</w:t>
      </w:r>
      <w:r w:rsidRPr="002A0F1F">
        <w:tab/>
        <w:t>pripomína, že obchodná politika je strategickým prvkom moci EÚ a mala by sa aktívne využívať na ochranu bezpečnostných záujmov a strategickej autonómie EÚ; zdôrazňuje, že je potrebné prekonať prevažne obranný prístup a kombinovať a využívať existujúce nástroje strategickejším a perspektívnejším spôsobom, a to aj využívaním vzájomných hospodárskych závislostí spôsobom, ktorý posilní geopolitickú pozíciu EÚ;</w:t>
      </w:r>
    </w:p>
    <w:p w:rsidR="003A72B0" w:rsidRPr="002A0F1F" w:rsidP="003A72B0" w14:paraId="1595C790" w14:textId="77777777">
      <w:pPr>
        <w:pStyle w:val="NormalHanging12a"/>
        <w:rPr>
          <w:bCs/>
        </w:rPr>
      </w:pPr>
      <w:r w:rsidRPr="002A0F1F">
        <w:t>16.</w:t>
      </w:r>
      <w:r w:rsidRPr="002A0F1F">
        <w:tab/>
        <w:t>pripomína, že účinnosť programu EÚ v oblasti obchodu a hospodárskej bezpečnosti závisí od dôsledného uplatňovania obchodných pravidiel a základných doložiek v dohodách o obchode, partnerstve a pridružení; v tejto súvislosti vyzýva Komisiu, aby zintenzívnila svoje úsilie o zabezpečenie úplného a účinného dodržiavania vlastných záväzkov a povinností, najmä z hľadiska súdržnosti politík v záujme rozvoja;</w:t>
      </w:r>
    </w:p>
    <w:p w:rsidR="003A72B0" w:rsidRPr="002A0F1F" w:rsidP="003A72B0" w14:paraId="2E1592DD" w14:textId="6B49B52A">
      <w:pPr>
        <w:pStyle w:val="NormalHanging12a"/>
        <w:rPr>
          <w:bCs/>
        </w:rPr>
      </w:pPr>
      <w:r w:rsidRPr="002A0F1F">
        <w:t>17.</w:t>
      </w:r>
      <w:r w:rsidRPr="002A0F1F">
        <w:tab/>
        <w:t xml:space="preserve">vyzýva Komisiu, aby dokončila prebiehajúce rokovania a aktívne presadzovala strategický a ambiciózny prístup k obchodným dohodám a odvetvovým partnerstvám so spoľahlivými partnermi ako ústrednému prvku svojej diverzifikačnej stratégie; domnieva sa, že diverzifikácia dodávateľov z tretích krajín a vývozných trhov by mala vychádzať z jasného posúdenia štrukturálnej zraniteľnosti EÚ a mala by sa ním riadiť; zdôrazňuje, že je prednostne potrebné doplniť tradičné komplexné dohody o voľnom obchode novými, pružnejšími a cielenejšími formami obchodných a investičných partnerstiev, ktoré sa výslovne zameriavajú na zníženie rizika dovozu a vývozu prostredníctvom rozvoja bezpečných a odolných dodávateľských reťazcov v určitých vysokorizikových odvetviach; zdôrazňuje, že takéto partnerstvá by mali zahŕňať </w:t>
      </w:r>
      <w:r w:rsidRPr="002A0F1F">
        <w:t xml:space="preserve">záväzné záväzky a vyžadovať plné zapojenie </w:t>
      </w:r>
      <w:r w:rsidRPr="002A0F1F" w:rsidR="00511B54">
        <w:t>Európskeho p</w:t>
      </w:r>
      <w:r w:rsidRPr="002A0F1F">
        <w:t xml:space="preserve">arlamentu a transparentnosť voči </w:t>
      </w:r>
      <w:r w:rsidRPr="002A0F1F" w:rsidR="00511B54">
        <w:t>Európskemu p</w:t>
      </w:r>
      <w:r w:rsidRPr="002A0F1F">
        <w:t>arlamentu počas celého obdobia rokovaní, ako aj jeho súhlas s ratifikačným procesom;</w:t>
      </w:r>
    </w:p>
    <w:p w:rsidR="003A72B0" w:rsidRPr="002A0F1F" w:rsidP="003A72B0" w14:paraId="0CB000EE" w14:textId="77777777">
      <w:pPr>
        <w:pStyle w:val="NormalHanging12a"/>
        <w:rPr>
          <w:bCs/>
        </w:rPr>
      </w:pPr>
      <w:r w:rsidRPr="002A0F1F">
        <w:t>18.</w:t>
      </w:r>
      <w:r w:rsidRPr="002A0F1F">
        <w:tab/>
        <w:t>zdôrazňuje strategický význam modernizovanej dohody o pridružení medzi EÚ a </w:t>
      </w:r>
      <w:r w:rsidRPr="002A0F1F">
        <w:t>Mercosurom</w:t>
      </w:r>
      <w:r w:rsidRPr="002A0F1F">
        <w:t xml:space="preserve"> pre hospodársku bezpečnosť EÚ; zdôrazňuje, že dohoda prispeje k diverzifikácii prístupu ku kritickým surovinám a posilní odolné hodnotové reťazce;</w:t>
      </w:r>
    </w:p>
    <w:p w:rsidR="003A72B0" w:rsidRPr="002A0F1F" w:rsidP="003A72B0" w14:paraId="5720595D" w14:textId="77777777">
      <w:pPr>
        <w:pStyle w:val="NormalHanging12a"/>
        <w:rPr>
          <w:bCs/>
        </w:rPr>
      </w:pPr>
      <w:r w:rsidRPr="002A0F1F">
        <w:t>19.</w:t>
      </w:r>
      <w:r w:rsidRPr="002A0F1F">
        <w:tab/>
        <w:t>zdôrazňuje strategický význam posilnenia hospodárskej a obchodnej spolupráce s Indiou, ktorá je čoraz dôležitejším výrobným a technologickým centrom s rastúcou úlohou v oblasti digitálnych služieb a dodávok kritických surovín;</w:t>
      </w:r>
    </w:p>
    <w:p w:rsidR="003A72B0" w:rsidRPr="002A0F1F" w:rsidP="003A72B0" w14:paraId="0F1139C0" w14:textId="77777777">
      <w:pPr>
        <w:pStyle w:val="NormalHanging12a"/>
        <w:rPr>
          <w:bCs/>
        </w:rPr>
      </w:pPr>
      <w:r w:rsidRPr="002A0F1F">
        <w:t>20.</w:t>
      </w:r>
      <w:r w:rsidRPr="002A0F1F">
        <w:tab/>
        <w:t>zdôrazňuje význam urýchlenia prebiehajúcich rokovaní o dohodách o voľnom obchode s partnermi, ako sú Filipíny a Thajsko, a dokončenia obchodnej dohody s Indonéziou, vzhľadom na ich rastúcu úlohu pri produkcii dôležitých nerastných surovín, elektroniky a komponentov čistých technológií; zdôrazňuje, že predvídateľné obchodné rámce sú potrebné na riešenie vývozných obmedzení a rizík koncentrácie dodávok a na pevnejšie ukotvenie EÚ v indicko-tichomorských priemyselných hodnotových reťazcoch;</w:t>
      </w:r>
    </w:p>
    <w:p w:rsidR="003A72B0" w:rsidRPr="002A0F1F" w:rsidP="003A72B0" w14:paraId="22E142FC" w14:textId="77777777">
      <w:pPr>
        <w:pStyle w:val="NormalHanging12a"/>
        <w:rPr>
          <w:bCs/>
        </w:rPr>
      </w:pPr>
      <w:r w:rsidRPr="002A0F1F">
        <w:t>21.</w:t>
      </w:r>
      <w:r w:rsidRPr="002A0F1F">
        <w:tab/>
        <w:t>víta ukončenie obchodných rokovaní s Austráliou, ktorá je spoľahlivým a podobne zmýšľajúcim partnerom; zdôrazňuje význam tohto partnerstva založeného na pravidlách pri prispievaní k stabilite dodávok a diverzifikácii dodávateľských reťazcov vzhľadom na značné zásoby kritických surovín v Austrálii a jej produkciu ťažobných a spracovateľských technológií; víta ďalšiu spoluprácu pri riešení spoločných výziev v oblasti hospodárskej bezpečnosti, najmä vzhľadom na priame skúsenosti Austrálie s reakciou na hospodársky nátlak;</w:t>
      </w:r>
    </w:p>
    <w:p w:rsidR="003A72B0" w:rsidRPr="002A0F1F" w:rsidP="003A72B0" w14:paraId="36D374EB" w14:textId="77777777">
      <w:pPr>
        <w:pStyle w:val="NormalHanging12a"/>
        <w:rPr>
          <w:bCs/>
        </w:rPr>
      </w:pPr>
      <w:r w:rsidRPr="002A0F1F">
        <w:t>22.</w:t>
      </w:r>
      <w:r w:rsidRPr="002A0F1F">
        <w:tab/>
        <w:t>vyzýva na vytvorenie štruktúrovaného dialógu o hospodárskej bezpečnosti medzi EÚ a Spojeným kráľovstvom s cieľom posilniť koordináciu v oblasti obchodu, preverovania investícií a odolnosti dodávateľského reťazca; podporuje užšiu spoluprácu v rámci dohody o obchode a spolupráci medzi EÚ a Spojeným kráľovstvom s cieľom predvídať narušenia v strategických odvetviach;</w:t>
      </w:r>
    </w:p>
    <w:p w:rsidR="003A72B0" w:rsidRPr="002A0F1F" w:rsidP="003A72B0" w14:paraId="69393E20" w14:textId="77777777">
      <w:pPr>
        <w:pStyle w:val="NormalHanging12a"/>
        <w:rPr>
          <w:bCs/>
        </w:rPr>
      </w:pPr>
      <w:r w:rsidRPr="002A0F1F">
        <w:t>23.</w:t>
      </w:r>
      <w:r w:rsidRPr="002A0F1F">
        <w:tab/>
        <w:t xml:space="preserve">podporuje výzvu stratégie EÚ v indicko-tichomorskom regióne na prehĺbenie spolupráce s ázijskými partnermi v oblasti hospodárskej bezpečnosti, a to aj prostredníctvom posilnených partnerstiev s členmi Združenia národov juhovýchodnej Ázie a prostredníctvom užšej interakcie s partnermi, ktorí sa zúčastňujú na Komplexnej a progresívnej dohode o </w:t>
      </w:r>
      <w:r w:rsidRPr="002A0F1F">
        <w:t>transpacifickom</w:t>
      </w:r>
      <w:r w:rsidRPr="002A0F1F">
        <w:t xml:space="preserve"> partnerstve;</w:t>
      </w:r>
    </w:p>
    <w:p w:rsidR="003A72B0" w:rsidRPr="002A0F1F" w:rsidP="003A72B0" w14:paraId="54113AE6" w14:textId="77777777">
      <w:pPr>
        <w:pStyle w:val="NormalHanging12a"/>
        <w:rPr>
          <w:bCs/>
        </w:rPr>
      </w:pPr>
      <w:r w:rsidRPr="002A0F1F">
        <w:t>24.</w:t>
      </w:r>
      <w:r w:rsidRPr="002A0F1F">
        <w:tab/>
        <w:t>naliehavo vyzýva členské štáty, aby ratifikovali zostávajúce dohody o voľnom obchode;</w:t>
      </w:r>
    </w:p>
    <w:p w:rsidR="003A72B0" w:rsidRPr="002A0F1F" w:rsidP="003A72B0" w14:paraId="340D6B43" w14:textId="77777777">
      <w:pPr>
        <w:pStyle w:val="NormalHanging12a"/>
        <w:rPr>
          <w:bCs/>
        </w:rPr>
      </w:pPr>
      <w:r w:rsidRPr="002A0F1F">
        <w:t>25.</w:t>
      </w:r>
      <w:r w:rsidRPr="002A0F1F">
        <w:tab/>
        <w:t>vyzýva Komisiu, aby navrhla obnovený a komplexný obchodný a investičný dialóg s rozvojovými krajinami a regiónmi na základe vzájomne výhodných partnerstiev, ktoré presahujú rámec rozširovania prístupu na trh alebo ťažby prírodných zdrojov; zdôrazňuje, že je dôležité podporovať vytváranie hodnoty na miestnej a regionálnej úrovni v rámci obchodných dohôd a odvetvových partnerstiev prostredníctvom rozvoja čistých a udržateľných hodnotových reťazcov a zároveň podporovať inkluzívny a udržateľný rozvoj a zabezpečiť ochranu environmentálnych noriem a pracovných práv;</w:t>
      </w:r>
    </w:p>
    <w:p w:rsidR="003A72B0" w:rsidRPr="002A0F1F" w:rsidP="003A72B0" w14:paraId="01D8BDCA" w14:textId="77777777">
      <w:pPr>
        <w:pStyle w:val="NormalHanging12a"/>
        <w:rPr>
          <w:bCs/>
        </w:rPr>
      </w:pPr>
      <w:r w:rsidRPr="002A0F1F">
        <w:t>26.</w:t>
      </w:r>
      <w:r w:rsidRPr="002A0F1F">
        <w:tab/>
        <w:t xml:space="preserve">konštatuje, že EÚ je v súčasnosti závislá od Číny, ktorá zabezpečuje približne 98 % jej </w:t>
      </w:r>
      <w:r w:rsidRPr="002A0F1F">
        <w:t>dodávok vzácnych zemín a viac ako 90 % jej dovozu horčíka, že miera domácej recyklácie vzácnych zemín je aj naďalej nižšia ako 1 % a že viac ako 60 % celosvetovej kapacity rafinácie lítia a viac ako 85 % kapacity na spracovanie vzácnych zemín sa sústreďuje v jedinej tretej krajine, v dôsledku čoho EÚ zďaleka nedosahuje ciele stanovené v akte o kritických surovinách; zdôrazňuje význam dohôd uzavretých v tejto oblasti s podobne zmýšľajúcimi krajinami a potrebu pokračovať v rokovaniach o nových partnerstvách s cieľom posilniť odolnosť dodávateľských reťazcov EÚ;</w:t>
      </w:r>
    </w:p>
    <w:p w:rsidR="003A72B0" w:rsidRPr="002A0F1F" w:rsidP="003A72B0" w14:paraId="72F596B1" w14:textId="77777777">
      <w:pPr>
        <w:pStyle w:val="NormalHanging12a"/>
        <w:rPr>
          <w:bCs/>
        </w:rPr>
      </w:pPr>
      <w:r w:rsidRPr="002A0F1F">
        <w:t>27.</w:t>
      </w:r>
      <w:r w:rsidRPr="002A0F1F">
        <w:tab/>
        <w:t>zdôrazňuje, že obchodná politika EÚ by mala mať za strategický cieľ diverzifikáciu zdrojov dodávok kritických surovín vzhľadom na ich kľúčovú úlohu pri zelenej a digitálnej transformácii a v oblasti obrany; konštatuje, že hoci je akt o kritických surovinách dôležitým krokom smerom k posilneniu odolnosti EÚ, stále je nepostačujúci na riešenie kľúčových zraniteľných miest, najmä pretrvávajúcej koncentrácie rafinérskych a spracovateľských kapacít v obmedzenom počte tretích krajín; zdôrazňuje, že akt sa opiera o nezáväzné referenčné hodnoty na úrovni EÚ a že dostupnosť účelových finančných prostriedkov a účinnej vykonávacej kapacity je naďalej obmedzená;</w:t>
      </w:r>
    </w:p>
    <w:p w:rsidR="003A72B0" w:rsidRPr="002A0F1F" w:rsidP="003A72B0" w14:paraId="52A2F9DD" w14:textId="77777777">
      <w:pPr>
        <w:pStyle w:val="NormalHanging12a"/>
        <w:rPr>
          <w:bCs/>
        </w:rPr>
      </w:pPr>
      <w:r w:rsidRPr="002A0F1F">
        <w:t>28.</w:t>
      </w:r>
      <w:r w:rsidRPr="002A0F1F">
        <w:tab/>
        <w:t xml:space="preserve">víta iniciatívu </w:t>
      </w:r>
      <w:r w:rsidRPr="002A0F1F">
        <w:t>RESourceEU</w:t>
      </w:r>
      <w:r w:rsidRPr="002A0F1F">
        <w:t xml:space="preserve"> na zvýšenie financovania strategickej domácej ťažobnej a spracovateľskej kapacity a recyklácie; zdôrazňuje však, že tieto propagačné opatrenia je potrebné kombinovať s ochrannými a partnerskými opatreniami, aby sa do roku 2030 úspešne znížilo riziko v hodnotovom reťazci kritických surovín; opakuje, že dlhodobé obchodné dôvody a životaschopnosť investícií do dôveryhodných hodnotových reťazcov kritických surovín by preto mali byť sprevádzané minimálnymi cenami a zárukami odberu v úzkej spolupráci s podobne zmýšľajúcimi krajinami, čo by stimulovalo zavádzanie nečínskych materiálov, čo by bránilo zneužívaniu monopolného postavenia treťou krajinou na podhodnocovanie cien zraniteľných konkurentov; zdôrazňuje, že iniciatíva </w:t>
      </w:r>
      <w:r w:rsidRPr="002A0F1F">
        <w:t>RESourceEU</w:t>
      </w:r>
      <w:r w:rsidRPr="002A0F1F">
        <w:t xml:space="preserve"> sa musí stať účinným nástrojom na urýchlenie dosiahnutia cieľov do roku 2030 stanovených v akte o kritických surovinách; zdôrazňuje, že bez rýchlej mobilizácie koordinovanej finančnej podpory pre projekty ťažby, spracovania a recyklácie nebude EÚ schopná splniť svoje referenčné hodnoty v stanovenom časovom rámci;</w:t>
      </w:r>
    </w:p>
    <w:p w:rsidR="003A72B0" w:rsidRPr="002A0F1F" w:rsidP="003A72B0" w14:paraId="515883E7" w14:textId="77777777">
      <w:pPr>
        <w:pStyle w:val="NormalHanging12a"/>
        <w:rPr>
          <w:bCs/>
        </w:rPr>
      </w:pPr>
      <w:r w:rsidRPr="002A0F1F">
        <w:t>29.</w:t>
      </w:r>
      <w:r w:rsidRPr="002A0F1F">
        <w:tab/>
        <w:t>zdôrazňuje, že diplomacia EÚ v oblasti kritických surovín by sa mala rozšíriť nad rámec ťažby a prístupu k primárnym zdrojom a mala by sa systematicky zaoberať spracovaním, rafináciou a nadväzujúcimi činnosťami, v ktorých sú strategické zraniteľné miesta a riziká koncentrácie naďalej mimoriadne závažné;</w:t>
      </w:r>
    </w:p>
    <w:p w:rsidR="003A72B0" w:rsidRPr="002A0F1F" w:rsidP="002A0F1F" w14:paraId="4BC90EFB" w14:textId="05B80785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Monitorovanie, riadenie a zmierňovanie identifikovaných rizík</w:t>
      </w:r>
    </w:p>
    <w:p w:rsidR="003A72B0" w:rsidRPr="002A0F1F" w:rsidP="002A0F1F" w14:paraId="7B5099C2" w14:textId="77777777">
      <w:pPr>
        <w:spacing w:after="240"/>
        <w:ind w:left="567" w:hanging="567"/>
        <w:rPr>
          <w:bCs/>
        </w:rPr>
      </w:pPr>
      <w:r w:rsidRPr="002A0F1F">
        <w:t>30.</w:t>
      </w:r>
      <w:r w:rsidRPr="002A0F1F">
        <w:tab/>
        <w:t>prichádza k záveru, že posilnenie hospodárskej bezpečnosti EÚ je kľúčom k zaisteniu hospodárskej a politickej suverenity EÚ, integrity jednotného trhu, odolnosti dodávateľských reťazcov, hospodárskej životaschopnosti podnikov EÚ a živobytia občanov EÚ, a to aj v súvislosti s kvalitnými pracovnými miestami; zdôrazňuje, že komplexný a integrovaný prístup k hospodárskej bezpečnosti by sa nemal zameriavať len na znižovanie vonkajšej závislosti, ale aj na budovanie strategickej autonómie v oblasti kritických surovín, technológií, energetiky, dopravy, financií a digitálnej infraštruktúry; vyzýva preto Komisiu, aby začlenila hospodársku bezpečnosť do všetkých priemyselných politík vrátane odvetvových právnych predpisov a posudzovaní rizika v dodávateľskom reťazci s cieľom zabezpečiť jednotný prístup;</w:t>
      </w:r>
    </w:p>
    <w:p w:rsidR="003A72B0" w:rsidRPr="002A0F1F" w:rsidP="003A72B0" w14:paraId="5E279ADD" w14:textId="77777777">
      <w:pPr>
        <w:pStyle w:val="NormalHanging12a"/>
        <w:rPr>
          <w:bCs/>
        </w:rPr>
      </w:pPr>
      <w:r w:rsidRPr="002A0F1F">
        <w:t>31.</w:t>
      </w:r>
      <w:r w:rsidRPr="002A0F1F">
        <w:tab/>
        <w:t>uznáva, že určité kritické hospodárske expozície si vzhľadom na svoj rozsah, koncentráciu, strategický význam alebo nezvratnosť vyžadujú cielené, urýchlené a rozhodné zmierňujúce opatrenia; zdôrazňuje, že v takýchto prípadoch by mohli opatrenia legitímne zahŕňať obmedzenia alebo zákaz prístupu na trh, hospodárskej činnosti alebo investičných tokov z tretích krajín s cieľom chrániť základné záujmy a verejný poriadok EÚ; opätovne zdôrazňuje, že prístup na jednotný trh je najväčšou pákou EÚ, a vyzýva Komisiu a členské štáty, aby využili reverzné závislosti s cieľom vyvíjať tlak na tretie krajiny, aby odstránili nezákonné vývozné obmedzenia uvalené na EÚ;</w:t>
      </w:r>
    </w:p>
    <w:p w:rsidR="003A72B0" w:rsidRPr="002A0F1F" w:rsidP="003A72B0" w14:paraId="306D0600" w14:textId="77777777">
      <w:pPr>
        <w:pStyle w:val="NormalHanging12a"/>
        <w:rPr>
          <w:bCs/>
        </w:rPr>
      </w:pPr>
      <w:r w:rsidRPr="002A0F1F">
        <w:t>32.</w:t>
      </w:r>
      <w:r w:rsidRPr="002A0F1F">
        <w:tab/>
        <w:t xml:space="preserve">vyzýva Komisiu, aby navrhla viac opatrení na predchádzanie alebo obmedzenie rizík pre hospodársku bezpečnosť; v tejto súvislosti podporuje návrh Komisie požadovať od hospodárskych subjektov EÚ, aby </w:t>
      </w:r>
      <w:r w:rsidRPr="002A0F1F">
        <w:t>diverzifikovali</w:t>
      </w:r>
      <w:r w:rsidRPr="002A0F1F">
        <w:t xml:space="preserve"> dodávateľov v konkrétnych vysokorizikových odvetviach; domnieva sa, že by sa táto požiadavka mala v budúcnosti rozšíriť tak, aby sa od hospodárskych subjektov vyžadovalo aj to, aby </w:t>
      </w:r>
      <w:r w:rsidRPr="002A0F1F">
        <w:t>diverzifikovali</w:t>
      </w:r>
      <w:r w:rsidRPr="002A0F1F">
        <w:t xml:space="preserve"> krajinu alebo región dodávok;</w:t>
      </w:r>
    </w:p>
    <w:p w:rsidR="003A72B0" w:rsidRPr="002A0F1F" w:rsidP="003A72B0" w14:paraId="618BEF30" w14:textId="77777777">
      <w:pPr>
        <w:pStyle w:val="NormalHanging12a"/>
        <w:rPr>
          <w:bCs/>
        </w:rPr>
      </w:pPr>
      <w:r w:rsidRPr="002A0F1F">
        <w:t>33.</w:t>
      </w:r>
      <w:r w:rsidRPr="002A0F1F">
        <w:tab/>
        <w:t>zdôrazňuje, že je potrebné vyvinúť účinné nástroje zamerané na včasné monitorovanie, identifikáciu a hodnotenie rizík pre hospodársku bezpečnosť v rámci celých hodnotových reťazcov vo vysoko rizikových oblastiach, aby sa umožnilo proaktívne mapovanie existujúcich a potenciálnych strategických závislostí; zdôrazňuje, že členské štáty a súkromný sektor sú základnými partnermi pri identifikácii a posudzovaní závislostí; podporuje návrh Komisie na zriadenie spravodajského centra pre hospodársku bezpečnosť, ktoré by konsolidovalo dostupné informácie; vyzýva Komisiu, aby vyvinula nástroje zamerané na výmenu ekonomických informácií s medzinárodnými partnermi s cieľom predvídať opatrenia tretích krajín zamerané na zneužívanie závislostí ako zbrane proti EÚ;</w:t>
      </w:r>
    </w:p>
    <w:p w:rsidR="003A72B0" w:rsidRPr="002A0F1F" w:rsidP="003A72B0" w14:paraId="5063DF53" w14:textId="77777777">
      <w:pPr>
        <w:pStyle w:val="NormalHanging12a"/>
        <w:rPr>
          <w:bCs/>
        </w:rPr>
      </w:pPr>
      <w:r w:rsidRPr="002A0F1F">
        <w:t>34.</w:t>
      </w:r>
      <w:r w:rsidRPr="002A0F1F">
        <w:tab/>
        <w:t>vyzýva Komisiu, aby každoročne vypracovala hodnotiacu tabuľku hospodárskej bezpečnosti s cieľom systematicky hodnotiť pokrok pri dosahovaní cieľov stanovených v stratégii hospodárskej bezpečnosti; zdôrazňuje, že takýto mechanizmus by mal zahŕňať jasné a merateľné ukazovatele, ktoré by okrem iného ukazovali zníženie kritických závislostí v jednotlivých odvetviach, počet prípadov nástrojov na ochranu obchodu, ktoré boli identifikované ako relevantné pre hospodársku bezpečnosť, a zvýšenie počtu alternatívnych dodávateľov; zdôrazňuje, že transparentné a pravidelné podávanie správ je nevyhnutné na zabezpečenie zodpovednosti a informovanej úpravy politiky;</w:t>
      </w:r>
    </w:p>
    <w:p w:rsidR="003A72B0" w:rsidRPr="002A0F1F" w:rsidP="003A72B0" w14:paraId="227B59A8" w14:textId="77777777">
      <w:pPr>
        <w:pStyle w:val="NormalHanging12a"/>
        <w:rPr>
          <w:bCs/>
        </w:rPr>
      </w:pPr>
      <w:r w:rsidRPr="002A0F1F">
        <w:t>35.</w:t>
      </w:r>
      <w:r w:rsidRPr="002A0F1F">
        <w:tab/>
        <w:t>zdôrazňuje, že takéto opatrenia by mali byť primerané a prispôsobené závažnosti a pretrvávaniu rizika, mali by byť založené na jasne vymedzených prahových hodnotách rizika, objektívnych a overiteľných kritériách a predchádzajúcich posúdeniach a mali by podliehať nepretržitému monitorovaniu a skúmaniu;</w:t>
      </w:r>
    </w:p>
    <w:p w:rsidR="003A72B0" w:rsidRPr="002A0F1F" w:rsidP="003A72B0" w14:paraId="712B4816" w14:textId="77777777">
      <w:pPr>
        <w:pStyle w:val="NormalHanging12a"/>
        <w:rPr>
          <w:bCs/>
        </w:rPr>
      </w:pPr>
      <w:r w:rsidRPr="002A0F1F">
        <w:t>36.</w:t>
      </w:r>
      <w:r w:rsidRPr="002A0F1F">
        <w:tab/>
        <w:t xml:space="preserve">zdôrazňuje, ako navrhla Komisia v spoločnom oznámení z 3. decembra 2025, že existujúce nástroje EÚ určené na riešenie štrukturálnych zraniteľností, narušení trhu a netrhového správania by sa mali v prípade potreby zmodernizovať a uplatňovať strategickejšie a rozhodnejšie a že roztrieštené, váhavé alebo nejednotné používanie takýchto nástrojov oslabuje ich účinnosť, a to aj ich odrádzajúci účinok; naliehavo vyzýva Komisiu, aby skrátila lehoty pre vyšetrovania v oblasti ochrany obchodu a nasledovala príklad viacerých krajín a vo väčšej miere využívala existujúce ustanovenia o hrozbe ujmy a dočasné opatrenia, ktoré sú právne prípustné, ale </w:t>
      </w:r>
      <w:r w:rsidRPr="002A0F1F">
        <w:t>nedostatočne využívané, s cieľom zabrániť nenapraviteľným škodám pre priemysel EÚ;</w:t>
      </w:r>
    </w:p>
    <w:p w:rsidR="003A72B0" w:rsidRPr="002A0F1F" w:rsidP="003A72B0" w14:paraId="24796DD4" w14:textId="77777777">
      <w:pPr>
        <w:pStyle w:val="NormalHanging12a"/>
        <w:rPr>
          <w:bCs/>
        </w:rPr>
      </w:pPr>
      <w:r w:rsidRPr="002A0F1F">
        <w:t>37.</w:t>
      </w:r>
      <w:r w:rsidRPr="002A0F1F">
        <w:tab/>
        <w:t xml:space="preserve">zdôrazňuje, že hoci hospodársku bezpečnosť nemožno dlhodobo dosiahnuť všeobecnými opatreniami sebestačnosti alebo protekcionizmu, v súčasnosti je naliehavo potrebné prijať cielené opatrenia na zastavenie vlny </w:t>
      </w:r>
      <w:r w:rsidRPr="002A0F1F">
        <w:t>deindustrializácie</w:t>
      </w:r>
      <w:r w:rsidRPr="002A0F1F">
        <w:t xml:space="preserve"> a ochranu strategických odvetví v EÚ pred nekalou súťažou pochádzajúcou z lacného dovozu z tretích krajín v odvetviach, ako sú oceľ, chemikálie, lieky, energia z obnoviteľných zdrojov a environmentálny tovar; vyzýva Komisiu, aby vypracovala akčný plán na ochranu strategických odvetví EÚ, ktoré sú najviac ohrozené nadbytočnou globálnou kapacitou;</w:t>
      </w:r>
    </w:p>
    <w:p w:rsidR="003A72B0" w:rsidRPr="002A0F1F" w:rsidP="003A72B0" w14:paraId="61771EFA" w14:textId="77777777">
      <w:pPr>
        <w:pStyle w:val="NormalHanging12a"/>
        <w:rPr>
          <w:bCs/>
        </w:rPr>
      </w:pPr>
      <w:r w:rsidRPr="002A0F1F">
        <w:t>38.</w:t>
      </w:r>
      <w:r w:rsidRPr="002A0F1F">
        <w:tab/>
        <w:t>domnieva sa, že súčasné rozširovanie priemyselnej kapacity vo viacerých strategických odvetviach v niektorých veľkých ekonomikách tretích krajín, predovšetkým v Číne, predstavuje systémovú konkurenčnú výzvu, ktorú nemožno primerane riešiť prostredníctvom reakcií na jednotlivé odvetvia; domnieva sa, že systémové riziká tohto druhu si vyžadujú systémové reakcie zamerané na štrukturálne podmienky, ktoré vytvárajú nadmerné kapacity v širokom rozsahu, a nie na riadenie ich dôsledkov na jednotlivých trhoch;</w:t>
      </w:r>
    </w:p>
    <w:p w:rsidR="003A72B0" w:rsidRPr="002A0F1F" w:rsidP="003A72B0" w14:paraId="31EC492B" w14:textId="77777777">
      <w:pPr>
        <w:pStyle w:val="NormalHanging12a"/>
        <w:rPr>
          <w:bCs/>
        </w:rPr>
      </w:pPr>
      <w:r w:rsidRPr="002A0F1F">
        <w:t>39.</w:t>
      </w:r>
      <w:r w:rsidRPr="002A0F1F">
        <w:tab/>
        <w:t>víta návrh Komisie zo 7. októbra 2025 na nariadenie, ktorým sa riešia negatívne účinky celosvetovej nadmernej kapacity na trh Únie s oceľou súvisiace s obchodom</w:t>
      </w:r>
      <w:r>
        <w:rPr>
          <w:rStyle w:val="FootnoteReference"/>
          <w:bCs/>
        </w:rPr>
        <w:footnoteReference w:id="12"/>
      </w:r>
      <w:r w:rsidRPr="002A0F1F">
        <w:t>, ako uznanie strategického významu zachovania životaschopného európskeho oceliarskeho odvetvia; zdôrazňuje, že strata európskej výrobnej kapacity ocele by predstavovala nezvratné riziko pre hospodársku bezpečnosť; konštatuje však, že problém nadmernej kapacity sa neobmedzuje len na oceľ a hliník, ale postihuje aj mnohé iné odvetvia, ako sú chemické látky a výrobky z ocele a hliníka; vyjadruje znepokojenie nad tým, že prešetrovania na ochranu obchodu sú príliš pomalé, náročné na zdroje a špecifické pre výrobky na to, aby primerane riešili narušenia v celom hospodárstve spôsobené nadmernou kapacitou; domnieva sa, že EÚ by sa mala vybaviť vhodnými nástrojmi na monitorovanie a riešenie systémovej nadmernej kapacity v celom hodnotovom reťazci;</w:t>
      </w:r>
    </w:p>
    <w:p w:rsidR="003A72B0" w:rsidRPr="002A0F1F" w:rsidP="002A0F1F" w14:paraId="50BFC31F" w14:textId="00052527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Nástroje obchodnej politiky, presadzovanie a odrádzanie</w:t>
      </w:r>
    </w:p>
    <w:p w:rsidR="003A72B0" w:rsidRPr="002A0F1F" w:rsidP="003A72B0" w14:paraId="67AD678F" w14:textId="77777777">
      <w:pPr>
        <w:pStyle w:val="NormalHanging12a"/>
        <w:rPr>
          <w:bCs/>
        </w:rPr>
      </w:pPr>
      <w:r w:rsidRPr="002A0F1F">
        <w:t>40.</w:t>
      </w:r>
      <w:r w:rsidRPr="002A0F1F">
        <w:tab/>
        <w:t>zdôrazňuje, že odrádzanie a konkurencieschopnosť sú oslabené, ak sú opatrenia na presadzovanie pravidiel oneskorené, nekonzistentné alebo vnímané ako neisté; vyzýva preto Komisiu, aby zabezpečila včasné rozhodovanie, jasné aktivačné kritériá a predvídateľné dôsledky, keď sa zistí prítomnosť alebo hrozba rizík pre hospodársku bezpečnosť alebo nekalých praktík;</w:t>
      </w:r>
    </w:p>
    <w:p w:rsidR="003A72B0" w:rsidRPr="002A0F1F" w:rsidP="003A72B0" w14:paraId="026AB6FD" w14:textId="77777777">
      <w:pPr>
        <w:pStyle w:val="NormalHanging12a"/>
        <w:rPr>
          <w:bCs/>
        </w:rPr>
      </w:pPr>
      <w:r w:rsidRPr="002A0F1F">
        <w:t>41.</w:t>
      </w:r>
      <w:r w:rsidRPr="002A0F1F">
        <w:tab/>
        <w:t xml:space="preserve">zdôrazňuje, že účinné presadzovanie obchodnej politiky EÚ a rozširujúci sa rozmer hospodárskej bezpečnosti si vyžadujú primerané administratívne a technické zdroje; vyzýva Komisiu, aby zabezpečila, že jej Generálne riaditeľstvo pre obchod a ekonomickú bezpečnosť bude mať dostatok personálu, odborných znalostí a zdrojov na účinné presadzovanie nástrojov na ochranu obchodu a vykonávanie stratégie hospodárskej bezpečnosti EÚ; zdôrazňuje, že v súčasnom </w:t>
      </w:r>
      <w:r w:rsidRPr="002A0F1F">
        <w:t>geoekonomickom</w:t>
      </w:r>
      <w:r w:rsidRPr="002A0F1F">
        <w:t xml:space="preserve"> kontexte by sa mali posilniť schopnosti EÚ v oblasti hospodárskej bezpečnosti;</w:t>
      </w:r>
    </w:p>
    <w:p w:rsidR="003A72B0" w:rsidRPr="002A0F1F" w:rsidP="003A72B0" w14:paraId="52FAB9D0" w14:textId="77777777">
      <w:pPr>
        <w:pStyle w:val="NormalHanging12a"/>
        <w:rPr>
          <w:bCs/>
        </w:rPr>
      </w:pPr>
      <w:r w:rsidRPr="002A0F1F">
        <w:t>42.</w:t>
      </w:r>
      <w:r w:rsidRPr="002A0F1F">
        <w:tab/>
        <w:t xml:space="preserve">zdôrazňuje, že systematické presadzovanie súčasných obchodných pravidiel je primárnou a primeranou reakciou EÚ na porušovanie a predpokladom každej </w:t>
      </w:r>
      <w:r w:rsidRPr="002A0F1F">
        <w:t>dôveryhodnej stratégie hospodárskej bezpečnosti; vyjadruje však poľutovanie nad tým, že presadzovanie súčasných pravidiel nepostačuje na úplné vyriešenie tohto problému; vyzýva preto Komisiu, aby zaviedla vyššie antidumpingové clá podobné tým, ktoré uplatňujú porovnateľní partneri, s cieľom bojovať proti presmerovaniu obchodu a dumpingu na trhu EÚ; ďalej vyzýva Komisiu, aby do výpočtu dumpingového rozpätia vývozcov z tretích krajín zahrnula environmentálne, energetické a pracovné náklady a aby upustila od pravidla nižšieho cla, ktoré Svetová obchodná organizácia (WTO) nevyžaduje;</w:t>
      </w:r>
    </w:p>
    <w:p w:rsidR="003A72B0" w:rsidRPr="002A0F1F" w:rsidP="003A72B0" w14:paraId="77B7395A" w14:textId="77777777">
      <w:pPr>
        <w:pStyle w:val="NormalHanging12a"/>
        <w:rPr>
          <w:bCs/>
        </w:rPr>
      </w:pPr>
      <w:r w:rsidRPr="002A0F1F">
        <w:t>43.</w:t>
      </w:r>
      <w:r w:rsidRPr="002A0F1F">
        <w:tab/>
        <w:t>konštatuje, že antidumpingové a </w:t>
      </w:r>
      <w:r w:rsidRPr="002A0F1F">
        <w:t>antisubvenčné</w:t>
      </w:r>
      <w:r w:rsidRPr="002A0F1F">
        <w:t xml:space="preserve"> konania sú príliš úzko zamerané, príliš náročné na zdroje a príliš pomalé na to, aby riešili rozsah a štrukturálnu povahu konkurenčných výziev a nadmernej kapacity, ktorým v súčasnosti čelí priemysel EÚ;</w:t>
      </w:r>
    </w:p>
    <w:p w:rsidR="003A72B0" w:rsidRPr="002A0F1F" w:rsidP="003A72B0" w14:paraId="4B202BE7" w14:textId="77777777">
      <w:pPr>
        <w:pStyle w:val="NormalHanging12a"/>
        <w:rPr>
          <w:bCs/>
        </w:rPr>
      </w:pPr>
      <w:r w:rsidRPr="002A0F1F">
        <w:t>44.</w:t>
      </w:r>
      <w:r w:rsidRPr="002A0F1F">
        <w:tab/>
        <w:t>zdôrazňuje, že ciele EÚ v oblasti odolnosti, ktoré zahŕňajú schopnosť riadiť ekologické, hospodárske a sociálne transformácie udržateľným, spravodlivým a demokratickým spôsobom, ako aj ochranu zdravia ľudí, zvierat a rastlín a ochranu prírodných zdrojov, sú pevne zakotvené v primárnom a sekundárnom práve EÚ; domnieva sa, že tento právny rámec poskytuje pevný a do značnej miery nevyužitý základ pre uplatnenie všeobecných výnimiek stanovených v článku XX Všeobecnej dohody o clách a obchode; vyzýva Komisiu, aby vo väčšej miere a systematickejšie využívala výnimky podľa článku XX v prípadoch, keď sú opatrenia EÚ, ktoré sledujú tieto legitímne politické ciele, spochybňované v rámci WTO;</w:t>
      </w:r>
    </w:p>
    <w:p w:rsidR="003A72B0" w:rsidRPr="002A0F1F" w:rsidP="002A0F1F" w14:paraId="2C4120A6" w14:textId="77777777">
      <w:pPr>
        <w:spacing w:after="240"/>
        <w:ind w:left="567" w:hanging="567"/>
        <w:rPr>
          <w:bCs/>
        </w:rPr>
      </w:pPr>
      <w:r w:rsidRPr="002A0F1F">
        <w:t>45.</w:t>
      </w:r>
      <w:r w:rsidRPr="002A0F1F">
        <w:tab/>
        <w:t>vyzýva Komisiu, aby navrhla zmeny existujúcich nástrojov s cieľom umožniť aktívnejšie, strategickejšie a koordinovanejšie využívanie a aby navrhla nové nástroje, ak sa zistí jasná a preukázateľná medzera v účinnosti existujúcich nástrojov EÚ; vyzýva na zefektívnenie existujúcich a budúcich právnych predpisov a iniciatív týkajúcich sa hospodárskej bezpečnosti;</w:t>
      </w:r>
    </w:p>
    <w:p w:rsidR="003A72B0" w:rsidRPr="002A0F1F" w:rsidP="003A72B0" w14:paraId="598E5113" w14:textId="77777777">
      <w:pPr>
        <w:pStyle w:val="NormalHanging12a"/>
        <w:rPr>
          <w:bCs/>
        </w:rPr>
      </w:pPr>
      <w:r w:rsidRPr="002A0F1F">
        <w:t>46.</w:t>
      </w:r>
      <w:r w:rsidRPr="002A0F1F">
        <w:tab/>
        <w:t xml:space="preserve">zdôrazňuje, že dôveryhodnosť reakcie EÚ na hospodársky nátlak závisí predovšetkým od jej ochoty včas identifikovať a formálne charakterizovať donucovacie postupy, a teda od začatia procesu, ktorý je základom odrádzania aj vyjednávania; považuje nástroj proti nátlaku za najvhodnejší nástroj na využitie silných stránok EÚ v tejto oblasti; zdôrazňuje, že tento nástroj by sa mal použiť v prípade nátlaku alebo hrozieb nátlaku a že by sa mali preskúmať všetky možnosti </w:t>
      </w:r>
      <w:r w:rsidRPr="002A0F1F">
        <w:t>deeskalácie</w:t>
      </w:r>
      <w:r w:rsidRPr="002A0F1F">
        <w:t>, pričom protiopatrenia sa uplatnia až v krajnom prípade;</w:t>
      </w:r>
    </w:p>
    <w:p w:rsidR="003A72B0" w:rsidRPr="002A0F1F" w:rsidP="003A72B0" w14:paraId="43C93EC3" w14:textId="77777777">
      <w:pPr>
        <w:pStyle w:val="NormalHanging12a"/>
        <w:rPr>
          <w:bCs/>
        </w:rPr>
      </w:pPr>
      <w:r w:rsidRPr="002A0F1F">
        <w:t>47.</w:t>
      </w:r>
      <w:r w:rsidRPr="002A0F1F">
        <w:tab/>
        <w:t>vyzýva Komisiu, aby urýchlene posilnila kapacitu EÚ týkajúcu sa odrádzania; naliehavo vyzýva Komisiu, aby vypracovala proaktívnu stratégiu reakcie na hrozby zamerané na hospodársku suverenitu EÚ vrátane jej základnej kritickej infraštruktúry; zdôrazňuje, že takáto stratégia musí dokázať rýchlo a účinne odradiť zahraničné subjekty od konania na základe svojich hrozieb, a to využitím celého arzenálu protiopatrení EÚ;</w:t>
      </w:r>
    </w:p>
    <w:p w:rsidR="003A72B0" w:rsidRPr="002A0F1F" w:rsidP="003A72B0" w14:paraId="1A799828" w14:textId="77777777">
      <w:pPr>
        <w:pStyle w:val="NormalHanging12a"/>
        <w:rPr>
          <w:bCs/>
        </w:rPr>
      </w:pPr>
      <w:r w:rsidRPr="002A0F1F">
        <w:t>48.</w:t>
      </w:r>
      <w:r w:rsidRPr="002A0F1F">
        <w:tab/>
        <w:t xml:space="preserve">zdôrazňuje, že ak presadzovanie pravidiel a angažovanosť nevedú k zmene správania, reakcia EÚ by sa mala postupne, primerane a vratne stupňovať, čo umožní kontrolovane zvýšiť tlak a zároveň zachovať právnu istotu a dôveryhodné možnosti </w:t>
      </w:r>
      <w:r w:rsidRPr="002A0F1F">
        <w:t>deeskalácie</w:t>
      </w:r>
      <w:r w:rsidRPr="002A0F1F">
        <w:t>; naliehavo vyzýva Komisiu, aby v tejto súvislosti reagovala rozhodnejšie, a pripomína, že opatrenia, ktoré nezmenia škodlivé a nátlakové správanie, môžu narušiť dôveryhodnosť a vplyv obchodnej politiky EÚ, čím by vznikli vysoké počiatočné politické náklady na zásah, ale bez obnovenia rovnakých podmienok;</w:t>
      </w:r>
    </w:p>
    <w:p w:rsidR="003A72B0" w:rsidRPr="002A0F1F" w:rsidP="003A72B0" w14:paraId="45CEFDCA" w14:textId="77777777">
      <w:pPr>
        <w:pStyle w:val="NormalHanging12a"/>
        <w:rPr>
          <w:bCs/>
        </w:rPr>
      </w:pPr>
      <w:r w:rsidRPr="002A0F1F">
        <w:t>49.</w:t>
      </w:r>
      <w:r w:rsidRPr="002A0F1F">
        <w:tab/>
        <w:t>vyzýva Komisiu, aby zabezpečila, že uplatňovanie nástrojov na presadzovanie práva, ochranu obchodu a boj proti nátlaku sa bude koordinovať v rámci koherentného operačného rámca v koordinácii s členskými štátmi a hospodárskymi subjektmi; ďalej vyzýva Komisiu, aby preskúmala možnosť vypracovať mechanizmus rozdelenia záťaže na úrovni EÚ, ktorý by pomohol rozdeliť náklady na vnútroštátne reakcie na hospodársky nátlak, čím by sa zabezpečila politická súdržnosť a hospodárska odolnosť v situácii stupňujúceho sa obchodného napätia;</w:t>
      </w:r>
    </w:p>
    <w:p w:rsidR="003A72B0" w:rsidRPr="002A0F1F" w:rsidP="003A72B0" w14:paraId="30EAFE42" w14:textId="77777777">
      <w:pPr>
        <w:pStyle w:val="NormalHanging12a"/>
        <w:rPr>
          <w:bCs/>
        </w:rPr>
      </w:pPr>
      <w:r w:rsidRPr="002A0F1F">
        <w:t>50.</w:t>
      </w:r>
      <w:r w:rsidRPr="002A0F1F">
        <w:tab/>
        <w:t>zdôrazňuje, že schopnosť európskeho verejného financovania je jednou z hlavných silných stránok EÚ; zastáva názor, že žiadne verejné prostriedky EÚ by sa nemali vynakladať, pokiaľ sa tým preukázateľne neposilní suverenita a odolnosť EÚ; vyzýva Komisiu, aby využila túto silnú stránku a vytvorila nástroj na pozastavenie financovania, ktorý by umožnil rýchlo obmedziť prístup k finančným prostriedkom EÚ v situáciách, keď tretie krajiny prijmú opatrenia, ktoré ohrozujú hospodársku bezpečnosť EÚ;</w:t>
      </w:r>
    </w:p>
    <w:p w:rsidR="003A72B0" w:rsidRPr="002A0F1F" w:rsidP="003A72B0" w14:paraId="4228F594" w14:textId="77777777">
      <w:pPr>
        <w:pStyle w:val="NormalHanging12a"/>
        <w:rPr>
          <w:bCs/>
        </w:rPr>
      </w:pPr>
      <w:r w:rsidRPr="002A0F1F">
        <w:t>51.</w:t>
      </w:r>
      <w:r w:rsidRPr="002A0F1F">
        <w:tab/>
        <w:t>zdôrazňuje, že je potrebné zabezpečiť bezpečný a nepretržitý prístup ku kritickým komponentom, surovinám a základným technológiám používaným vo výrobe súvisiacej s obranou; zdôrazňuje, že zraniteľnosť dodávateľského reťazca v odvetviach s dvojakým použitím môže priamo ovplyvniť operačnú pripravenosť a hospodársku odolnosť EÚ;</w:t>
      </w:r>
    </w:p>
    <w:p w:rsidR="003A72B0" w:rsidRPr="002A0F1F" w:rsidP="003A72B0" w14:paraId="3862132C" w14:textId="77777777">
      <w:pPr>
        <w:pStyle w:val="NormalHanging12a"/>
        <w:rPr>
          <w:bCs/>
        </w:rPr>
      </w:pPr>
      <w:r w:rsidRPr="002A0F1F">
        <w:t>52.</w:t>
      </w:r>
      <w:r w:rsidRPr="002A0F1F">
        <w:tab/>
        <w:t>zdôrazňuje, že rastúce prepojenie medzi civilnými inováciami a obrannými aplikáciami si vyžaduje spoločný prístup k preverovaniu, kontrole vývozu a dohľadu nad investíciami v odvetviach s dvojakým použitím, aby sa zabránilo neúmyselnému transferu citlivých technológií a aby sa zároveň zachovala konkurencieschopnosť EÚ;</w:t>
      </w:r>
    </w:p>
    <w:p w:rsidR="003A72B0" w:rsidRPr="002A0F1F" w:rsidP="003A72B0" w14:paraId="258641BF" w14:textId="77777777">
      <w:pPr>
        <w:pStyle w:val="NormalHanging12a"/>
        <w:rPr>
          <w:bCs/>
        </w:rPr>
      </w:pPr>
      <w:r w:rsidRPr="002A0F1F">
        <w:t>53.</w:t>
      </w:r>
      <w:r w:rsidRPr="002A0F1F">
        <w:tab/>
        <w:t>zdôrazňuje štrukturálne obmedzenia rámca EÚ pre kontrolu vývozu položiek s dvojakým použitím, najmä jeho závislosť od pomaly sa vyvíjajúcich multilaterálnych režimov, jeho obmedzenú schopnosť predvídať a reagovať na nové a rýchlo sa vyvíjajúce technológie a jeho roztrieštené vykonávanie v členských štátoch;</w:t>
      </w:r>
    </w:p>
    <w:p w:rsidR="003A72B0" w:rsidRPr="002A0F1F" w:rsidP="003A72B0" w14:paraId="2A951028" w14:textId="77777777">
      <w:pPr>
        <w:pStyle w:val="NormalHanging12a"/>
        <w:rPr>
          <w:bCs/>
        </w:rPr>
      </w:pPr>
      <w:r w:rsidRPr="002A0F1F">
        <w:t>54.</w:t>
      </w:r>
      <w:r w:rsidRPr="002A0F1F">
        <w:tab/>
        <w:t xml:space="preserve">domnieva sa, že súčasný rámec kontroly vývozu je zmesou rôznych vnútroštátnych politík a opatrení na úrovni členských štátov, ktoré nie sú dostatočne účinné, konzistentné a rýchle, aby reagovali na súčasný </w:t>
      </w:r>
      <w:r w:rsidRPr="002A0F1F">
        <w:t>geoekonomický</w:t>
      </w:r>
      <w:r w:rsidRPr="002A0F1F">
        <w:t xml:space="preserve"> kontext; zdôrazňuje, že reforma existujúcich vnútroštátnych politík kontroly vývozu a ich prekonanie je naliehavo potrebné na zaistenie hospodárskej bezpečnosti EÚ; zdôrazňuje, že je potrebné vytvoriť harmonizovaný režim kontroly vývozu na úrovni EÚ; zdôrazňuje, že zosúladenie kontroly vývozu s medzinárodnými partnermi by výrazne posilnilo hospodársku bezpečnosť EÚ;</w:t>
      </w:r>
    </w:p>
    <w:p w:rsidR="003A72B0" w:rsidRPr="002A0F1F" w:rsidP="003A72B0" w14:paraId="3399AB38" w14:textId="06E203FF">
      <w:pPr>
        <w:pStyle w:val="NormalHanging12a"/>
        <w:rPr>
          <w:bCs/>
        </w:rPr>
      </w:pPr>
      <w:r w:rsidRPr="002A0F1F">
        <w:t>55.</w:t>
      </w:r>
      <w:r w:rsidRPr="002A0F1F">
        <w:tab/>
        <w:t xml:space="preserve">víta nedávne aktualizácie zoznamu EÚ na kontrolu vývozu položiek s dvojakým použitím v súlade so zoznamom dohodnutým pod záštitou </w:t>
      </w:r>
      <w:r w:rsidRPr="002A0F1F">
        <w:t>Wassenaarského</w:t>
      </w:r>
      <w:r w:rsidRPr="002A0F1F">
        <w:t xml:space="preserve"> usporiadania, hoci Rusko toto usporiadanie vetovalo; vyzýva na urýchlenú revíziu nariadenia (EÚ) 2021/821</w:t>
      </w:r>
      <w:r>
        <w:rPr>
          <w:rStyle w:val="FootnoteReference"/>
          <w:bCs/>
        </w:rPr>
        <w:footnoteReference w:id="13"/>
      </w:r>
      <w:r w:rsidRPr="002A0F1F">
        <w:t xml:space="preserve"> s cieľom umožniť EÚ vystupovať jednotne v otázke kontroly vývozu a zaviesť jednotné kontroly v celej EÚ pri zachovaní medzinárodného </w:t>
      </w:r>
      <w:r w:rsidRPr="002A0F1F">
        <w:t>zosúladenia a právnej istoty pre hospodárske subjekty; v tejto súvislosti vyzýva na zriadenie konsolidovanej jednotky spoločnej hospodárskej bezpečnostnej politiky v rámci Komisie, ktorá by sa zaoberala vyvíjajúcimi sa výzvami v oblasti hospodárskej bezpečnosti, ktoré predstavuje pretrvávajúce obchádzanie vývozných kontrol a sankcií EÚ zo strany tretích krajín; konštatuje, že túto jednotku by mala podporovať spravodajská komunita členských štátov so zlepšeným prístupom k spravodajským informáciám v reálnom čase o sieťach na obchádzanie kontrol a sankcií a s možnosťami výmeny spravodajských informácií v reálnom čase s priemyselným odvetvím s cieľom identifikovať nové taktiky obchádzania kontrol a sankcií; ďalej konštatuje, že by mala byť vybavená právomocou presadzovať kontroly vývozu a zdrojmi na vývoj technológií, analýzu a medzinárodnú koordináciu, ako aj právomocou zaviesť spoľahlivé systémy overovania a technológie sledovania dodávateľského reťazca;</w:t>
      </w:r>
    </w:p>
    <w:p w:rsidR="003A72B0" w:rsidRPr="002A0F1F" w:rsidP="003A72B0" w14:paraId="294A5145" w14:textId="77777777">
      <w:pPr>
        <w:pStyle w:val="NormalHanging12a"/>
        <w:rPr>
          <w:bCs/>
        </w:rPr>
      </w:pPr>
      <w:r w:rsidRPr="002A0F1F">
        <w:t>56.</w:t>
      </w:r>
      <w:r w:rsidRPr="002A0F1F">
        <w:tab/>
        <w:t>zdôrazňuje, že spoločná bezpečnostná a obranná politika EÚ by mala zabezpečiť súlad s cieľmi hospodárskej bezpečnosti EÚ; zdôrazňuje, že strategické závislosti, zraniteľné miesta dodávateľského reťazca a donucovacie hospodárske postupy majú čoraz väčší priamy vplyv na bezpečnosť a ovplyvňujú kapacitu obrannej technologickej a priemyselnej základne EÚ; vyzýva na systematické začleňovanie aspektov hospodárskej bezpečnosti do strategických politík EÚ, obranného plánovania a mechanizmov reakcie na krízy s cieľom posilniť pripravenosť a odolnosť EÚ v čoraz spornejšom geopolitickom prostredí;</w:t>
      </w:r>
    </w:p>
    <w:p w:rsidR="003A72B0" w:rsidRPr="002A0F1F" w:rsidP="002A0F1F" w14:paraId="231C9A50" w14:textId="606F069C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Investície, kapitálové toky a strategická expozícia</w:t>
      </w:r>
    </w:p>
    <w:p w:rsidR="003A72B0" w:rsidRPr="002A0F1F" w:rsidP="003A72B0" w14:paraId="1B58A52A" w14:textId="77777777">
      <w:pPr>
        <w:pStyle w:val="NormalHanging12a"/>
        <w:rPr>
          <w:bCs/>
        </w:rPr>
      </w:pPr>
      <w:r w:rsidRPr="002A0F1F">
        <w:t>57.</w:t>
      </w:r>
      <w:r w:rsidRPr="002A0F1F">
        <w:tab/>
        <w:t>víta prebiehajúcu legislatívnu prácu na akte na urýchlenie rozvoja priemyslu a zdôrazňuje jeho potenciál prispievať k plneniu cieľov hospodárskej bezpečnosti EÚ; domnieva sa, že akt by mohol významne prispieť k zníženiu strategických závislostí a zvýšeniu odolnosti EÚ voči vonkajším otrasom a nátlakovým praktikám;</w:t>
      </w:r>
    </w:p>
    <w:p w:rsidR="003A72B0" w:rsidRPr="002A0F1F" w:rsidP="003A72B0" w14:paraId="32C4F548" w14:textId="77777777">
      <w:pPr>
        <w:pStyle w:val="NormalHanging12a"/>
        <w:rPr>
          <w:bCs/>
        </w:rPr>
      </w:pPr>
      <w:r w:rsidRPr="002A0F1F">
        <w:t>58.</w:t>
      </w:r>
      <w:r w:rsidRPr="002A0F1F">
        <w:tab/>
        <w:t>zdôrazňuje, že programy financované z prostriedkov EÚ v strategicky citlivých odvetviach by mali byť navrhnuté a realizované tak, aby prinášali prospech predovšetkým investíciám, ktoré posilňujú európsku priemyselnú kapacitu, technologický rozvoj a tvorbu hodnôt v EÚ; zdôrazňuje, že prístup k financovaniu z prostriedkov EÚ v týchto odvetviach by mal podliehať primeraným zárukám a podmienkam, aby sa zabezpečilo, že príjemcovia nebudú predstavovať riziko pre hospodársku bezpečnosť a že financované činnosti budú účinne prispievať k dlhodobej odolnosti a strategickým záujmom EÚ;</w:t>
      </w:r>
    </w:p>
    <w:p w:rsidR="003A72B0" w:rsidRPr="002A0F1F" w:rsidP="003A72B0" w14:paraId="49028766" w14:textId="77777777">
      <w:pPr>
        <w:pStyle w:val="NormalHanging12a"/>
        <w:rPr>
          <w:bCs/>
        </w:rPr>
      </w:pPr>
      <w:r w:rsidRPr="002A0F1F">
        <w:t>59.</w:t>
      </w:r>
      <w:r w:rsidRPr="002A0F1F">
        <w:tab/>
        <w:t xml:space="preserve">zdôrazňuje, že sú potrebné aj opatrenia stimulujúce výrobu v EÚ, aby sa EÚ stala </w:t>
      </w:r>
      <w:r w:rsidRPr="002A0F1F">
        <w:t>nevyhnutnejšou</w:t>
      </w:r>
      <w:r w:rsidRPr="002A0F1F">
        <w:t xml:space="preserve"> v kritických dodávateľských reťazcoch a úzkych miestach; víta požiadavky na odolnosť stanovené v akte o emisne neutrálnom priemysle</w:t>
      </w:r>
      <w:r>
        <w:rPr>
          <w:rStyle w:val="FootnoteReference"/>
          <w:bCs/>
        </w:rPr>
        <w:footnoteReference w:id="14"/>
      </w:r>
      <w:r w:rsidRPr="002A0F1F">
        <w:t xml:space="preserve"> a zdôrazňuje, že je dôležité kombinovať ich s kvótami od spoľahlivých dodávateľov, a to aj s cieľom stimulovať alternatívnych dodávateľov so sídlom v EÚ a dosiahnuť výrobné ciele stanovené v akte o emisne neutrálnom priemysle;</w:t>
      </w:r>
    </w:p>
    <w:p w:rsidR="003A72B0" w:rsidRPr="002A0F1F" w:rsidP="003A72B0" w14:paraId="01112F65" w14:textId="77777777">
      <w:pPr>
        <w:pStyle w:val="NormalHanging12a"/>
        <w:rPr>
          <w:bCs/>
        </w:rPr>
      </w:pPr>
      <w:r w:rsidRPr="002A0F1F">
        <w:t>60.</w:t>
      </w:r>
      <w:r w:rsidRPr="002A0F1F">
        <w:tab/>
        <w:t xml:space="preserve">zdôrazňuje, že rozhodnutia o verejnom obstarávaní v strategických odvetviach by sa </w:t>
      </w:r>
      <w:r w:rsidRPr="002A0F1F">
        <w:t>mali využívať ako páka na posilnenie priemyselnej kapacity, bezpečnosti dodávok a hospodárskej bezpečnosti EÚ; zdôrazňuje, že prístup k verejným zákazkám v takýchto odvetviach a k súvisiacej podpore EÚ by mal podliehať jasným podmienkam oprávnenosti, ktoré zabezpečia, že zúčastnené subjekty nebudú predstavovať riziko pre hospodársku bezpečnosť;</w:t>
      </w:r>
    </w:p>
    <w:p w:rsidR="003A72B0" w:rsidRPr="002A0F1F" w:rsidP="003A72B0" w14:paraId="0B53F948" w14:textId="77777777">
      <w:pPr>
        <w:pStyle w:val="NormalHanging12a"/>
        <w:rPr>
          <w:bCs/>
        </w:rPr>
      </w:pPr>
      <w:r w:rsidRPr="002A0F1F">
        <w:t>61.</w:t>
      </w:r>
      <w:r w:rsidRPr="002A0F1F">
        <w:tab/>
        <w:t>zdôrazňuje, že je potrebné riešiť nedostatočný recipročný prístup vo verejnom obstarávaní v kľúčových odvetviach; vyzýva na účinné využívanie nástrojov EÚ vo vzťahu k tretím krajinám s cieľom reagovať na reštriktívne alebo diskriminačné opatrenia v oblasti obstarávania na základe zásady rovnakých podmienok;</w:t>
      </w:r>
    </w:p>
    <w:p w:rsidR="003A72B0" w:rsidRPr="002A0F1F" w:rsidP="003A72B0" w14:paraId="2F8EEC7E" w14:textId="77777777">
      <w:pPr>
        <w:pStyle w:val="NormalHanging12a"/>
        <w:rPr>
          <w:bCs/>
        </w:rPr>
      </w:pPr>
      <w:r w:rsidRPr="002A0F1F">
        <w:t>62.</w:t>
      </w:r>
      <w:r w:rsidRPr="002A0F1F">
        <w:tab/>
        <w:t xml:space="preserve">pripomína, že cezhraničné investície a kapitálové toky sú dôležitými hnacími silami rastu, inovácií a konkurencieschopnosti v EÚ; konštatuje, že európske </w:t>
      </w:r>
      <w:r w:rsidRPr="002A0F1F">
        <w:t>scaleupy</w:t>
      </w:r>
      <w:r w:rsidRPr="002A0F1F">
        <w:t xml:space="preserve">, ktoré potrebujú financovanie vo výške viac ako 1 miliarda EUR, sú často nútené opustiť EÚ, aby si zabezpečili kapitál; vyzýva preto Komisiu, aby urýchlene dokončila kapitálovú úniu a aby tento nedostatok finančných prostriedkov pre </w:t>
      </w:r>
      <w:r w:rsidRPr="002A0F1F">
        <w:t>scaleupy</w:t>
      </w:r>
      <w:r w:rsidRPr="002A0F1F">
        <w:t xml:space="preserve"> vyplnil Európsky fond pre konkurencieschopnosť; poznamenáva však, že investície môžu viesť k expozícii, keď sa kontrola, vplyv alebo prístup k citlivým aktívam, technológiám alebo kritickej infraštruktúre sústreďujú v tretích krajinách;</w:t>
      </w:r>
    </w:p>
    <w:p w:rsidR="003A72B0" w:rsidRPr="002A0F1F" w:rsidP="003A72B0" w14:paraId="191358A2" w14:textId="77777777">
      <w:pPr>
        <w:pStyle w:val="NormalHanging12a"/>
        <w:rPr>
          <w:bCs/>
        </w:rPr>
      </w:pPr>
      <w:r w:rsidRPr="002A0F1F">
        <w:t>63.</w:t>
      </w:r>
      <w:r w:rsidRPr="002A0F1F">
        <w:tab/>
        <w:t>zdôrazňuje význam revidovaného nariadenia o preverovaní PZI ako základného nástroja hospodárskej bezpečnosti a požaduje jeho konzistentné, účinné a dôsledné uplatňovanie vo všetkých členských štátoch, a to aj prostredníctvom komplexných vnútroštátnych mechanizmov preverovania, jasných časových harmonogramov a posilnenej spolupráce a výmeny informácií medzi vnútroštátnymi orgánmi a Komisiou, a požaduje prijímanie účinných následných opatrení v prípade zistenia rizík; naliehavo vyzýva Komisiu, aby v plnej miere a aktívne využívala ustanovenia revidovaného nariadenia na to, aby zabezpečila, že zoznam kritických technológií sa bude neustále preskúmavať a pravidelne aktualizovať;</w:t>
      </w:r>
    </w:p>
    <w:p w:rsidR="003A72B0" w:rsidRPr="002A0F1F" w:rsidP="003A72B0" w14:paraId="163BF930" w14:textId="77777777">
      <w:pPr>
        <w:pStyle w:val="NormalHanging12a"/>
        <w:rPr>
          <w:bCs/>
        </w:rPr>
      </w:pPr>
      <w:r w:rsidRPr="002A0F1F">
        <w:t>64.</w:t>
      </w:r>
      <w:r w:rsidRPr="002A0F1F">
        <w:tab/>
        <w:t>vyzýva na súdržnejší a koordinovanejší európsky prístup k preverovaniu investícií, ktorý by bol podporený prísnejším presadzovaním na úrovni EÚ a pevnejšími a jasnejšie vymedzenými podmienkami prístupu na trh; v tejto súvislosti požaduje ďalšie silné mechanizmy preverovania priamych zahraničných investícií s ukazovateľmi hospodárskej bezpečnosti, ako sú spoločné podniky, transfer technológií európskym subjektom, dohody o odbere, v ktorých sa zahraniční investiční partneri zaviažu kúpiť určitý podiel výroby, zamestnávanie pracovníkov z EÚ a integrácia do hodnotových reťazcov EÚ;</w:t>
      </w:r>
    </w:p>
    <w:p w:rsidR="003A72B0" w:rsidRPr="002A0F1F" w:rsidP="003A72B0" w14:paraId="15D3565B" w14:textId="77777777">
      <w:pPr>
        <w:pStyle w:val="NormalHanging12a"/>
        <w:rPr>
          <w:bCs/>
        </w:rPr>
      </w:pPr>
      <w:r w:rsidRPr="002A0F1F">
        <w:t>65.</w:t>
      </w:r>
      <w:r w:rsidRPr="002A0F1F">
        <w:tab/>
        <w:t>vyjadruje hlboké znepokojenie nad zrýchľujúcim sa tempom, akým veľké technologické spoločnosti z krajín mimo EÚ upevňujú svoju trhovú silu v oblasti umelej inteligencie a kvantových technológií; vyzýva Komisiu, aby posúdila, či sú existujúce mechanizmy EÚ primerane vybavené na odhaľovanie, preskúmanie a v prípade potreby zastavenie netradičných transakcií, ako sú dohody o prenájme a udelení licencie (HALO), ktoré narúšajú hospodársku bezpečnosť EÚ v strategicky citlivých odvetviach obchádzaním prahových hodnôt na oznamovanie fúzií a kontroly preverovania priamych zahraničných investícií;</w:t>
      </w:r>
    </w:p>
    <w:p w:rsidR="003A72B0" w:rsidRPr="002A0F1F" w:rsidP="003A72B0" w14:paraId="67A4ADD2" w14:textId="77777777">
      <w:pPr>
        <w:pStyle w:val="NormalHanging12a"/>
        <w:rPr>
          <w:bCs/>
        </w:rPr>
      </w:pPr>
      <w:r w:rsidRPr="002A0F1F">
        <w:t>66.</w:t>
      </w:r>
      <w:r w:rsidRPr="002A0F1F">
        <w:tab/>
        <w:t xml:space="preserve">berie na vedomie skúsenosti Japonska s posilňovaním svojho rámca hospodárskej bezpečnosti po prerušení dodávok vzácnych zemín v roku 2010, čo odhalilo strategické riziká nadmernej závislosti od jediného dodávateľa; ako vzor vyzdvihuje úlohu, ktorú </w:t>
      </w:r>
      <w:r w:rsidRPr="002A0F1F">
        <w:t>zohráva ministerstvo hospodárstva, obchodu a priemyslu tejto krajiny pri koordinácii preverovania investícií, kontrol vývozu a opatrení na zvýšenie odolnosti priemyslu;</w:t>
      </w:r>
    </w:p>
    <w:p w:rsidR="003A72B0" w:rsidRPr="002A0F1F" w:rsidP="003A72B0" w14:paraId="33AD41CC" w14:textId="77777777">
      <w:pPr>
        <w:pStyle w:val="NormalHanging12a"/>
        <w:rPr>
          <w:bCs/>
        </w:rPr>
      </w:pPr>
      <w:r w:rsidRPr="002A0F1F">
        <w:t>67.</w:t>
      </w:r>
      <w:r w:rsidRPr="002A0F1F">
        <w:tab/>
        <w:t>vyzýva EÚ, aby sa poučila z úlohy, ktorú zohráva Výbor pre zahraničné investície v Spojených štátoch amerických pri zabezpečovaní súdržného a koordinovaného prístupu k preverovaniu investícií a ochrane kritických technológií v rôznych agentúrach a inštitúciách;</w:t>
      </w:r>
    </w:p>
    <w:p w:rsidR="003A72B0" w:rsidRPr="002A0F1F" w:rsidP="003A72B0" w14:paraId="18C1EB81" w14:textId="77777777">
      <w:pPr>
        <w:pStyle w:val="NormalHanging12a"/>
        <w:rPr>
          <w:bCs/>
        </w:rPr>
      </w:pPr>
      <w:r w:rsidRPr="002A0F1F">
        <w:t>68.</w:t>
      </w:r>
      <w:r w:rsidRPr="002A0F1F">
        <w:tab/>
        <w:t>upozorňuje, že investície ovplyvňujúce kritickú infraštruktúru si vyžadujú zvýšenú ostražitosť, pretože zmeny vo vlastníctve, riadení alebo prevádzkovej kontrole môžu priamo ovplyvniť bezpečnosť a kontinuitu dodávok, čo sa týka najmä hlavných dopravných a logistických uzlov, ktoré sú rozhodujúce pre zahraničný obchod a vojenskú mobilitu, ako aj infraštruktúry na výrobu, prenos, distribúciu a skladovanie energie; je hlboko znepokojený prehlbujúcou sa závislosťou od vysokorizikových dodávateľov v rámci kritickej infraštruktúry EÚ; prichádza k záveru, že EÚ nahradila svoju závislosť od fosílnych palív svojím dovozom čínskych technológií z vysokorizikových tretích krajín, najmä v oblasti veternej a solárnej energie a batérií, a konštatuje, že tieto technológie sú často vybavené možnosťami diaľkového monitorovania a aktualizácie, čo vytvára podstatne väčšie riziko úniku údajov, narušenia systému alebo diaľkového zásahu do energetických sietí, dopravných systémov a inej kritickej infraštruktúry; domnieva sa, že takéto štrukturálne závislosti vystavujú Európsku úniu hospodárskemu nátlaku a bezpečnostnej zraniteľnosti v čase zvýšenej geopolitickej konkurencie, a naliehavo vyzýva EÚ, aby sa v týchto odvetviach stala autonómnejšou; víta revíziu aktu o kybernetickej bezpečnosti</w:t>
      </w:r>
      <w:r>
        <w:rPr>
          <w:rStyle w:val="FootnoteReference"/>
          <w:bCs/>
        </w:rPr>
        <w:footnoteReference w:id="15"/>
      </w:r>
      <w:r w:rsidRPr="002A0F1F">
        <w:t xml:space="preserve"> ako príležitosť na zabezpečenie toho, že všetci prevádzkovatelia kritickej infraštruktúry nebudú môcť používať systémy s možnosťou diaľkového monitorovania, ktoré vyrobili vysokorizikoví dodávatelia alebo ktoré boli zhotovené pomocou technológie licencovanej od týchto dodávateľov;</w:t>
      </w:r>
    </w:p>
    <w:p w:rsidR="003A72B0" w:rsidRPr="002A0F1F" w:rsidP="003A72B0" w14:paraId="627476C6" w14:textId="77777777">
      <w:pPr>
        <w:pStyle w:val="NormalHanging12a"/>
        <w:rPr>
          <w:bCs/>
        </w:rPr>
      </w:pPr>
      <w:r w:rsidRPr="002A0F1F">
        <w:t>69.</w:t>
      </w:r>
      <w:r w:rsidRPr="002A0F1F">
        <w:tab/>
        <w:t>považuje za nevyhnutné, aby Komisia vykonávala silnejšiu úlohu pri zabezpečovaní hospodárskej bezpečnosti EÚ, ktorá by zodpovedala výlučnej právomoci EÚ v oblasti spoločnej obchodnej politiky podľa článku 207 Zmluvy o fungovaní Európskej únie; v tejto súvislosti poukazuje na nariadenie o zahraničných subvenciách</w:t>
      </w:r>
      <w:r>
        <w:rPr>
          <w:rStyle w:val="FootnoteReference"/>
          <w:bCs/>
        </w:rPr>
        <w:footnoteReference w:id="16"/>
      </w:r>
      <w:r w:rsidRPr="002A0F1F">
        <w:t xml:space="preserve"> ako na silný a účinný nástroj na úrovni EÚ určený na ochranu vnútorného trhu pred narušením a zdôrazňuje jeho významnú odrádzajúcu hodnotu; považuje za kľúčové, aby Komisia bola v konečnom dôsledku zodpovedná za povoľovanie alebo blokovanie priamych zahraničných investícií v EÚ, ak tieto investície predstavujú riziko pre hospodársku bezpečnosť v celej EÚ; upozorňuje, že ponechanie takýchto rozhodnutí na členských štátoch vytvára riziko pretekov o najnižšie ceny, v rámci ktorých konkurencia o prichádzajúce investície vedie jednotlivé členské štáty k schvaľovaniu transakcií, ktoré sú na úkor spoločných záujmov EÚ; vyzýva Komisiu, aby v plnej miere a odhodlane využívala svoje právomoci podľa nariadenia o zahraničných subvenciách, a to aj </w:t>
      </w:r>
      <w:r w:rsidRPr="002A0F1F">
        <w:t xml:space="preserve">prostredníctvom vyšetrovaní </w:t>
      </w:r>
      <w:r w:rsidRPr="002A0F1F">
        <w:rPr>
          <w:i/>
          <w:iCs/>
        </w:rPr>
        <w:t xml:space="preserve">ex </w:t>
      </w:r>
      <w:r w:rsidRPr="002A0F1F">
        <w:rPr>
          <w:i/>
          <w:iCs/>
        </w:rPr>
        <w:t>officio</w:t>
      </w:r>
      <w:r w:rsidRPr="002A0F1F">
        <w:t xml:space="preserve">, na riešenie vznikajúcich praktík obchádzania, ako je tzv. colný </w:t>
      </w:r>
      <w:r w:rsidRPr="002A0F1F">
        <w:t>offshoring</w:t>
      </w:r>
      <w:r w:rsidRPr="002A0F1F">
        <w:t xml:space="preserve">, pri ktorom vývozcovia získavajú alebo zriaďujú výrobné zariadenia v tretích krajinách alebo v rámci EÚ s cieľom získať nový pôvod tovaru, a tým obísť existujúce antidumpingové alebo </w:t>
      </w:r>
      <w:r w:rsidRPr="002A0F1F">
        <w:t>antisubvenčné</w:t>
      </w:r>
      <w:r w:rsidRPr="002A0F1F">
        <w:t xml:space="preserve"> clá EÚ, alebo získať monopolné postavenie na trhu EÚ;</w:t>
      </w:r>
    </w:p>
    <w:p w:rsidR="003A72B0" w:rsidRPr="002A0F1F" w:rsidP="003A72B0" w14:paraId="28FD6BA3" w14:textId="77777777">
      <w:pPr>
        <w:pStyle w:val="NormalHanging12a"/>
        <w:rPr>
          <w:bCs/>
        </w:rPr>
      </w:pPr>
      <w:r w:rsidRPr="002A0F1F">
        <w:t>70.</w:t>
      </w:r>
      <w:r w:rsidRPr="002A0F1F">
        <w:tab/>
        <w:t xml:space="preserve">zdôrazňuje, že riziká pre hospodársku bezpečnosť vznikajú aj vtedy, keď odchádzajúce investície, strategické partnerstvá alebo reštrukturalizácia podnikov umožňujú transfer, vývoj alebo rozširovanie citlivých technológií, výrobných kapacít alebo technického know-how mimo EÚ, a to aj prostredníctvom investícií na zelenej lúke, spoločných podnikov, licenčných dohôd, zmluvnej výroby alebo premiestnenia kľúčových výskumných a vývojových a výrobných činností; upozorňuje, že takéto transfery môžu oslabiť dlhodobú priemyselnú základňu EÚ alebo jej vedúce postavenie v oblasti technológií; </w:t>
      </w:r>
    </w:p>
    <w:p w:rsidR="003A72B0" w:rsidRPr="002A0F1F" w:rsidP="003A72B0" w14:paraId="1D1720A9" w14:textId="77777777">
      <w:pPr>
        <w:pStyle w:val="NormalHanging12a"/>
        <w:rPr>
          <w:bCs/>
        </w:rPr>
      </w:pPr>
      <w:r w:rsidRPr="002A0F1F">
        <w:t>71.</w:t>
      </w:r>
      <w:r w:rsidRPr="002A0F1F">
        <w:tab/>
        <w:t>berie na vedomie odporúčania Komisie týkajúce sa odchádzajúcich investícií a zdôrazňuje, že je potrebné na úrovni EÚ dosiahnuť spoločné chápanie potenciálnych rizík vyplývajúcich z investícií, partnerstiev alebo reštrukturalizácie podnikov; zdôrazňuje význam cieleného a primeraného prístupu založeného na rizikách a faktoch, ktorý sa obmedzuje na jasne identifikované a presne vymedzené riziká, aby sa predišlo neúmyselným vedľajším účinkom na legitímne hospodárske činnosti a aby sa zaistilo, že sa nebude narúšať konkurencieschopnosť, inovačná kapacita a legitímna globálna hospodárska angažovanosť EÚ; vyzýva Komisiu, aby čo najskôr navrhla rámec na preverovanie odchádzajúcich investícií zameraný na riešenie rizík úniku kritických technológií;</w:t>
      </w:r>
    </w:p>
    <w:p w:rsidR="003A72B0" w:rsidRPr="002A0F1F" w:rsidP="002A0F1F" w14:paraId="1B4CC212" w14:textId="77777777">
      <w:pPr>
        <w:spacing w:after="240"/>
        <w:ind w:left="567" w:hanging="567"/>
        <w:rPr>
          <w:bCs/>
        </w:rPr>
      </w:pPr>
      <w:r w:rsidRPr="002A0F1F">
        <w:t>72.</w:t>
      </w:r>
      <w:r w:rsidRPr="002A0F1F">
        <w:tab/>
        <w:t>zdôrazňuje, že EÚ si na zaistenie svojej hospodárskej bezpečnosti musí zachovať účinnú kontrolu, rozhodovaciu kapacitu a operačnú autonómiu alebo strategickú nevyhnutnosť v oblasti kritických technológií, najmä čo sa týka pokročilých polovodičov a mikroelektroniky, cloudovej a dátovej infraštruktúry, umelej inteligencie a vysokovýkonnej výpočtovej techniky, kvantových technológií, pokročilej robotiky, vesmírnych a satelitných systémov, kybernetickej bezpečnosti a šifrovacích technológií a kľúčových technológií súvisiacich s energetikou, keďže ide o základné piliere technologickej a hospodárskej suverenity Európy; vyzýva Komisiu, aby zabezpečila, že riziká súvisiace s investíciami v týchto oblastiach sa budú cielene a dôverne posudzovať a riešiť;</w:t>
      </w:r>
    </w:p>
    <w:p w:rsidR="003A72B0" w:rsidRPr="002A0F1F" w:rsidP="003A72B0" w14:paraId="6ABDFBBC" w14:textId="77777777">
      <w:pPr>
        <w:pStyle w:val="NormalHanging12a"/>
        <w:rPr>
          <w:bCs/>
        </w:rPr>
      </w:pPr>
      <w:r w:rsidRPr="002A0F1F">
        <w:t>73.</w:t>
      </w:r>
      <w:r w:rsidRPr="002A0F1F">
        <w:tab/>
        <w:t>zdôrazňuje, že EÚ by sa mala plne zúčastňovať na vznikajúcich koordinačných rámcoch pre polovodiče; zdôrazňuje, že EÚ je v súčasnosti v takýchto dohodách nedostatočne zastúpená, a to napriek strategickej úlohe niektorých spoločností EÚ v globálnych dodávateľských reťazcoch polovodičov;</w:t>
      </w:r>
    </w:p>
    <w:p w:rsidR="003A72B0" w:rsidRPr="002A0F1F" w:rsidP="003A72B0" w14:paraId="156F5B47" w14:textId="77777777">
      <w:pPr>
        <w:pStyle w:val="NormalHanging12a"/>
        <w:rPr>
          <w:bCs/>
        </w:rPr>
      </w:pPr>
      <w:r w:rsidRPr="002A0F1F">
        <w:t>74.</w:t>
      </w:r>
      <w:r w:rsidRPr="002A0F1F">
        <w:tab/>
        <w:t xml:space="preserve">zdôrazňuje, že v strategicky citlivých odvetviach predstavuje duševné vlastníctvo a priemyselné know-how kľúčové strategické aktíva, ktorých kontrola a umiestnenie má pre hospodársku bezpečnosť EÚ zásadný význam; zdôrazňuje, že verejná podpora, rozhodnutia o verejnom obstarávaní a povolenia na zahraničné investície by mali zahŕňať záruky, ktorými sa zabezpečí, aby kritické duševné vlastníctvo vytvorené alebo vyvinuté v EÚ zostalo účinne ukotvené v EÚ a neprenášalo sa mimo nej spôsobmi, ktoré oslabujú vedúce postavenie EÚ v oblasti technológií a jej priemyselnú kapacitu; </w:t>
      </w:r>
    </w:p>
    <w:p w:rsidR="003A72B0" w:rsidRPr="002A0F1F" w:rsidP="003A72B0" w14:paraId="6C0D6F8F" w14:textId="77777777">
      <w:pPr>
        <w:pStyle w:val="NormalHanging12a"/>
        <w:rPr>
          <w:bCs/>
        </w:rPr>
      </w:pPr>
      <w:r w:rsidRPr="002A0F1F">
        <w:t>75.</w:t>
      </w:r>
      <w:r w:rsidRPr="002A0F1F">
        <w:tab/>
        <w:t xml:space="preserve">zdôrazňuje, že riziká pre hospodársku bezpečnosť môžu vzniknúť aj po uskutočnení </w:t>
      </w:r>
      <w:r w:rsidRPr="002A0F1F">
        <w:t>investície, a zdôrazňuje potrebu účinného monitorovania a hodnotenia rizík vývoja po investícii vrátane riadenia, strategického rozhodovania a potenciálneho prenosu kritických technológií alebo know-how, aby sa zabezpečilo, že sa v plnej miere splnia ciele rámca EÚ pre preverovanie investícií;</w:t>
      </w:r>
    </w:p>
    <w:p w:rsidR="003A72B0" w:rsidRPr="002A0F1F" w:rsidP="002A0F1F" w14:paraId="5A7DA6B3" w14:textId="1E5D666B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Hospodárska bezpečnosť v rámci odvetvových politík</w:t>
      </w:r>
    </w:p>
    <w:p w:rsidR="003A72B0" w:rsidRPr="002A0F1F" w:rsidP="003A72B0" w14:paraId="217114A5" w14:textId="77777777">
      <w:pPr>
        <w:pStyle w:val="NormalHanging12a"/>
        <w:rPr>
          <w:bCs/>
        </w:rPr>
      </w:pPr>
      <w:r w:rsidRPr="002A0F1F">
        <w:t>76.</w:t>
      </w:r>
      <w:r w:rsidRPr="002A0F1F">
        <w:tab/>
        <w:t xml:space="preserve">považuje námorné dopravné trasy, prístavy a logistické služby za kľúčové aktíva hospodárskej bezpečnosti a zdôrazňuje, že ochrana slobody plavby by mala byť kľúčovým diplomatickým a vojenským cieľom EÚ; vyzýva na posilnenie plánovania pre prípad nepredvídaných udalostí na úrovni EÚ a koordinovaných mechanizmov pripravenosti na riešenie dlhotrvajúcich porúch ovplyvňujúcich hlavné námorné úzke miesta, ako je </w:t>
      </w:r>
      <w:r w:rsidRPr="002A0F1F">
        <w:t>Hormuzský</w:t>
      </w:r>
      <w:r w:rsidRPr="002A0F1F">
        <w:t xml:space="preserve"> prieliv;</w:t>
      </w:r>
    </w:p>
    <w:p w:rsidR="003A72B0" w:rsidRPr="002A0F1F" w:rsidP="003A72B0" w14:paraId="0A31BBD6" w14:textId="77777777">
      <w:pPr>
        <w:pStyle w:val="NormalHanging12a"/>
        <w:rPr>
          <w:bCs/>
        </w:rPr>
      </w:pPr>
      <w:r w:rsidRPr="002A0F1F">
        <w:t>77.</w:t>
      </w:r>
      <w:r w:rsidRPr="002A0F1F">
        <w:tab/>
        <w:t xml:space="preserve">žiada, aby EÚ vytvorila mechanizmus odolnosti leteckej nákladnej dopravy pre základný tovar (napr. zdravotnícke potreby a kritické komponenty) vrátane rýchlej mobilizácie kapacít a zjednodušených postupov povoľovania počas krízových období; </w:t>
      </w:r>
    </w:p>
    <w:p w:rsidR="003A72B0" w:rsidRPr="002A0F1F" w:rsidP="003A72B0" w14:paraId="30FFB591" w14:textId="77777777">
      <w:pPr>
        <w:pStyle w:val="NormalHanging12a"/>
        <w:rPr>
          <w:bCs/>
        </w:rPr>
      </w:pPr>
      <w:r w:rsidRPr="002A0F1F">
        <w:t>78.</w:t>
      </w:r>
      <w:r w:rsidRPr="002A0F1F">
        <w:tab/>
        <w:t>požaduje strategický prístup ku koridorom železničnej nákladnej dopravy, pričom prioritou by malo byť posilnenie a integrácia vnútornej siete nákladnej dopravy EÚ s cieľom riešiť existujúcu neefektívnosť a úzke miesta a zároveň podporovať diverzifikované a odolné spojenia s tretími krajinami, a to aj pozdĺž trás Európa – Ázia; zdôrazňuje potrebu posúdenia rizík infraštruktúry koridorov, prevádzkovateľov a digitálnych systémov podporujúcich železničnú nákladnú dopravu;</w:t>
      </w:r>
    </w:p>
    <w:p w:rsidR="003A72B0" w:rsidRPr="002A0F1F" w:rsidP="003A72B0" w14:paraId="5CE557B0" w14:textId="77777777">
      <w:pPr>
        <w:pStyle w:val="NormalHanging12a"/>
        <w:rPr>
          <w:bCs/>
        </w:rPr>
      </w:pPr>
      <w:r w:rsidRPr="002A0F1F">
        <w:t>79.</w:t>
      </w:r>
      <w:r w:rsidRPr="002A0F1F">
        <w:tab/>
        <w:t xml:space="preserve">konštatuje, že poistné v námornej doprave a klasifikácia rizík sa môžu v časoch krízy stať </w:t>
      </w:r>
      <w:r w:rsidRPr="002A0F1F">
        <w:rPr>
          <w:i/>
          <w:iCs/>
        </w:rPr>
        <w:t xml:space="preserve">de </w:t>
      </w:r>
      <w:r w:rsidRPr="002A0F1F">
        <w:rPr>
          <w:i/>
          <w:iCs/>
        </w:rPr>
        <w:t>facto</w:t>
      </w:r>
      <w:r w:rsidRPr="002A0F1F">
        <w:t xml:space="preserve"> prekážkami obchodu; vyzýva na zapojenie poisťovateľov, aktérov klasifikácie a lodných spoločností na úrovni EÚ s cieľom zabezpečiť kontinuitu kritických zásielok a zabrániť manipulácii prostredníctvom nátlaku; </w:t>
      </w:r>
    </w:p>
    <w:p w:rsidR="003A72B0" w:rsidRPr="002A0F1F" w:rsidP="003A72B0" w14:paraId="6561D6DF" w14:textId="77777777">
      <w:pPr>
        <w:pStyle w:val="NormalHanging12a"/>
        <w:rPr>
          <w:bCs/>
        </w:rPr>
      </w:pPr>
      <w:r w:rsidRPr="002A0F1F">
        <w:t>80.</w:t>
      </w:r>
      <w:r w:rsidRPr="002A0F1F">
        <w:tab/>
        <w:t xml:space="preserve">vyzýva na lepšie využívanie údajov o preprave a kontajneroch na odhaľovanie nátlaku, obchádzania a nezákonného presmerovania vrátane lepšej schopnosti EÚ identifikovať používanie anomálnych modelov smerovania a zberných prekládok na obchádzanie sankcií; </w:t>
      </w:r>
    </w:p>
    <w:p w:rsidR="003A72B0" w:rsidRPr="002A0F1F" w:rsidP="003A72B0" w14:paraId="757D2457" w14:textId="77777777">
      <w:pPr>
        <w:pStyle w:val="NormalHanging12a"/>
        <w:rPr>
          <w:bCs/>
        </w:rPr>
      </w:pPr>
      <w:r w:rsidRPr="002A0F1F">
        <w:t>81.</w:t>
      </w:r>
      <w:r w:rsidRPr="002A0F1F">
        <w:tab/>
        <w:t>víta zavedenie colného a hraničného tzv. zrýchleného pruhu pre kritické vstupy a základný tovar pri krízových situáciách v EÚ v rámci prepracovania colného kódexu EÚ a konštatuje, že sa má aktivovať počas závažných porúch a má zahŕňať harmonizované kritériá, aby sa zabránilo roztrieštenosti v členských štátoch;</w:t>
      </w:r>
    </w:p>
    <w:p w:rsidR="003A72B0" w:rsidRPr="002A0F1F" w:rsidP="003A72B0" w14:paraId="5CE81D0F" w14:textId="77777777">
      <w:pPr>
        <w:pStyle w:val="NormalHanging12a"/>
        <w:rPr>
          <w:bCs/>
        </w:rPr>
      </w:pPr>
      <w:r w:rsidRPr="002A0F1F">
        <w:t>82.</w:t>
      </w:r>
      <w:r w:rsidRPr="002A0F1F">
        <w:tab/>
        <w:t xml:space="preserve">vyzýva na posilnenie odolnosti EÚ voči rozsiahlemu narušeniu globálneho navigačného satelitného systému (GNSS) vrátane rušenia a </w:t>
      </w:r>
      <w:r w:rsidRPr="002A0F1F">
        <w:t>spoofingu</w:t>
      </w:r>
      <w:r w:rsidRPr="002A0F1F">
        <w:t>, ktoré postihujú letectvo, a to zavedením záložných navigačných protokolov a bezpečných alternatív určovania polohy a spoľahlivých systémov detekcie a zmierňovania, v prípade potreby vrátane spôsobilostí pre kritické operácie podporovaných umelou inteligenciou;</w:t>
      </w:r>
    </w:p>
    <w:p w:rsidR="003A72B0" w:rsidRPr="002A0F1F" w:rsidP="003A72B0" w14:paraId="4FAFA13D" w14:textId="77777777">
      <w:pPr>
        <w:pStyle w:val="NormalHanging12a"/>
        <w:rPr>
          <w:bCs/>
        </w:rPr>
      </w:pPr>
      <w:r w:rsidRPr="002A0F1F">
        <w:t>83.</w:t>
      </w:r>
      <w:r w:rsidRPr="002A0F1F">
        <w:tab/>
        <w:t xml:space="preserve">upozorňuje, že opakované nálety </w:t>
      </w:r>
      <w:r w:rsidRPr="002A0F1F">
        <w:t>dronov</w:t>
      </w:r>
      <w:r w:rsidRPr="002A0F1F">
        <w:t xml:space="preserve"> nad hlavnými európskymi letiskami odhalili vážne zraniteľnosti európskeho vzdušného priestoru a viedli k značnému narušeniu leteckej dopravy a nákladných trás; zdôrazňuje, že ochrana kritickej infraštruktúry, ako sú letecké uzly, sa musí považovať za prioritu hospodárskej bezpečnosti, ktorá si vyžaduje koordinované opatrenia na úrovni EÚ s cieľom zabrániť narušeniu prevádzky </w:t>
      </w:r>
      <w:r w:rsidRPr="002A0F1F">
        <w:t xml:space="preserve">kritickej dopravnej infraštruktúry; </w:t>
      </w:r>
    </w:p>
    <w:p w:rsidR="003A72B0" w:rsidRPr="002A0F1F" w:rsidP="003A72B0" w14:paraId="1FC9845E" w14:textId="77777777">
      <w:pPr>
        <w:pStyle w:val="NormalHanging12a"/>
        <w:rPr>
          <w:bCs/>
        </w:rPr>
      </w:pPr>
      <w:r w:rsidRPr="002A0F1F">
        <w:t>84.</w:t>
      </w:r>
      <w:r w:rsidRPr="002A0F1F">
        <w:tab/>
        <w:t>zdôrazňuje, že s kritickou energetickou infraštruktúrou, ako sú terminály skvapalneného zemného plynu (LNG), spojovacie vedenia, zariadenia na uskladňovanie alebo elektrické siete, sa musí zaobchádzať ako s aktívami hospodárskej bezpečnosti, pričom sa uskutočňuje posilnené preverovanie vlastníctva, kontroly a kľúčových poskytovateľov služieb, ako sa ustanovuje v revidovanom nariadení o preverovaní PZI;</w:t>
      </w:r>
    </w:p>
    <w:p w:rsidR="003A72B0" w:rsidRPr="002A0F1F" w:rsidP="003A72B0" w14:paraId="10E7D082" w14:textId="77777777">
      <w:pPr>
        <w:pStyle w:val="NormalHanging12a"/>
        <w:rPr>
          <w:bCs/>
        </w:rPr>
      </w:pPr>
      <w:r w:rsidRPr="002A0F1F">
        <w:t>85.</w:t>
      </w:r>
      <w:r w:rsidRPr="002A0F1F">
        <w:tab/>
        <w:t>požaduje vypracovanie cieleného plánu EÚ na zníženie vysokorizikových závislostí v jadrovom palivovom cykle vrátane koordinovaných protokolov o diverzifikácii a krízovom verejnom obstarávaní;</w:t>
      </w:r>
    </w:p>
    <w:p w:rsidR="003A72B0" w:rsidRPr="002A0F1F" w:rsidP="003A72B0" w14:paraId="2836D435" w14:textId="77777777">
      <w:pPr>
        <w:pStyle w:val="NormalHanging12a"/>
        <w:rPr>
          <w:bCs/>
        </w:rPr>
      </w:pPr>
      <w:r w:rsidRPr="002A0F1F">
        <w:t>86.</w:t>
      </w:r>
      <w:r w:rsidRPr="002A0F1F">
        <w:tab/>
        <w:t>konštatuje, že nedávny rozsiahly výpadok elektrickej energie v EÚ odhalil slabé miesta v stabilite siete aj v digitálnych riadiacich systémoch, ktoré sú základom kritickej energetickej infraštruktúry, a vyvolal okamžité kaskádové hospodárske účinky spolu s rizikom zvýšenej závislosti od tretích krajín;</w:t>
      </w:r>
    </w:p>
    <w:p w:rsidR="003A72B0" w:rsidRPr="002A0F1F" w:rsidP="003A72B0" w14:paraId="5A77CBF2" w14:textId="77777777">
      <w:pPr>
        <w:pStyle w:val="NormalHanging12a"/>
        <w:rPr>
          <w:bCs/>
        </w:rPr>
      </w:pPr>
      <w:r w:rsidRPr="002A0F1F">
        <w:t>87.</w:t>
      </w:r>
      <w:r w:rsidRPr="002A0F1F">
        <w:tab/>
        <w:t xml:space="preserve">zdôrazňuje, že kapacita dátových centier v EÚ stále nepostačuje na uspokojenie rýchlo rastúceho dopytu po vysokovýkonnej a pokročilej výpočtovej technike, pričom Európa predstavuje len približne 15 % globálnej kapacity </w:t>
      </w:r>
      <w:r w:rsidRPr="002A0F1F">
        <w:t>hyperškálových</w:t>
      </w:r>
      <w:r w:rsidRPr="002A0F1F">
        <w:t xml:space="preserve"> dátových centier, zatiaľ čo európsky dopyt rastie dvojciferným ročným tempom;</w:t>
      </w:r>
    </w:p>
    <w:p w:rsidR="003A72B0" w:rsidRPr="002A0F1F" w:rsidP="003A72B0" w14:paraId="40D7E2D3" w14:textId="77777777">
      <w:pPr>
        <w:pStyle w:val="NormalHanging12a"/>
        <w:rPr>
          <w:bCs/>
        </w:rPr>
      </w:pPr>
      <w:r w:rsidRPr="002A0F1F">
        <w:t>88.</w:t>
      </w:r>
      <w:r w:rsidRPr="002A0F1F">
        <w:tab/>
        <w:t>zdôrazňuje význam posilneného preverovania vlastníctva, prevádzky a zmlúv o údržbe, pokiaľ ide o podmorské káble, pozemné stanice a kľúčové internetové centrá, ktoré sú strategickými aktívami;</w:t>
      </w:r>
    </w:p>
    <w:p w:rsidR="003A72B0" w:rsidRPr="002A0F1F" w:rsidP="003A72B0" w14:paraId="35257F50" w14:textId="77777777">
      <w:pPr>
        <w:pStyle w:val="NormalHanging12a"/>
        <w:rPr>
          <w:bCs/>
        </w:rPr>
      </w:pPr>
      <w:r w:rsidRPr="002A0F1F">
        <w:t>89.</w:t>
      </w:r>
      <w:r w:rsidRPr="002A0F1F">
        <w:tab/>
        <w:t>požaduje cielenú ochranu pred nepriateľskými akvizíciami strategických digitálnych startupov vrátane preverovania menšinových podielov, konvertibilných nástrojov a dohôd o prevode duševného vlastníctva a zároveň zabezpečenie primeraných kanálov na vysokej úrovni pre investície EÚ;</w:t>
      </w:r>
    </w:p>
    <w:p w:rsidR="003A72B0" w:rsidRPr="002A0F1F" w:rsidP="003A72B0" w14:paraId="7A91DE8D" w14:textId="77777777">
      <w:pPr>
        <w:pStyle w:val="NormalHanging12a"/>
        <w:rPr>
          <w:bCs/>
        </w:rPr>
      </w:pPr>
      <w:r w:rsidRPr="002A0F1F">
        <w:t>90.</w:t>
      </w:r>
      <w:r w:rsidRPr="002A0F1F">
        <w:tab/>
        <w:t>so znepokojením konštatuje, že podľa druhej správy o pokroku členských štátov pri vykonávaní súboru nástrojov EÚ v oblasti kybernetickej bezpečnosti sietí 5G štrnásť členských štátov ešte nezaviedlo obmedzenia týkajúce sa vysokorizikových dodávateľov, čím sa vytvára významná zraniteľnosť v oblasti bezpečnosti; víta prístup založený na riziku a prísnejšie presadzovanie, ktoré sú uvedené v návrhu na revíziu aktu o kybernetickej bezpečnosti pre vysoko rizikové prípady;</w:t>
      </w:r>
    </w:p>
    <w:p w:rsidR="003A72B0" w:rsidRPr="002A0F1F" w:rsidP="003A72B0" w14:paraId="4913B3CB" w14:textId="77777777">
      <w:pPr>
        <w:pStyle w:val="NormalHanging12a"/>
        <w:rPr>
          <w:bCs/>
        </w:rPr>
      </w:pPr>
      <w:r w:rsidRPr="002A0F1F">
        <w:t>91.</w:t>
      </w:r>
      <w:r w:rsidRPr="002A0F1F">
        <w:tab/>
        <w:t>zdôrazňuje, že posilnenie hospodárskej bezpečnosti EÚ si vyžaduje ochranu spoločností z EÚ v oblasti špičkových technológií pred nátlakom a ich podporu presadzovaním rovnakých podmienok;</w:t>
      </w:r>
    </w:p>
    <w:p w:rsidR="003A72B0" w:rsidRPr="002A0F1F" w:rsidP="003A72B0" w14:paraId="13E5543B" w14:textId="77777777">
      <w:pPr>
        <w:pStyle w:val="NormalHanging12a"/>
        <w:rPr>
          <w:bCs/>
        </w:rPr>
      </w:pPr>
      <w:r w:rsidRPr="002A0F1F">
        <w:t>92.</w:t>
      </w:r>
      <w:r w:rsidRPr="002A0F1F">
        <w:tab/>
        <w:t>zdôrazňuje, že digitálny regulačný rámec EÚ je základným pilierom jej suverenity; zdôrazňuje, že presadzovanie tohto rámca aj naďalej nesmie byť ovplyvňované vonkajším tlakom ani hrozbami odvetných opatrení vyplývajúcich z obchodných sporov;</w:t>
      </w:r>
    </w:p>
    <w:p w:rsidR="003A72B0" w:rsidRPr="002A0F1F" w:rsidP="003A72B0" w14:paraId="5FDD1AF9" w14:textId="77777777">
      <w:pPr>
        <w:pStyle w:val="NormalHanging12a"/>
        <w:rPr>
          <w:bCs/>
        </w:rPr>
      </w:pPr>
      <w:r w:rsidRPr="002A0F1F">
        <w:t>93.</w:t>
      </w:r>
      <w:r w:rsidRPr="002A0F1F">
        <w:tab/>
        <w:t>víta nadchádzajúce návrhy aktu EÚ o kvantových technológiách, aktu o rozvoji cloudových služieb a umelej inteligencie a revízie aktu o čipoch; zdôrazňuje, že ich účinnosť bude závisieť od silného obchodného a investičného rozmeru vrátane opatrení na podporu rozširovania a zavádzania na trh a uľahčenia prístupu do globálnych hodnotových reťazcov, ako aj partnerstiev s podobne zmýšľajúcimi krajinami;</w:t>
      </w:r>
    </w:p>
    <w:p w:rsidR="003A72B0" w:rsidRPr="002A0F1F" w:rsidP="003A72B0" w14:paraId="40609D7F" w14:textId="77777777">
      <w:pPr>
        <w:pStyle w:val="NormalHanging12a"/>
        <w:rPr>
          <w:bCs/>
        </w:rPr>
      </w:pPr>
      <w:r w:rsidRPr="002A0F1F">
        <w:t>94.</w:t>
      </w:r>
      <w:r w:rsidRPr="002A0F1F">
        <w:tab/>
        <w:t>uznáva nedostatok kritických liekov ako zraniteľnosť hospodárskej bezpečnosti; požaduje zavedenie cielených nástrojov obchodu a obstarávania v záujme zabezpečenia kontinuity dodávok základných liekov, ich účinných látok a kľúčových vstupov počas núdzových situácií;</w:t>
      </w:r>
    </w:p>
    <w:p w:rsidR="003A72B0" w:rsidRPr="002A0F1F" w:rsidP="003A72B0" w14:paraId="5586DF36" w14:textId="77777777">
      <w:pPr>
        <w:pStyle w:val="NormalHanging12a"/>
        <w:rPr>
          <w:bCs/>
        </w:rPr>
      </w:pPr>
      <w:r w:rsidRPr="002A0F1F">
        <w:t>95.</w:t>
      </w:r>
      <w:r w:rsidRPr="002A0F1F">
        <w:tab/>
        <w:t>vyzýva na prednostné zmiernenie závislosti od účinných farmaceutických látok, vstupných surovín a kľúčových prekurzorov v oblastiach, kde je výroba koncentrovaná a kde sú vývozné obmedzenia pravdepodobné, a to aj v diverzifikovaných dodávateľských reťazcoch;</w:t>
      </w:r>
    </w:p>
    <w:p w:rsidR="003A72B0" w:rsidRPr="002A0F1F" w:rsidP="003A72B0" w14:paraId="322DFECC" w14:textId="77777777">
      <w:pPr>
        <w:pStyle w:val="NormalHanging12a"/>
        <w:rPr>
          <w:bCs/>
        </w:rPr>
      </w:pPr>
      <w:r w:rsidRPr="002A0F1F">
        <w:t>96.</w:t>
      </w:r>
      <w:r w:rsidRPr="002A0F1F">
        <w:tab/>
        <w:t xml:space="preserve">vyzýva EÚ, aby zmapovala a zmiernila závislosť od jedného zdroja pri výrobe zdravotníckych pomôcok </w:t>
      </w:r>
      <w:r w:rsidRPr="002A0F1F">
        <w:rPr>
          <w:i/>
        </w:rPr>
        <w:t>in vitro</w:t>
      </w:r>
      <w:r w:rsidRPr="002A0F1F">
        <w:t xml:space="preserve"> a ich kľúčových komponentov, a zdôrazňuje potrebu cielenej diverzifikácie výroby a zvýšenia domácej produkcie;</w:t>
      </w:r>
    </w:p>
    <w:p w:rsidR="003A72B0" w:rsidRPr="002A0F1F" w:rsidP="003A72B0" w14:paraId="2994AC55" w14:textId="77777777">
      <w:pPr>
        <w:pStyle w:val="NormalHanging12a"/>
        <w:rPr>
          <w:bCs/>
        </w:rPr>
      </w:pPr>
      <w:r w:rsidRPr="002A0F1F">
        <w:t>97.</w:t>
      </w:r>
      <w:r w:rsidRPr="002A0F1F">
        <w:tab/>
        <w:t>požaduje ochranu zdravotníckej dátovej infraštruktúry a cloudových služieb podporujúcich systémy zdravotnej starostlivosti založenú na rizikách vrátane požiadaviek na kontinuitu a záruk proti nepriateľskému prístupu alebo narušeniu;</w:t>
      </w:r>
    </w:p>
    <w:p w:rsidR="003A72B0" w:rsidRPr="002A0F1F" w:rsidP="003A72B0" w14:paraId="47A3F2A6" w14:textId="77777777">
      <w:pPr>
        <w:pStyle w:val="NormalHanging12a"/>
        <w:rPr>
          <w:bCs/>
        </w:rPr>
      </w:pPr>
      <w:r w:rsidRPr="002A0F1F">
        <w:t>98.</w:t>
      </w:r>
      <w:r w:rsidRPr="002A0F1F">
        <w:tab/>
        <w:t xml:space="preserve">zdôrazňuje, že tok falšovaných medicínskych produktov z tretích krajín narúša bezpečnosť a dôveru verejnosti; vyzýva na intenzívnejšiu spoluprácu v oblasti presadzovania colných predpisov s cieľom posilniť požiadavky na </w:t>
      </w:r>
      <w:r w:rsidRPr="002A0F1F">
        <w:t>vysledovateľnosť</w:t>
      </w:r>
      <w:r w:rsidRPr="002A0F1F">
        <w:t xml:space="preserve"> stanovené v smernici o falšovaných liekoch</w:t>
      </w:r>
      <w:r>
        <w:rPr>
          <w:rStyle w:val="FootnoteReference"/>
          <w:bCs/>
        </w:rPr>
        <w:footnoteReference w:id="17"/>
      </w:r>
      <w:r w:rsidRPr="002A0F1F">
        <w:t>;</w:t>
      </w:r>
    </w:p>
    <w:p w:rsidR="003A72B0" w:rsidRPr="002A0F1F" w:rsidP="003A72B0" w14:paraId="77A0A5DD" w14:textId="77777777">
      <w:pPr>
        <w:pStyle w:val="NormalHanging12a"/>
        <w:rPr>
          <w:bCs/>
        </w:rPr>
      </w:pPr>
      <w:r w:rsidRPr="002A0F1F">
        <w:t>99.</w:t>
      </w:r>
      <w:r w:rsidRPr="002A0F1F">
        <w:tab/>
        <w:t xml:space="preserve">zdôrazňuje, že posilnenie a dokončenie únie kapitálových trhov a mobilizácia európskych súkromných úspor v strategických odvetviach by mohli znížiť závislosť od vonkajšieho financovania a zabrániť strate kontroly nad kritickými aktívami a technológiami; </w:t>
      </w:r>
    </w:p>
    <w:p w:rsidR="003A72B0" w:rsidRPr="002A0F1F" w:rsidP="003A72B0" w14:paraId="69080E23" w14:textId="77777777">
      <w:pPr>
        <w:pStyle w:val="NormalHanging12a"/>
        <w:rPr>
          <w:bCs/>
        </w:rPr>
      </w:pPr>
      <w:r w:rsidRPr="002A0F1F">
        <w:t>100.</w:t>
      </w:r>
      <w:r w:rsidRPr="002A0F1F">
        <w:tab/>
        <w:t>zdôrazňuje, že systémy na prenos finančných správ vrátane systému SWIFT predstavujú kritickú infraštruktúru pre fungovanie globálneho finančného systému a zahraničného obchodu EÚ; konštatuje, že prípady geopolitického napätia a sankčných režimov v minulosti ukázali dôsledky prístupu k takýmto systémom; zdôrazňuje, že je dôležité zabezpečiť odolnosť, autonómiu a právnu istotu finančnej infraštruktúry EÚ, a to aj prostredníctvom záruk proti neprimeraným vonkajším zásahom alebo narušeniam, ktoré by mohli ovplyvniť kontinuitu hospodárskej činnosti;</w:t>
      </w:r>
    </w:p>
    <w:p w:rsidR="003A72B0" w:rsidRPr="002A0F1F" w:rsidP="002A0F1F" w14:paraId="7513427B" w14:textId="002ECCC0">
      <w:pPr>
        <w:pStyle w:val="NormalHanging12a"/>
        <w:ind w:left="0" w:firstLine="0"/>
        <w:rPr>
          <w:b/>
          <w:i/>
          <w:iCs/>
        </w:rPr>
      </w:pPr>
      <w:r w:rsidRPr="002A0F1F">
        <w:rPr>
          <w:b/>
          <w:i/>
        </w:rPr>
        <w:t>Multilaterálna angažovanosť a partnerstvá</w:t>
      </w:r>
    </w:p>
    <w:p w:rsidR="003A72B0" w:rsidRPr="002A0F1F" w:rsidP="003A72B0" w14:paraId="7EEA6CDB" w14:textId="77777777">
      <w:pPr>
        <w:pStyle w:val="NormalHanging12a"/>
        <w:rPr>
          <w:bCs/>
        </w:rPr>
      </w:pPr>
      <w:r w:rsidRPr="002A0F1F">
        <w:t>101.</w:t>
      </w:r>
      <w:r w:rsidRPr="002A0F1F">
        <w:tab/>
        <w:t>opätovne potvrdzuje záväzok EÚ k multilaterálnemu obchodnému systému založenému na pravidlách, ktorého najrozvinutejším rámcom na riadenie globálnej hospodárskej vzájomnej závislosti a riešenie rizík pre hospodársku bezpečnosť predvídateľným a nediskriminačným spôsobom je WTO;</w:t>
      </w:r>
    </w:p>
    <w:p w:rsidR="003A72B0" w:rsidRPr="002A0F1F" w:rsidP="003A72B0" w14:paraId="025EF749" w14:textId="77777777">
      <w:pPr>
        <w:pStyle w:val="NormalHanging12a"/>
        <w:rPr>
          <w:bCs/>
        </w:rPr>
      </w:pPr>
      <w:r w:rsidRPr="002A0F1F">
        <w:t>102.</w:t>
      </w:r>
      <w:r w:rsidRPr="002A0F1F">
        <w:tab/>
        <w:t xml:space="preserve">vyjadruje však poľutovanie nad tým, že WTO vo svojej súčasnej podobe nerieši asymetrie medzi svojimi členmi, pokiaľ ide o otvorenosť trhu a záväzok k spravodlivej hospodárskej súťaži, a má nefunkčný systém urovnávania sporov; zdôrazňuje, že </w:t>
      </w:r>
      <w:r w:rsidRPr="002A0F1F">
        <w:t>zmysluplná reforma WTO vrátane obnovenia plne funkčného systému urovnávania sporov je nevyhnutná na riešenie systémových rizík, obmedzenie nekalých praktík a zabránenie eskalácii obchodných sporov; uznáva, že kým k takejto reforme nedôjde, musí EÚ posilniť svoju vlastnú schopnosť konať samostatne a účinne reagovať na riziká pre hospodársku bezpečnosť, rastúce clá a nedostatok reciprocity v otvorenosti trhu; domnieva sa, že EÚ by mala prevziať vedúcu úlohu pri vytváraní koalície podobne zmýšľajúcich stredných mocností s jasným rámcom pre kolektívnu reakciu a vzájomnú pomoc v prípadoch hospodárskeho nátlaku;</w:t>
      </w:r>
    </w:p>
    <w:p w:rsidR="003A72B0" w:rsidRPr="002A0F1F" w:rsidP="003A72B0" w14:paraId="10416A63" w14:textId="77777777">
      <w:pPr>
        <w:pStyle w:val="NormalHanging12a"/>
        <w:rPr>
          <w:bCs/>
        </w:rPr>
      </w:pPr>
      <w:r w:rsidRPr="002A0F1F">
        <w:t>103.</w:t>
      </w:r>
      <w:r w:rsidRPr="002A0F1F">
        <w:tab/>
        <w:t xml:space="preserve">so záujmom berie na vedomie pozíciu komisára pre obchod a ekonomickú bezpečnosť Maroša </w:t>
      </w:r>
      <w:r w:rsidRPr="002A0F1F">
        <w:t>Šefčoviča</w:t>
      </w:r>
      <w:r w:rsidRPr="002A0F1F">
        <w:t xml:space="preserve"> o potrebe prehodnotiť zásadu doložky najvyšších výhod vzhľadom na skutočnosť, že niektorí členovia WTO dramaticky rozšírili svoj podiel na svetovom obchode, pričom si udržiavajú relatívne uzavreté vlastné trhy; vyzýva na posúdenie toho, ako by zásada doložky najvyšších výhod mohla lepšie odrážať realitu súčasného obchodného prostredia;</w:t>
      </w:r>
    </w:p>
    <w:p w:rsidR="003A72B0" w:rsidRPr="002A0F1F" w:rsidP="003A72B0" w14:paraId="389B1AA7" w14:textId="77777777">
      <w:pPr>
        <w:pStyle w:val="NormalHanging12a"/>
        <w:rPr>
          <w:bCs/>
        </w:rPr>
      </w:pPr>
      <w:r w:rsidRPr="002A0F1F">
        <w:t>104.</w:t>
      </w:r>
      <w:r w:rsidRPr="002A0F1F">
        <w:tab/>
        <w:t>nabáda na užšiu a štruktúrovanejšiu spoluprácu s dôveryhodnými partnermi a podobne zmýšľajúcimi hospodárstvami s cieľom vybudovať sieťovú odolnosť voči narušeniam obchodu a dodávok, a to aj prostredníctvom sietí dôveryhodných dodávateľov pre kritické technológie a infraštruktúru, ktoré by mali presahovať rámec technickej zhody, a to začlenením netechnických kritérií založených na riadení, ktoré riešia systémové riziká, ktoré predstavujú dodávatelia pod vplyvom cudzích štátov, a prostredníctvom koordinovanej pripravenosti, dohôd o vzájomnej podpore a doplnkových prístupov k vytváraniu zásob, reakcii na krízy a ochrane kritických dodávateľských reťazcov; vyzýva Komisiu, aby zabezpečila, že skúsenosti partnerov, ktorí boli vystavení rizikám pre hospodársku bezpečnosť, sa budú systematicky zohľadňovať v posúdeniach hospodárskej bezpečnosti, plánovaní pripravenosti a vonkajšej koordinácii EÚ;</w:t>
      </w:r>
    </w:p>
    <w:p w:rsidR="003A72B0" w:rsidRPr="002A0F1F" w:rsidP="003A72B0" w14:paraId="315A5C79" w14:textId="77777777">
      <w:pPr>
        <w:pStyle w:val="NormalHanging12a"/>
        <w:rPr>
          <w:bCs/>
        </w:rPr>
      </w:pPr>
      <w:r w:rsidRPr="002A0F1F">
        <w:t>105.</w:t>
      </w:r>
      <w:r w:rsidRPr="002A0F1F">
        <w:tab/>
        <w:t>víta iniciatívy v oblasti hospodárskej bezpečnosti vypracované v rámci skupiny G7; vyzýva Komisiu, aby zabezpečila, že EÚ bude zohrávať proaktívnu a viditeľnú úlohu pri realizácii týchto iniciatív a následných opatreniach, pričom zabezpečí súlad medzi záväzkami skupiny G7 a vlastným súborom nástrojov EÚ v oblasti hospodárskej bezpečnosti;</w:t>
      </w:r>
    </w:p>
    <w:p w:rsidR="003A72B0" w:rsidRPr="002A0F1F" w:rsidP="003A72B0" w14:paraId="729A65B2" w14:textId="4211CC37">
      <w:pPr>
        <w:pStyle w:val="NormalHanging12a"/>
        <w:rPr>
          <w:bCs/>
        </w:rPr>
      </w:pPr>
      <w:r w:rsidRPr="002A0F1F">
        <w:t>106.</w:t>
      </w:r>
      <w:r w:rsidRPr="002A0F1F">
        <w:tab/>
        <w:t xml:space="preserve">trvá na zásadnej úlohe </w:t>
      </w:r>
      <w:r w:rsidRPr="002A0F1F" w:rsidR="00511B54">
        <w:t>Európskeho p</w:t>
      </w:r>
      <w:r w:rsidRPr="002A0F1F">
        <w:t xml:space="preserve">arlamentu, a najmä Výboru pre medzinárodný obchod, pri demokratickej kontrole opatrení súvisiacich s hospodárskou bezpečnosťou, ktoré majú vplyv na obchod a investície, a to vo všetkých fázach ich navrhovania, vykonávania a preskúmania s cieľom zabezpečiť transparentnosť, zodpovednosť a informovaný parlamentný dohľad; žiada Komisiu, aby Výboru pre medzinárodný obchod poskytla prístup ku všetkým relevantným dokumentom týkajúcim sa vykonávania stratégie hospodárskej bezpečnosti v súlade s najlepšími </w:t>
      </w:r>
      <w:r w:rsidRPr="002A0F1F">
        <w:t>medziinštitucionálnymi</w:t>
      </w:r>
      <w:r w:rsidRPr="002A0F1F">
        <w:t xml:space="preserve"> postupmi v oblasti prístupu k dokumentom; žiada, aby bol Výbor pre medzinárodný obchod začlenený do siete pre hospodársku bezpečnosť navrhnutej v spoločnom oznámení z 3. decembra 2025; zdôrazňuje, že je potrebné viesť pravidelný štruktúrovaný dialóg s</w:t>
      </w:r>
      <w:r w:rsidRPr="002A0F1F" w:rsidR="00511B54">
        <w:t> Európskym p</w:t>
      </w:r>
      <w:r w:rsidRPr="002A0F1F">
        <w:t xml:space="preserve">arlamentom o prioritách, rizikách a stratégiách na zmiernenie vplyvov v oblasti hospodárskej bezpečnosti; </w:t>
      </w:r>
    </w:p>
    <w:p w:rsidR="003A72B0" w:rsidRPr="002A0F1F" w:rsidP="003A72B0" w14:paraId="283C5267" w14:textId="485C6D6A">
      <w:pPr>
        <w:pStyle w:val="NormalHanging12a"/>
      </w:pPr>
      <w:r w:rsidRPr="002A0F1F">
        <w:t>107.</w:t>
      </w:r>
      <w:r w:rsidRPr="002A0F1F">
        <w:tab/>
        <w:t>vyzýva Komisiu, aby navrhla inštitucionálny a riadiaci rámec, ktorý by umožnil vypracovanie a vykonávanie komplexnej stratégie hospodárskej bezpečnosti v spolupráci s</w:t>
      </w:r>
      <w:r w:rsidRPr="002A0F1F" w:rsidR="00511B54">
        <w:t> Európskym p</w:t>
      </w:r>
      <w:r w:rsidRPr="002A0F1F">
        <w:t>arlamentom a Radou a so všetkými ostatnými príslušnými verejnými a súkromnými zainteresovanými stranami;</w:t>
      </w:r>
    </w:p>
    <w:p w:rsidR="00BC182E" w:rsidRPr="002A0F1F" w:rsidP="00BC182E" w14:paraId="78BB6AC5" w14:textId="48FBEDFE">
      <w:pPr>
        <w:pStyle w:val="NormalHanging12a"/>
        <w:widowControl/>
        <w:ind w:left="0" w:firstLine="0"/>
        <w:jc w:val="center"/>
        <w:rPr>
          <w:bCs/>
        </w:rPr>
      </w:pPr>
      <w:r w:rsidRPr="002A0F1F">
        <w:rPr>
          <w:bCs/>
        </w:rPr>
        <w:t>°</w:t>
      </w:r>
    </w:p>
    <w:p w:rsidR="00BC182E" w:rsidRPr="002A0F1F" w:rsidP="00BC182E" w14:paraId="2BD2AD09" w14:textId="4C44EE96">
      <w:pPr>
        <w:pStyle w:val="NormalHanging12a"/>
        <w:widowControl/>
        <w:ind w:left="0" w:firstLine="0"/>
        <w:jc w:val="center"/>
        <w:rPr>
          <w:bCs/>
        </w:rPr>
      </w:pPr>
      <w:r w:rsidRPr="002A0F1F">
        <w:rPr>
          <w:bCs/>
        </w:rPr>
        <w:t>°     °</w:t>
      </w:r>
    </w:p>
    <w:p w:rsidR="003A72B0" w:rsidRPr="002A0F1F" w:rsidP="003A72B0" w14:paraId="729B65B1" w14:textId="77777777">
      <w:pPr>
        <w:pStyle w:val="NormalHanging12a"/>
        <w:rPr>
          <w:bCs/>
        </w:rPr>
      </w:pPr>
      <w:r w:rsidRPr="002A0F1F">
        <w:t>108.</w:t>
      </w:r>
      <w:r w:rsidRPr="002A0F1F">
        <w:tab/>
        <w:t>poveruje svoju predsedníčku, aby postúpila toto uznesenie Rade, podpredsedníčke Komisie/vysokej predstaviteľke Únie pre zahraničné veci a bezpečnostnú politiku, Komisii a vládam a parlamentom členských štátov.</w:t>
      </w:r>
    </w:p>
    <w:sectPr w:rsidSect="00CB5D9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338EEFB6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3C17A033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3008CED5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CE008A" w:rsidRPr="00CB5D9F" w14:paraId="5BA01DB6" w14:textId="77777777">
      <w:r w:rsidRPr="00CB5D9F">
        <w:separator/>
      </w:r>
    </w:p>
  </w:footnote>
  <w:footnote w:type="continuationSeparator" w:id="1">
    <w:p w:rsidR="00CE008A" w:rsidRPr="00CB5D9F" w14:paraId="3B021CB0" w14:textId="77777777">
      <w:r w:rsidRPr="00CB5D9F">
        <w:continuationSeparator/>
      </w:r>
    </w:p>
  </w:footnote>
  <w:footnote w:id="2">
    <w:p w:rsidR="003A72B0" w:rsidRPr="00CB5D9F" w:rsidP="00CB5D9F" w14:paraId="503943C9" w14:textId="77D2428A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 v. EÚ L 79</w:t>
      </w:r>
      <w:r w:rsidR="00BC182E">
        <w:rPr>
          <w:sz w:val="24"/>
          <w:lang w:val="sk-SK"/>
        </w:rPr>
        <w:t xml:space="preserve"> </w:t>
      </w:r>
      <w:r w:rsidRPr="00CB5D9F">
        <w:rPr>
          <w:sz w:val="24"/>
          <w:lang w:val="sk-SK"/>
        </w:rPr>
        <w:t>I, 21.3.2019, s. 1, ELI: </w:t>
      </w:r>
      <w:hyperlink r:id="rId1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http://data.europa.eu/eli/reg/2019/452/oj</w:t>
        </w:r>
      </w:hyperlink>
      <w:r w:rsidRPr="00CB5D9F">
        <w:rPr>
          <w:sz w:val="24"/>
          <w:lang w:val="sk-SK"/>
        </w:rPr>
        <w:t>.</w:t>
      </w:r>
      <w:r w:rsidRPr="00CB5D9F">
        <w:rPr>
          <w:i/>
          <w:sz w:val="24"/>
          <w:lang w:val="sk-SK"/>
        </w:rPr>
        <w:t xml:space="preserve"> </w:t>
      </w:r>
    </w:p>
  </w:footnote>
  <w:footnote w:id="3">
    <w:p w:rsidR="003A72B0" w:rsidRPr="00CB5D9F" w:rsidP="00CB5D9F" w14:paraId="3FEA4764" w14:textId="445D254C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 v. EÚ L 206, 11.6.2021, s. 1, ELI: </w:t>
      </w:r>
      <w:hyperlink r:id="rId2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http://data.europa.eu/eli/reg/2021/821/oj</w:t>
        </w:r>
      </w:hyperlink>
      <w:r w:rsidRPr="00CB5D9F">
        <w:rPr>
          <w:sz w:val="24"/>
          <w:lang w:val="sk-SK"/>
        </w:rPr>
        <w:t>.</w:t>
      </w:r>
      <w:r w:rsidRPr="00CB5D9F">
        <w:rPr>
          <w:i/>
          <w:sz w:val="24"/>
          <w:lang w:val="sk-SK"/>
        </w:rPr>
        <w:t xml:space="preserve"> </w:t>
      </w:r>
    </w:p>
  </w:footnote>
  <w:footnote w:id="4">
    <w:p w:rsidR="003A72B0" w:rsidRPr="00CB5D9F" w:rsidP="00CB5D9F" w14:paraId="19C1AB36" w14:textId="166D9A79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 v. EÚ L 229, 18.9.2023, s. </w:t>
      </w:r>
      <w:r w:rsidRPr="00CB5D9F">
        <w:rPr>
          <w:sz w:val="24"/>
          <w:lang w:val="sk-SK"/>
        </w:rPr>
        <w:t>1, ELI: </w:t>
      </w:r>
      <w:hyperlink r:id="rId3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http://data.europa.eu/eli/reg/2023/1781/oj</w:t>
        </w:r>
      </w:hyperlink>
      <w:r w:rsidRPr="00CB5D9F">
        <w:rPr>
          <w:sz w:val="24"/>
          <w:lang w:val="sk-SK"/>
        </w:rPr>
        <w:t>.</w:t>
      </w:r>
      <w:r w:rsidRPr="00CB5D9F">
        <w:rPr>
          <w:i/>
          <w:sz w:val="24"/>
          <w:lang w:val="sk-SK"/>
        </w:rPr>
        <w:t xml:space="preserve"> </w:t>
      </w:r>
    </w:p>
  </w:footnote>
  <w:footnote w:id="5">
    <w:p w:rsidR="003A72B0" w:rsidRPr="00CB5D9F" w:rsidP="00CB5D9F" w14:paraId="35D1EEF7" w14:textId="764FB7C0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 v. </w:t>
      </w:r>
      <w:r w:rsidRPr="00CB5D9F">
        <w:rPr>
          <w:sz w:val="24"/>
          <w:lang w:val="sk-SK"/>
        </w:rPr>
        <w:t>EÚ L, 2023/2675, 7.12.2023, ELI: </w:t>
      </w:r>
      <w:hyperlink r:id="rId4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http://data.europa.eu/eli/reg/2023/2675/oj</w:t>
        </w:r>
      </w:hyperlink>
      <w:r w:rsidRPr="00CB5D9F">
        <w:rPr>
          <w:sz w:val="24"/>
          <w:lang w:val="sk-SK"/>
        </w:rPr>
        <w:t>.</w:t>
      </w:r>
    </w:p>
  </w:footnote>
  <w:footnote w:id="6">
    <w:p w:rsidR="003A72B0" w:rsidRPr="00CB5D9F" w:rsidP="00CB5D9F" w14:paraId="51C943FC" w14:textId="74256432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 v. </w:t>
      </w:r>
      <w:r w:rsidRPr="00CB5D9F">
        <w:rPr>
          <w:sz w:val="24"/>
          <w:lang w:val="sk-SK"/>
        </w:rPr>
        <w:t>EÚ L, 2024/1252, 3.5.2024, ELI: </w:t>
      </w:r>
      <w:hyperlink r:id="rId5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http://data.europa.eu/eli/reg/2024/1252/oj</w:t>
        </w:r>
      </w:hyperlink>
      <w:r w:rsidRPr="00CB5D9F">
        <w:rPr>
          <w:sz w:val="24"/>
          <w:lang w:val="sk-SK"/>
        </w:rPr>
        <w:t>.</w:t>
      </w:r>
    </w:p>
  </w:footnote>
  <w:footnote w:id="7">
    <w:p w:rsidR="003A72B0" w:rsidRPr="00CB5D9F" w:rsidP="00CB5D9F" w14:paraId="3141F49D" w14:textId="6293075D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Ú. v. </w:t>
      </w:r>
      <w:r w:rsidRPr="00CB5D9F">
        <w:rPr>
          <w:sz w:val="24"/>
          <w:lang w:val="sk-SK"/>
        </w:rPr>
        <w:t>EÚ L, 2024/1735, 28.6.2024, ELI: </w:t>
      </w:r>
      <w:hyperlink r:id="rId6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http://data.europa.eu/eli/reg/2024/1735/oj</w:t>
        </w:r>
      </w:hyperlink>
      <w:r w:rsidRPr="00CB5D9F">
        <w:rPr>
          <w:sz w:val="24"/>
          <w:lang w:val="sk-SK"/>
        </w:rPr>
        <w:t>.</w:t>
      </w:r>
    </w:p>
  </w:footnote>
  <w:footnote w:id="8">
    <w:p w:rsidR="003A72B0" w:rsidRPr="00CB5D9F" w:rsidP="00CB5D9F" w14:paraId="4A51EB40" w14:textId="18542FAC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Ú. v. </w:t>
      </w:r>
      <w:r w:rsidRPr="00CB5D9F">
        <w:rPr>
          <w:sz w:val="24"/>
          <w:lang w:val="sk-SK"/>
        </w:rPr>
        <w:t>EÚ L, 2024/2747, 8.11.2024, ELI: </w:t>
      </w:r>
      <w:hyperlink r:id="rId7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http://data.europa.eu/eli/reg/2024/2747/oj</w:t>
        </w:r>
      </w:hyperlink>
      <w:r w:rsidRPr="00CB5D9F">
        <w:rPr>
          <w:sz w:val="24"/>
          <w:lang w:val="sk-SK"/>
        </w:rPr>
        <w:t>.</w:t>
      </w:r>
    </w:p>
  </w:footnote>
  <w:footnote w:id="9">
    <w:p w:rsidR="003A72B0" w:rsidRPr="00CB5D9F" w:rsidP="00CB5D9F" w14:paraId="43BAC347" w14:textId="7F3E32ED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Ú. v. </w:t>
      </w:r>
      <w:r w:rsidRPr="00CB5D9F">
        <w:rPr>
          <w:sz w:val="24"/>
          <w:lang w:val="sk-SK"/>
        </w:rPr>
        <w:t>EÚ L, 2025/63, 15.1.2025, ELI: </w:t>
      </w:r>
      <w:hyperlink r:id="rId8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http://data.europa.eu/eli/reco/2025/63/oj</w:t>
        </w:r>
      </w:hyperlink>
      <w:r w:rsidRPr="00CB5D9F">
        <w:rPr>
          <w:sz w:val="24"/>
          <w:lang w:val="sk-SK"/>
        </w:rPr>
        <w:t>.</w:t>
      </w:r>
    </w:p>
  </w:footnote>
  <w:footnote w:id="10">
    <w:p w:rsidR="003A72B0" w:rsidRPr="00CB5D9F" w:rsidP="00CB5D9F" w14:paraId="6EE24A24" w14:textId="4D6EEFFB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Ú. v. </w:t>
      </w:r>
      <w:r w:rsidRPr="00CB5D9F">
        <w:rPr>
          <w:sz w:val="24"/>
          <w:lang w:val="sk-SK"/>
        </w:rPr>
        <w:t>EÚ L, 2025/683, 16.4.2025, ELI: </w:t>
      </w:r>
      <w:hyperlink r:id="rId9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http://data.europa.eu/eli/reco/2025/683/oj</w:t>
        </w:r>
      </w:hyperlink>
      <w:r w:rsidRPr="00CB5D9F">
        <w:rPr>
          <w:sz w:val="24"/>
          <w:lang w:val="sk-SK"/>
        </w:rPr>
        <w:t>.</w:t>
      </w:r>
    </w:p>
  </w:footnote>
  <w:footnote w:id="11">
    <w:p w:rsidR="003A72B0" w:rsidRPr="00CB5D9F" w:rsidP="00CB5D9F" w14:paraId="7A432EA0" w14:textId="7F5CE58B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Ú. v. </w:t>
      </w:r>
      <w:r w:rsidRPr="00CB5D9F">
        <w:rPr>
          <w:sz w:val="24"/>
          <w:lang w:val="sk-SK"/>
        </w:rPr>
        <w:t>EÚ C, C/2024/3510, 30.5.2024, ELI: </w:t>
      </w:r>
      <w:hyperlink r:id="rId10" w:tgtFrame="_blank" w:tooltip="Umožňuje prístup k tomuto dokumentu prostredníctvom identifikátora URI používaného v rámci ELI." w:history="1">
        <w:r w:rsidRPr="00CB5D9F">
          <w:rPr>
            <w:rStyle w:val="Hyperlink"/>
            <w:sz w:val="24"/>
            <w:lang w:val="sk-SK"/>
          </w:rPr>
          <w:t>http://data.europa.eu/eli/C/2024/3510/oj</w:t>
        </w:r>
      </w:hyperlink>
      <w:r w:rsidRPr="00CB5D9F">
        <w:rPr>
          <w:sz w:val="24"/>
          <w:lang w:val="sk-SK"/>
        </w:rPr>
        <w:t>.</w:t>
      </w:r>
    </w:p>
  </w:footnote>
  <w:footnote w:id="12">
    <w:p w:rsidR="003A72B0" w:rsidRPr="00CB5D9F" w:rsidP="00CB5D9F" w14:paraId="7E60B186" w14:textId="6C9F8DB3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COM(2025)0726.</w:t>
      </w:r>
    </w:p>
  </w:footnote>
  <w:footnote w:id="13">
    <w:p w:rsidR="003A72B0" w:rsidRPr="00CB5D9F" w:rsidP="00CB5D9F" w14:paraId="5E875631" w14:textId="0EBFB189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Nariadenie Európskeho parlamentu a Rady (EÚ) 2021/821 z 20. mája 2021, ktorým sa stanovuje režim Únie na kontrolu vývozov, sprostredkovania, technickej pomoci, tranzitu a transferu položiek s dvojakým použitím (Ú. v. EÚ L 206, 11.6.2021, s. </w:t>
      </w:r>
      <w:r w:rsidRPr="00CB5D9F">
        <w:rPr>
          <w:sz w:val="24"/>
          <w:lang w:val="sk-SK"/>
        </w:rPr>
        <w:t xml:space="preserve">1, </w:t>
      </w:r>
      <w:r w:rsidR="00BC182E">
        <w:rPr>
          <w:sz w:val="24"/>
          <w:lang w:val="sk-SK"/>
        </w:rPr>
        <w:t xml:space="preserve">ELI: </w:t>
      </w:r>
      <w:hyperlink r:id="rId2" w:history="1">
        <w:r w:rsidRPr="00BC182E" w:rsidR="00BC182E">
          <w:rPr>
            <w:rStyle w:val="Hyperlink"/>
            <w:sz w:val="24"/>
            <w:lang w:val="sk-SK"/>
          </w:rPr>
          <w:t>http://data.europa.eu/eli/reg/2021/821/oj</w:t>
        </w:r>
      </w:hyperlink>
      <w:r w:rsidRPr="00CB5D9F">
        <w:rPr>
          <w:sz w:val="24"/>
          <w:lang w:val="sk-SK"/>
        </w:rPr>
        <w:t>).</w:t>
      </w:r>
    </w:p>
  </w:footnote>
  <w:footnote w:id="14">
    <w:p w:rsidR="003A72B0" w:rsidRPr="00CB5D9F" w:rsidP="00CB5D9F" w14:paraId="09028107" w14:textId="76A6A957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>Nariadenie Európskeho parlamentu a Rady (EÚ) 2024/1735 z 13. júna 2024 o zriadení rámca opatrení na posilnenie európskeho ekosystému výroby emisne neutrálnych technológií a o zmene nariadenia (EÚ) 2018/1724 (Ú. v. </w:t>
      </w:r>
      <w:r w:rsidRPr="00CB5D9F">
        <w:rPr>
          <w:sz w:val="24"/>
          <w:lang w:val="sk-SK"/>
        </w:rPr>
        <w:t xml:space="preserve">EÚ L, 2024/1735, 28.6.2024, ELI: </w:t>
      </w:r>
      <w:hyperlink r:id="rId6" w:history="1">
        <w:r w:rsidRPr="00CB5D9F">
          <w:rPr>
            <w:rStyle w:val="Hyperlink"/>
            <w:sz w:val="24"/>
            <w:lang w:val="sk-SK"/>
          </w:rPr>
          <w:t>http://data.europa.eu/eli/reg/2024/1735/oj</w:t>
        </w:r>
      </w:hyperlink>
      <w:r w:rsidRPr="00CB5D9F">
        <w:rPr>
          <w:sz w:val="24"/>
          <w:lang w:val="sk-SK"/>
        </w:rPr>
        <w:t>).</w:t>
      </w:r>
    </w:p>
  </w:footnote>
  <w:footnote w:id="15">
    <w:p w:rsidR="003A72B0" w:rsidRPr="00CB5D9F" w:rsidP="00CB5D9F" w14:paraId="401C9A3F" w14:textId="70D464E7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Nariadenie Európskeho parlamentu a Rady (EÚ) 2019/881 zo 17. apríla 2019 o agentúre ENISA (Agentúra Európskej únie pre kybernetickú bezpečnosť) a o certifikácii kybernetickej bezpečnosti informačných a komunikačných technológií a o zrušení nariadenia (EÚ) č. 526/2013 (akt o kybernetickej bezpečnosti) (Ú. v. EÚ L 151, 7.6.2019, s. </w:t>
      </w:r>
      <w:r w:rsidRPr="00CB5D9F">
        <w:rPr>
          <w:sz w:val="24"/>
          <w:lang w:val="sk-SK"/>
        </w:rPr>
        <w:t>15,</w:t>
      </w:r>
      <w:r w:rsidR="00BC182E">
        <w:rPr>
          <w:sz w:val="24"/>
          <w:lang w:val="sk-SK"/>
        </w:rPr>
        <w:t xml:space="preserve"> ELI:</w:t>
      </w:r>
      <w:r w:rsidRPr="00CB5D9F">
        <w:rPr>
          <w:sz w:val="24"/>
          <w:lang w:val="sk-SK"/>
        </w:rPr>
        <w:t xml:space="preserve"> </w:t>
      </w:r>
      <w:hyperlink r:id="rId11" w:history="1">
        <w:r w:rsidRPr="00CB5D9F">
          <w:rPr>
            <w:rStyle w:val="Hyperlink"/>
            <w:sz w:val="24"/>
            <w:lang w:val="sk-SK"/>
          </w:rPr>
          <w:t>http://data.europa.eu/eli/reg/2019/881/oj</w:t>
        </w:r>
      </w:hyperlink>
      <w:r w:rsidRPr="00CB5D9F">
        <w:rPr>
          <w:sz w:val="24"/>
          <w:lang w:val="sk-SK"/>
        </w:rPr>
        <w:t>).</w:t>
      </w:r>
    </w:p>
  </w:footnote>
  <w:footnote w:id="16">
    <w:p w:rsidR="003A72B0" w:rsidRPr="00CB5D9F" w:rsidP="00CB5D9F" w14:paraId="24563F46" w14:textId="27BFEED5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Nariadenie Európskeho parlamentu a Rady (EÚ) 2022/2560 zo 14. decembra 2022 o zahraničných subvenciách narúšajúcich vnútorný trh (Ú. </w:t>
      </w:r>
      <w:r w:rsidRPr="00CB5D9F">
        <w:rPr>
          <w:sz w:val="24"/>
          <w:lang w:val="sk-SK"/>
        </w:rPr>
        <w:t>v</w:t>
      </w:r>
      <w:r w:rsidR="00074528">
        <w:rPr>
          <w:sz w:val="24"/>
          <w:lang w:val="sk-SK"/>
        </w:rPr>
        <w:t>.</w:t>
      </w:r>
      <w:r w:rsidRPr="00CB5D9F">
        <w:rPr>
          <w:sz w:val="24"/>
          <w:lang w:val="sk-SK"/>
        </w:rPr>
        <w:t> EÚ L 330, 23.12.2022, s. 1,</w:t>
      </w:r>
      <w:r w:rsidR="00BC182E">
        <w:rPr>
          <w:sz w:val="24"/>
          <w:lang w:val="sk-SK"/>
        </w:rPr>
        <w:t xml:space="preserve"> ELI:</w:t>
      </w:r>
      <w:r w:rsidRPr="00CB5D9F">
        <w:rPr>
          <w:sz w:val="24"/>
          <w:lang w:val="sk-SK"/>
        </w:rPr>
        <w:t xml:space="preserve"> </w:t>
      </w:r>
      <w:hyperlink r:id="rId12" w:history="1">
        <w:r w:rsidRPr="00CB5D9F">
          <w:rPr>
            <w:rStyle w:val="Hyperlink"/>
            <w:sz w:val="24"/>
            <w:lang w:val="sk-SK"/>
          </w:rPr>
          <w:t>http://data.europa.eu/eli/reg/2022/2560/oj</w:t>
        </w:r>
      </w:hyperlink>
      <w:r w:rsidRPr="00CB5D9F">
        <w:rPr>
          <w:sz w:val="24"/>
          <w:lang w:val="sk-SK"/>
        </w:rPr>
        <w:t>).</w:t>
      </w:r>
    </w:p>
  </w:footnote>
  <w:footnote w:id="17">
    <w:p w:rsidR="003A72B0" w:rsidRPr="00CB5D9F" w:rsidP="00CB5D9F" w14:paraId="1BC638D9" w14:textId="3E97CF05">
      <w:pPr>
        <w:pStyle w:val="FootnoteText"/>
        <w:ind w:left="567" w:hanging="567"/>
        <w:rPr>
          <w:sz w:val="24"/>
          <w:lang w:val="sk-SK"/>
        </w:rPr>
      </w:pPr>
      <w:r w:rsidRPr="00CB5D9F">
        <w:rPr>
          <w:rStyle w:val="FootnoteReference"/>
          <w:sz w:val="24"/>
          <w:lang w:val="sk-SK"/>
        </w:rPr>
        <w:footnoteRef/>
      </w:r>
      <w:r w:rsidRPr="00CB5D9F" w:rsidR="00CB5D9F">
        <w:rPr>
          <w:sz w:val="24"/>
          <w:lang w:val="sk-SK"/>
        </w:rPr>
        <w:t xml:space="preserve"> </w:t>
      </w:r>
      <w:r w:rsidRPr="00CB5D9F" w:rsidR="00CB5D9F">
        <w:rPr>
          <w:sz w:val="24"/>
          <w:lang w:val="sk-SK"/>
        </w:rPr>
        <w:tab/>
      </w:r>
      <w:r w:rsidRPr="00CB5D9F">
        <w:rPr>
          <w:sz w:val="24"/>
          <w:lang w:val="sk-SK"/>
        </w:rPr>
        <w:t xml:space="preserve">Smernica Európskeho parlamentu a Rady 2011/62/EÚ z 8. júna 2011, ktorou sa mení a dopĺňa smernica 2001/83/ES, ktorou sa ustanovuje zákonník Spoločenstva o humánnych liekoch, pokiaľ ide o predchádzanie vstupu falšovaných liekov do legálneho dodávateľského reťazca (Ú. v. EÚ L 174, 1.7.2011, s. </w:t>
      </w:r>
      <w:r w:rsidRPr="00CB5D9F">
        <w:rPr>
          <w:sz w:val="24"/>
          <w:lang w:val="sk-SK"/>
        </w:rPr>
        <w:t xml:space="preserve">74, </w:t>
      </w:r>
      <w:r w:rsidR="00BC182E">
        <w:rPr>
          <w:sz w:val="24"/>
          <w:lang w:val="sk-SK"/>
        </w:rPr>
        <w:t xml:space="preserve">ELI: </w:t>
      </w:r>
      <w:hyperlink r:id="rId13" w:history="1">
        <w:r w:rsidRPr="00511B54" w:rsidR="00511B54">
          <w:rPr>
            <w:rStyle w:val="Hyperlink"/>
            <w:sz w:val="24"/>
            <w:lang w:val="sk-SK"/>
          </w:rPr>
          <w:t>http://data.europa.eu/eli/dir/2011/62/oj</w:t>
        </w:r>
      </w:hyperlink>
      <w:r w:rsidRPr="00CB5D9F">
        <w:rPr>
          <w:sz w:val="24"/>
          <w:lang w:val="sk-SK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595F2F97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3F56232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CB5D9F" w14:paraId="7AC81B02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418794721">
    <w:abstractNumId w:val="9"/>
  </w:num>
  <w:num w:numId="2" w16cid:durableId="589122069">
    <w:abstractNumId w:val="9"/>
  </w:num>
  <w:num w:numId="3" w16cid:durableId="365914028">
    <w:abstractNumId w:val="7"/>
  </w:num>
  <w:num w:numId="4" w16cid:durableId="210312812">
    <w:abstractNumId w:val="7"/>
  </w:num>
  <w:num w:numId="5" w16cid:durableId="695352949">
    <w:abstractNumId w:val="6"/>
  </w:num>
  <w:num w:numId="6" w16cid:durableId="1750345726">
    <w:abstractNumId w:val="6"/>
  </w:num>
  <w:num w:numId="7" w16cid:durableId="102502652">
    <w:abstractNumId w:val="5"/>
  </w:num>
  <w:num w:numId="8" w16cid:durableId="1209533297">
    <w:abstractNumId w:val="5"/>
  </w:num>
  <w:num w:numId="9" w16cid:durableId="806363151">
    <w:abstractNumId w:val="4"/>
  </w:num>
  <w:num w:numId="10" w16cid:durableId="173346865">
    <w:abstractNumId w:val="4"/>
  </w:num>
  <w:num w:numId="11" w16cid:durableId="90637129">
    <w:abstractNumId w:val="8"/>
  </w:num>
  <w:num w:numId="12" w16cid:durableId="500396176">
    <w:abstractNumId w:val="8"/>
  </w:num>
  <w:num w:numId="13" w16cid:durableId="879393086">
    <w:abstractNumId w:val="3"/>
  </w:num>
  <w:num w:numId="14" w16cid:durableId="1149440213">
    <w:abstractNumId w:val="3"/>
  </w:num>
  <w:num w:numId="15" w16cid:durableId="765812936">
    <w:abstractNumId w:val="2"/>
  </w:num>
  <w:num w:numId="16" w16cid:durableId="1836610875">
    <w:abstractNumId w:val="2"/>
  </w:num>
  <w:num w:numId="17" w16cid:durableId="790248969">
    <w:abstractNumId w:val="1"/>
  </w:num>
  <w:num w:numId="18" w16cid:durableId="973100195">
    <w:abstractNumId w:val="1"/>
  </w:num>
  <w:num w:numId="19" w16cid:durableId="392122082">
    <w:abstractNumId w:val="0"/>
  </w:num>
  <w:num w:numId="20" w16cid:durableId="1202550548">
    <w:abstractNumId w:val="0"/>
  </w:num>
  <w:num w:numId="21" w16cid:durableId="123471239">
    <w:abstractNumId w:val="9"/>
  </w:num>
  <w:num w:numId="22" w16cid:durableId="1980185699">
    <w:abstractNumId w:val="7"/>
  </w:num>
  <w:num w:numId="23" w16cid:durableId="1342050152">
    <w:abstractNumId w:val="6"/>
  </w:num>
  <w:num w:numId="24" w16cid:durableId="1005088866">
    <w:abstractNumId w:val="5"/>
  </w:num>
  <w:num w:numId="25" w16cid:durableId="788819784">
    <w:abstractNumId w:val="4"/>
  </w:num>
  <w:num w:numId="26" w16cid:durableId="1831171610">
    <w:abstractNumId w:val="8"/>
  </w:num>
  <w:num w:numId="27" w16cid:durableId="793334454">
    <w:abstractNumId w:val="3"/>
  </w:num>
  <w:num w:numId="28" w16cid:durableId="1847092472">
    <w:abstractNumId w:val="2"/>
  </w:num>
  <w:num w:numId="29" w16cid:durableId="996418427">
    <w:abstractNumId w:val="1"/>
  </w:num>
  <w:num w:numId="30" w16cid:durableId="1535263167">
    <w:abstractNumId w:val="0"/>
  </w:num>
  <w:num w:numId="31" w16cid:durableId="44305746">
    <w:abstractNumId w:val="9"/>
  </w:num>
  <w:num w:numId="32" w16cid:durableId="655691238">
    <w:abstractNumId w:val="7"/>
  </w:num>
  <w:num w:numId="33" w16cid:durableId="133066426">
    <w:abstractNumId w:val="6"/>
  </w:num>
  <w:num w:numId="34" w16cid:durableId="1362587649">
    <w:abstractNumId w:val="5"/>
  </w:num>
  <w:num w:numId="35" w16cid:durableId="2089762961">
    <w:abstractNumId w:val="4"/>
  </w:num>
  <w:num w:numId="36" w16cid:durableId="667712449">
    <w:abstractNumId w:val="8"/>
  </w:num>
  <w:num w:numId="37" w16cid:durableId="598946625">
    <w:abstractNumId w:val="3"/>
  </w:num>
  <w:num w:numId="38" w16cid:durableId="9987198">
    <w:abstractNumId w:val="2"/>
  </w:num>
  <w:num w:numId="39" w16cid:durableId="665329585">
    <w:abstractNumId w:val="1"/>
  </w:num>
  <w:num w:numId="40" w16cid:durableId="1404336447">
    <w:abstractNumId w:val="0"/>
  </w:num>
  <w:num w:numId="41" w16cid:durableId="1824930281">
    <w:abstractNumId w:val="10"/>
  </w:num>
  <w:num w:numId="42" w16cid:durableId="270403867">
    <w:abstractNumId w:val="10"/>
  </w:num>
  <w:num w:numId="43" w16cid:durableId="1675301784">
    <w:abstractNumId w:val="10"/>
  </w:num>
  <w:num w:numId="44" w16cid:durableId="16544197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008A"/>
    <w:rsid w:val="00002272"/>
    <w:rsid w:val="00064002"/>
    <w:rsid w:val="000677B9"/>
    <w:rsid w:val="00074528"/>
    <w:rsid w:val="000831BA"/>
    <w:rsid w:val="000A42CC"/>
    <w:rsid w:val="000E7DD9"/>
    <w:rsid w:val="0010095E"/>
    <w:rsid w:val="00125B37"/>
    <w:rsid w:val="00187494"/>
    <w:rsid w:val="001F32AE"/>
    <w:rsid w:val="002767FF"/>
    <w:rsid w:val="002A0F1F"/>
    <w:rsid w:val="002B18FE"/>
    <w:rsid w:val="002B5493"/>
    <w:rsid w:val="00343214"/>
    <w:rsid w:val="00361C00"/>
    <w:rsid w:val="00395FA1"/>
    <w:rsid w:val="003A72B0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1B54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C182E"/>
    <w:rsid w:val="00BD48FE"/>
    <w:rsid w:val="00BD7BD8"/>
    <w:rsid w:val="00BE6ADC"/>
    <w:rsid w:val="00C05BFE"/>
    <w:rsid w:val="00C23CD4"/>
    <w:rsid w:val="00C61C0C"/>
    <w:rsid w:val="00C941CB"/>
    <w:rsid w:val="00CB5D9F"/>
    <w:rsid w:val="00CC2357"/>
    <w:rsid w:val="00CE008A"/>
    <w:rsid w:val="00CF071A"/>
    <w:rsid w:val="00D058B8"/>
    <w:rsid w:val="00D56C11"/>
    <w:rsid w:val="00D834A0"/>
    <w:rsid w:val="00D872DF"/>
    <w:rsid w:val="00D91E21"/>
    <w:rsid w:val="00DA7FCD"/>
    <w:rsid w:val="00E365E1"/>
    <w:rsid w:val="00E721AD"/>
    <w:rsid w:val="00E820A4"/>
    <w:rsid w:val="00EB006A"/>
    <w:rsid w:val="00EB4772"/>
    <w:rsid w:val="00ED169E"/>
    <w:rsid w:val="00ED4235"/>
    <w:rsid w:val="00F04346"/>
    <w:rsid w:val="00F075DC"/>
    <w:rsid w:val="00F14882"/>
    <w:rsid w:val="00F149E9"/>
    <w:rsid w:val="00F506E0"/>
    <w:rsid w:val="00F5134D"/>
    <w:rsid w:val="00F74202"/>
    <w:rsid w:val="00F7496F"/>
    <w:rsid w:val="00F87713"/>
    <w:rsid w:val="00FB4360"/>
    <w:rsid w:val="00FD0C70"/>
  </w:rsids>
  <w:docVars>
    <w:docVar w:name="dvdocse" w:val="A10-0148/2026"/>
    <w:docVar w:name="dvlangue" w:val="SK"/>
    <w:docVar w:name="dvnumam" w:val="0"/>
    <w:docVar w:name="dvpe" w:val="784.220"/>
    <w:docVar w:name="dvrapporteur" w:val="Spravodajca: "/>
    <w:docVar w:name="dvtitre" w:val="Uznesenie Európskeho parlamentu z/zo xx. xxx 2026 o úlohe obchodu pri posilňovaní hospodárskej bezpečnosti EÚ(2025/2113(INI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3276111"/>
  <w15:chartTrackingRefBased/>
  <w15:docId w15:val="{8B345F2D-6FA7-4FB6-9593-B35CD40C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Footer2">
    <w:name w:val="EPFooter2"/>
    <w:basedOn w:val="Normal"/>
    <w:next w:val="Normal"/>
    <w:rsid w:val="003A72B0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PageHeading">
    <w:name w:val="PageHeading"/>
    <w:basedOn w:val="Normal"/>
    <w:rsid w:val="003A72B0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Hanging12a">
    <w:name w:val="NormalHanging12a"/>
    <w:basedOn w:val="Normal"/>
    <w:rsid w:val="003A72B0"/>
    <w:pPr>
      <w:spacing w:after="240"/>
      <w:ind w:left="567" w:hanging="567"/>
    </w:pPr>
  </w:style>
  <w:style w:type="paragraph" w:styleId="Header">
    <w:name w:val="header"/>
    <w:basedOn w:val="Normal"/>
    <w:link w:val="HeaderChar"/>
    <w:rsid w:val="003A72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3A72B0"/>
    <w:rPr>
      <w:sz w:val="24"/>
      <w:lang w:val="sk-SK"/>
    </w:rPr>
  </w:style>
  <w:style w:type="paragraph" w:customStyle="1" w:styleId="EPFooter">
    <w:name w:val="EPFooter"/>
    <w:basedOn w:val="Normal"/>
    <w:rsid w:val="003A72B0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3A72B0"/>
    <w:pPr>
      <w:spacing w:before="480" w:after="240"/>
    </w:pPr>
  </w:style>
  <w:style w:type="character" w:styleId="Hyperlink">
    <w:name w:val="Hyperlink"/>
    <w:basedOn w:val="DefaultParagraphFont"/>
    <w:rsid w:val="003A72B0"/>
    <w:rPr>
      <w:color w:val="0563C1" w:themeColor="hyperlink"/>
      <w:u w:val="single"/>
    </w:rPr>
  </w:style>
  <w:style w:type="paragraph" w:styleId="Footer">
    <w:name w:val="footer"/>
    <w:basedOn w:val="Normal"/>
    <w:link w:val="FooterChar"/>
    <w:rsid w:val="00BC182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BC182E"/>
    <w:rPr>
      <w:sz w:val="24"/>
      <w:lang w:val="sk-SK"/>
    </w:rPr>
  </w:style>
  <w:style w:type="paragraph" w:styleId="Revision">
    <w:name w:val="Revision"/>
    <w:hidden/>
    <w:uiPriority w:val="99"/>
    <w:semiHidden/>
    <w:rsid w:val="00BC182E"/>
    <w:rPr>
      <w:sz w:val="24"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BC18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reg/2019/452/oj" TargetMode="External" /><Relationship Id="rId10" Type="http://schemas.openxmlformats.org/officeDocument/2006/relationships/hyperlink" Target="http://data.europa.eu/eli/C/2024/3510/oj" TargetMode="External" /><Relationship Id="rId11" Type="http://schemas.openxmlformats.org/officeDocument/2006/relationships/hyperlink" Target="http://data.europa.eu/eli/reg/2019/881/oj" TargetMode="External" /><Relationship Id="rId12" Type="http://schemas.openxmlformats.org/officeDocument/2006/relationships/hyperlink" Target="http://data.europa.eu/eli/reg/2022/2560/oj" TargetMode="External" /><Relationship Id="rId13" Type="http://schemas.openxmlformats.org/officeDocument/2006/relationships/hyperlink" Target="http://data.europa.eu/eli/dir/2011/62/oj" TargetMode="External" /><Relationship Id="rId2" Type="http://schemas.openxmlformats.org/officeDocument/2006/relationships/hyperlink" Target="http://data.europa.eu/eli/reg/2021/821/oj" TargetMode="External" /><Relationship Id="rId3" Type="http://schemas.openxmlformats.org/officeDocument/2006/relationships/hyperlink" Target="http://data.europa.eu/eli/reg/2023/1781/oj" TargetMode="External" /><Relationship Id="rId4" Type="http://schemas.openxmlformats.org/officeDocument/2006/relationships/hyperlink" Target="http://data.europa.eu/eli/reg/2023/2675/oj" TargetMode="External" /><Relationship Id="rId5" Type="http://schemas.openxmlformats.org/officeDocument/2006/relationships/hyperlink" Target="http://data.europa.eu/eli/reg/2024/1252/oj." TargetMode="External" /><Relationship Id="rId6" Type="http://schemas.openxmlformats.org/officeDocument/2006/relationships/hyperlink" Target="http://data.europa.eu/eli/reg/2024/1735/oj" TargetMode="External" /><Relationship Id="rId7" Type="http://schemas.openxmlformats.org/officeDocument/2006/relationships/hyperlink" Target="http://data.europa.eu/eli/reg/2024/2747/oj" TargetMode="External" /><Relationship Id="rId8" Type="http://schemas.openxmlformats.org/officeDocument/2006/relationships/hyperlink" Target="http://data.europa.eu/eli/reco/2025/63/oj" TargetMode="External" /><Relationship Id="rId9" Type="http://schemas.openxmlformats.org/officeDocument/2006/relationships/hyperlink" Target="http://data.europa.eu/eli/reco/2025/683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9144</Words>
  <Characters>60234</Characters>
  <Application>Microsoft Office Word</Application>
  <DocSecurity>0</DocSecurity>
  <Lines>501</Lines>
  <Paragraphs>138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69240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3</cp:revision>
  <cp:lastPrinted>2004-11-19T15:42:00Z</cp:lastPrinted>
  <dcterms:created xsi:type="dcterms:W3CDTF">2026-06-16T10:03:00Z</dcterms:created>
  <dcterms:modified xsi:type="dcterms:W3CDTF">2026-07-14T12:23:00Z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A10-0148/2026</vt:lpwstr>
  </property>
  <property fmtid="{D5CDD505-2E9C-101B-9397-08002B2CF9AE}" pid="4" name="&lt;Type&gt;">
    <vt:lpwstr>RR</vt:lpwstr>
  </property>
</Properties>
</file>