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85DF7F" w14:textId="77777777" w:rsidTr="0010095E">
        <w:tblPrEx>
          <w:tblW w:w="9072" w:type="dxa"/>
          <w:tblLook w:val="01E0"/>
        </w:tblPrEx>
        <w:trPr>
          <w:trHeight w:hRule="exact" w:val="1418"/>
        </w:trPr>
        <w:tc>
          <w:tcPr>
            <w:tcW w:w="6804" w:type="dxa"/>
            <w:shd w:val="clear" w:color="auto" w:fill="auto"/>
            <w:vAlign w:val="center"/>
          </w:tcPr>
          <w:p w:rsidR="00751A4A" w:rsidRPr="00A73F6C" w:rsidP="0010095E" w14:paraId="69637E73" w14:textId="4BA7B061">
            <w:pPr>
              <w:pStyle w:val="EPName"/>
            </w:pPr>
            <w:r w:rsidRPr="00A73F6C">
              <w:t>Европейски</w:t>
            </w:r>
            <w:r w:rsidRPr="00A73F6C" w:rsidR="00F77E89">
              <w:t xml:space="preserve"> парламент</w:t>
            </w:r>
          </w:p>
          <w:p w:rsidR="00751A4A" w:rsidRPr="00A73F6C" w:rsidP="005F1B17" w14:paraId="28F6FCD0" w14:textId="4A9A5E58">
            <w:pPr>
              <w:pStyle w:val="EPTerm"/>
              <w:rPr>
                <w:rStyle w:val="HideTWBExt"/>
                <w:noProof w:val="0"/>
                <w:vanish w:val="0"/>
                <w:color w:val="auto"/>
              </w:rPr>
            </w:pPr>
            <w:r w:rsidRPr="00A73F6C">
              <w:t>2024</w:t>
            </w:r>
            <w:r w:rsidR="00787C81">
              <w:t> – </w:t>
            </w:r>
            <w:r w:rsidRPr="00A73F6C" w:rsidR="00817416">
              <w:t>202</w:t>
            </w:r>
            <w:r w:rsidRPr="00A73F6C">
              <w:t>9</w:t>
            </w:r>
          </w:p>
        </w:tc>
        <w:tc>
          <w:tcPr>
            <w:tcW w:w="2268" w:type="dxa"/>
            <w:shd w:val="clear" w:color="auto" w:fill="auto"/>
          </w:tcPr>
          <w:p w:rsidR="00751A4A" w:rsidRPr="00A73F6C" w:rsidP="0010095E" w14:paraId="264D74C8" w14:textId="77777777">
            <w:pPr>
              <w:pStyle w:val="EPLogo"/>
            </w:pPr>
            <w:r w:rsidRPr="00A73F6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73F6C" w:rsidP="004C5D52" w14:paraId="1EDBBF84" w14:textId="77777777">
      <w:pPr>
        <w:pStyle w:val="LineTop"/>
      </w:pPr>
    </w:p>
    <w:p w:rsidR="00680577" w:rsidRPr="00A73F6C" w:rsidP="00680577" w14:paraId="6F4EDD27" w14:textId="77777777">
      <w:pPr>
        <w:pStyle w:val="EPBodyTA1"/>
      </w:pPr>
      <w:r w:rsidRPr="00A73F6C">
        <w:t>ПРИЕТИ ТЕКСТОВЕ</w:t>
      </w:r>
    </w:p>
    <w:p w:rsidR="00D058B8" w:rsidRPr="00A73F6C" w:rsidP="00D058B8" w14:paraId="3F8715D5" w14:textId="77777777">
      <w:pPr>
        <w:pStyle w:val="LineBottom"/>
      </w:pPr>
    </w:p>
    <w:p w:rsidR="00F77E89" w:rsidRPr="00A73F6C" w:rsidP="00F77E89" w14:paraId="3C5D5F2D" w14:textId="45B08C4F">
      <w:pPr>
        <w:pStyle w:val="ATHeading1"/>
      </w:pPr>
      <w:bookmarkStart w:id="0" w:name="TANumber"/>
      <w:r w:rsidRPr="00A73F6C">
        <w:t>P10_TA(2026)0</w:t>
      </w:r>
      <w:r w:rsidR="00681495">
        <w:t>2</w:t>
      </w:r>
      <w:r w:rsidRPr="00A73F6C">
        <w:t>0</w:t>
      </w:r>
      <w:r w:rsidR="00681495">
        <w:t>5</w:t>
      </w:r>
      <w:bookmarkEnd w:id="0"/>
    </w:p>
    <w:p w:rsidR="00F77E89" w:rsidRPr="00A73F6C" w:rsidP="00F77E89" w14:paraId="6519102C" w14:textId="77777777">
      <w:pPr>
        <w:pStyle w:val="ATHeading2"/>
      </w:pPr>
      <w:bookmarkStart w:id="1" w:name="title"/>
      <w:r w:rsidRPr="00A73F6C">
        <w:t>Засилване на сътрудничеството за развитие с цел справяне с незаконното движение на хора и първопричините за това в държавите партньори</w:t>
      </w:r>
      <w:bookmarkEnd w:id="1"/>
    </w:p>
    <w:p w:rsidR="00F77E89" w:rsidRPr="00A73F6C" w:rsidP="00F77E89" w14:paraId="0D8E4520" w14:textId="77777777">
      <w:pPr>
        <w:rPr>
          <w:i/>
          <w:vanish/>
        </w:rPr>
      </w:pPr>
      <w:r>
        <w:rPr>
          <w:i/>
        </w:rPr>
        <w:fldChar w:fldCharType="begin"/>
      </w:r>
      <w:r w:rsidRPr="00A73F6C">
        <w:rPr>
          <w:i/>
        </w:rPr>
        <w:instrText xml:space="preserve"> TC"(</w:instrText>
      </w:r>
      <w:bookmarkStart w:id="2" w:name="DocNumber"/>
      <w:r w:rsidRPr="00A73F6C">
        <w:rPr>
          <w:i/>
        </w:rPr>
        <w:instrText>A10-0147/2026</w:instrText>
      </w:r>
      <w:bookmarkEnd w:id="2"/>
      <w:r w:rsidRPr="00A73F6C">
        <w:rPr>
          <w:i/>
        </w:rPr>
        <w:instrText xml:space="preserve"> - Докладчик: Лукас Мандл)"\l3 \n&gt; \* MERGEFORMAT </w:instrText>
      </w:r>
      <w:r>
        <w:rPr>
          <w:i/>
        </w:rPr>
        <w:fldChar w:fldCharType="end"/>
      </w:r>
    </w:p>
    <w:p w:rsidR="00F77E89" w:rsidRPr="00A73F6C" w:rsidP="00F77E89" w14:paraId="25FE87A3" w14:textId="77777777">
      <w:pPr>
        <w:rPr>
          <w:vanish/>
        </w:rPr>
      </w:pPr>
      <w:bookmarkStart w:id="3" w:name="Commission"/>
      <w:r w:rsidRPr="00A73F6C">
        <w:rPr>
          <w:vanish/>
        </w:rPr>
        <w:t>Комисия по развитие</w:t>
      </w:r>
      <w:bookmarkEnd w:id="3"/>
    </w:p>
    <w:p w:rsidR="00F77E89" w:rsidRPr="00A73F6C" w:rsidP="00F77E89" w14:paraId="30A635BB" w14:textId="77777777">
      <w:pPr>
        <w:rPr>
          <w:vanish/>
        </w:rPr>
      </w:pPr>
      <w:bookmarkStart w:id="4" w:name="PE"/>
      <w:r w:rsidRPr="00A73F6C">
        <w:rPr>
          <w:vanish/>
        </w:rPr>
        <w:t>PE776.883</w:t>
      </w:r>
      <w:bookmarkEnd w:id="4"/>
    </w:p>
    <w:p w:rsidR="00F77E89" w:rsidRPr="00A73F6C" w:rsidP="00F77E89" w14:paraId="736825A4" w14:textId="6621B8BC">
      <w:pPr>
        <w:pStyle w:val="ATHeading3"/>
      </w:pPr>
      <w:bookmarkStart w:id="5" w:name="Sujet"/>
      <w:r w:rsidRPr="00A73F6C">
        <w:t xml:space="preserve">Резолюция на Европейския парламент от </w:t>
      </w:r>
      <w:r w:rsidR="004E1972">
        <w:t>16</w:t>
      </w:r>
      <w:r w:rsidR="009504B0">
        <w:t xml:space="preserve"> юни</w:t>
      </w:r>
      <w:r w:rsidRPr="00A73F6C" w:rsidR="009504B0">
        <w:t xml:space="preserve"> </w:t>
      </w:r>
      <w:r w:rsidRPr="00A73F6C">
        <w:t>2026 г. относно засилването на сътрудничеството за развитие с цел справяне с незаконното движение на хора и първопричините за това в държавите партньори</w:t>
      </w:r>
      <w:bookmarkEnd w:id="5"/>
      <w:r w:rsidRPr="00A73F6C">
        <w:t xml:space="preserve"> </w:t>
      </w:r>
      <w:bookmarkStart w:id="6" w:name="References"/>
      <w:r w:rsidRPr="00A73F6C">
        <w:t>(2025/2111(INI))</w:t>
      </w:r>
      <w:bookmarkEnd w:id="6"/>
    </w:p>
    <w:p w:rsidR="00BD5891" w:rsidRPr="00787C81" w:rsidP="00BD5891" w14:paraId="1CD869EF" w14:textId="77777777">
      <w:pPr>
        <w:pStyle w:val="Normal12"/>
        <w:rPr>
          <w:i/>
          <w:iCs/>
        </w:rPr>
      </w:pPr>
      <w:r w:rsidRPr="00787C81">
        <w:rPr>
          <w:i/>
          <w:iCs/>
        </w:rPr>
        <w:t>Европейският парламент,</w:t>
      </w:r>
    </w:p>
    <w:p w:rsidR="00BD5891" w:rsidRPr="00A73F6C" w:rsidP="00BD5891" w14:paraId="3564A6E7" w14:textId="77777777">
      <w:pPr>
        <w:pStyle w:val="NormalHanging"/>
      </w:pPr>
      <w:r w:rsidRPr="00A73F6C">
        <w:t>–</w:t>
      </w:r>
      <w:r w:rsidRPr="00A73F6C">
        <w:tab/>
        <w:t>като взе предвид членове 79 и 208 от Договора за функционирането на Европейския съюз (ДФЕС),</w:t>
      </w:r>
    </w:p>
    <w:p w:rsidR="00BD5891" w:rsidRPr="00A73F6C" w:rsidP="00BD5891" w14:paraId="7163C4C8" w14:textId="77777777">
      <w:pPr>
        <w:pStyle w:val="NormalHanging"/>
      </w:pPr>
      <w:r w:rsidRPr="00A73F6C">
        <w:t>–</w:t>
      </w:r>
      <w:r w:rsidRPr="00A73F6C">
        <w:tab/>
        <w:t>като взе предвид член 3, параграф 5 и член 21 от Договора за Европейския съюз (ДЕС),</w:t>
      </w:r>
    </w:p>
    <w:p w:rsidR="00BD5891" w:rsidRPr="00A73F6C" w:rsidP="00BD5891" w14:paraId="1B8116D5" w14:textId="77777777">
      <w:pPr>
        <w:pStyle w:val="NormalHanging"/>
      </w:pPr>
      <w:r w:rsidRPr="00A73F6C">
        <w:t>–</w:t>
      </w:r>
      <w:r w:rsidRPr="00A73F6C">
        <w:tab/>
        <w:t>като взе предвид работния документ на службите на Комисията от 30 юни 2021 г., озаглавен „Прилагане на основания на правата на човека подход към международните партньорства – актуализиран инструментариум за поставяне на носителите на права в центъра на политиката за съседство, сътрудничеството за развитие и международното сътрудничество на ЕС“ (SWD(2021)0179),</w:t>
      </w:r>
    </w:p>
    <w:p w:rsidR="00BD5891" w:rsidRPr="00A73F6C" w:rsidP="00BD5891" w14:paraId="4255ABB1" w14:textId="2890987D">
      <w:pPr>
        <w:pStyle w:val="NormalHanging"/>
      </w:pPr>
      <w:r w:rsidRPr="00A73F6C">
        <w:t>–</w:t>
      </w:r>
      <w:r w:rsidRPr="00A73F6C">
        <w:tab/>
        <w:t>като взе предвид Регламент (ЕС) 2021/947 на Европейския парламент и на Съвета от 9 юни 2021 г. за създаване на Инструмента за съседство, сътрудничество за развитие и международно сътрудничество – Глобална Европа</w:t>
      </w:r>
      <w:r>
        <w:rPr>
          <w:rStyle w:val="FootnoteReference"/>
        </w:rPr>
        <w:footnoteReference w:id="2"/>
      </w:r>
      <w:r w:rsidRPr="00A73F6C">
        <w:t>,</w:t>
      </w:r>
    </w:p>
    <w:p w:rsidR="00BD5891" w:rsidRPr="00A73F6C" w:rsidP="00BD5891" w14:paraId="6BA8759F" w14:textId="77777777">
      <w:pPr>
        <w:pStyle w:val="NormalHanging"/>
      </w:pPr>
      <w:r w:rsidRPr="00A73F6C">
        <w:t>–</w:t>
      </w:r>
      <w:r w:rsidRPr="00A73F6C">
        <w:tab/>
        <w:t>като взе предвид предложението на Комисията от 16 юли 2025 г. за регламент на Европейския парламент и на Съвета за създаване на инструмент „Глобална Европа“ (COM(2025)0551),</w:t>
      </w:r>
    </w:p>
    <w:p w:rsidR="00BD5891" w:rsidRPr="00A73F6C" w:rsidP="00BD5891" w14:paraId="38B54A2D" w14:textId="47C46D42">
      <w:pPr>
        <w:pStyle w:val="NormalHanging"/>
      </w:pPr>
      <w:r w:rsidRPr="00A73F6C">
        <w:t>–</w:t>
      </w:r>
      <w:r w:rsidRPr="00A73F6C">
        <w:tab/>
        <w:t>като взе предвид Регламент (ЕС) 2024/1351 на Европейския парламент и на Съвета от 14 май 2024 г. относно управлението на убежището и миграцията, за изменение на регламенти (EС) 2021/1147 и (ЕС) 2021/1060 и за отмяна на Регламент (ЕС) № 604/2013</w:t>
      </w:r>
      <w:r>
        <w:rPr>
          <w:rStyle w:val="FootnoteReference"/>
        </w:rPr>
        <w:footnoteReference w:id="3"/>
      </w:r>
      <w:r w:rsidRPr="00A73F6C">
        <w:t>,</w:t>
      </w:r>
    </w:p>
    <w:p w:rsidR="00BD5891" w:rsidRPr="00A73F6C" w:rsidP="00BD5891" w14:paraId="1DEB6C1A" w14:textId="77777777">
      <w:pPr>
        <w:pStyle w:val="NormalHanging"/>
      </w:pPr>
      <w:r w:rsidRPr="00A73F6C">
        <w:t>–</w:t>
      </w:r>
      <w:r w:rsidRPr="00A73F6C">
        <w:tab/>
        <w:t xml:space="preserve">като взе предвид предложението на Комисията от 11 март 2025 г. за регламент на Европейския парламент и на Съвета за създаване на обща система за връщане на граждани на трети държави, които пребивават незаконно на територията на Съюза, и за отмяна на Директива 2008/115/ЕО на Европейския парламент и на </w:t>
      </w:r>
      <w:r w:rsidRPr="00A73F6C">
        <w:t>Съвета, Директива 2001/40/ЕО на Съвета и Решение 2004/191/ЕО на Съвета (COM(2025)0101),</w:t>
      </w:r>
    </w:p>
    <w:p w:rsidR="00BD5891" w:rsidRPr="00A73F6C" w:rsidP="00BD5891" w14:paraId="6B9EED6C" w14:textId="38F68EF0">
      <w:pPr>
        <w:pStyle w:val="NormalHanging"/>
      </w:pPr>
      <w:r w:rsidRPr="00A73F6C">
        <w:t>–</w:t>
      </w:r>
      <w:r w:rsidRPr="00A73F6C">
        <w:tab/>
        <w:t>като взе предвид Споразумението за партньорство между Европейския съюз и неговите държави членки, от една страна, и членовете на Организацията на държавите от Африка, Карибите и Тихоокеанския басейн, от друга страна (Споразумението от Самоа)</w:t>
      </w:r>
      <w:r>
        <w:rPr>
          <w:rStyle w:val="FootnoteReference"/>
        </w:rPr>
        <w:footnoteReference w:id="4"/>
      </w:r>
      <w:r w:rsidRPr="00A73F6C">
        <w:t>,</w:t>
      </w:r>
    </w:p>
    <w:p w:rsidR="00BD5891" w:rsidRPr="00A73F6C" w:rsidP="00BD5891" w14:paraId="4B07291E" w14:textId="77777777">
      <w:pPr>
        <w:pStyle w:val="NormalHanging"/>
      </w:pPr>
      <w:r w:rsidRPr="00A73F6C">
        <w:t>–</w:t>
      </w:r>
      <w:r w:rsidRPr="00A73F6C">
        <w:tab/>
        <w:t>като взе предвид съобщението на Комисията от 27 април 2022 г., озаглавено „Привличане на умения и таланти в ЕС“ (COM(2022)0657),</w:t>
      </w:r>
    </w:p>
    <w:p w:rsidR="00BD5891" w:rsidRPr="00A73F6C" w:rsidP="00BD5891" w14:paraId="6CC1387D" w14:textId="77777777">
      <w:pPr>
        <w:pStyle w:val="NormalHanging"/>
      </w:pPr>
      <w:r w:rsidRPr="00A73F6C">
        <w:t>–</w:t>
      </w:r>
      <w:r w:rsidRPr="00A73F6C">
        <w:tab/>
        <w:t>като взе предвид Пакта за Средиземноморието,</w:t>
      </w:r>
    </w:p>
    <w:p w:rsidR="00BD5891" w:rsidRPr="00A73F6C" w:rsidP="00BD5891" w14:paraId="4BA11662" w14:textId="77777777">
      <w:pPr>
        <w:pStyle w:val="NormalHanging"/>
      </w:pPr>
      <w:r w:rsidRPr="00A73F6C">
        <w:t>–</w:t>
      </w:r>
      <w:r w:rsidRPr="00A73F6C">
        <w:tab/>
        <w:t>като взе предвид съвместното изявление от 7 юни 2017 г. на Съвета и представителите на правителствата на държавите членки, заседаващи в рамките на Съвета, на Европейския парламент и на Комисията относно новия Европейски консенсус за развитие – „Нашият свят, нашето достойнство, нашето бъдеще“,</w:t>
      </w:r>
    </w:p>
    <w:p w:rsidR="00BD5891" w:rsidRPr="00A73F6C" w:rsidP="00BD5891" w14:paraId="7DE49AEB" w14:textId="77777777">
      <w:pPr>
        <w:pStyle w:val="NormalHanging"/>
      </w:pPr>
      <w:r w:rsidRPr="00A73F6C">
        <w:t>–</w:t>
      </w:r>
      <w:r w:rsidRPr="00A73F6C">
        <w:tab/>
        <w:t>като взе предвид Извънредния доверителен фонд на ЕС за Африка и Специален доклад № 17/2024 на Европейската сметна палата от 25 септември 2024 г., озаглавен „Доверителен фонд на ЕС за Африка – Въпреки приложените нови подходи подкрепата продължава да бъде недостатъчно насочена“,</w:t>
      </w:r>
    </w:p>
    <w:p w:rsidR="00BD5891" w:rsidRPr="00A73F6C" w:rsidP="00BD5891" w14:paraId="46182A19" w14:textId="77777777">
      <w:pPr>
        <w:pStyle w:val="NormalHanging"/>
      </w:pPr>
      <w:r w:rsidRPr="00A73F6C">
        <w:t>–</w:t>
      </w:r>
      <w:r w:rsidRPr="00A73F6C">
        <w:tab/>
        <w:t>като взе предвид съобщението на Комисията от 4 юни 2025 г., озаглавено „Европейска стратегия за устойчивост на водните ресурси“ (COM(2025)0280),</w:t>
      </w:r>
    </w:p>
    <w:p w:rsidR="00BD5891" w:rsidRPr="00A73F6C" w:rsidP="00BD5891" w14:paraId="2813DD52" w14:textId="20D1D207">
      <w:pPr>
        <w:pStyle w:val="NormalHanging"/>
      </w:pPr>
      <w:r w:rsidRPr="00A73F6C">
        <w:t>–</w:t>
      </w:r>
      <w:r w:rsidRPr="00A73F6C">
        <w:tab/>
        <w:t>като взе предвид своята резолюция от 7 май 2025 г. относно европейската стратегия за устойчивост на водните ресурси</w:t>
      </w:r>
      <w:r>
        <w:rPr>
          <w:rStyle w:val="FootnoteReference"/>
        </w:rPr>
        <w:footnoteReference w:id="5"/>
      </w:r>
      <w:r w:rsidRPr="00A73F6C">
        <w:t>,</w:t>
      </w:r>
    </w:p>
    <w:p w:rsidR="00BD5891" w:rsidRPr="00A73F6C" w:rsidP="00BD5891" w14:paraId="1D1E5D45" w14:textId="0F95659D">
      <w:pPr>
        <w:pStyle w:val="NormalHanging"/>
      </w:pPr>
      <w:r w:rsidRPr="00A73F6C">
        <w:t>–</w:t>
      </w:r>
      <w:r w:rsidRPr="00A73F6C">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 декември 2021 г., озаглавено „</w:t>
      </w:r>
      <w:r w:rsidRPr="00A73F6C">
        <w:t>Global</w:t>
      </w:r>
      <w:r w:rsidRPr="00A73F6C">
        <w:t xml:space="preserve"> </w:t>
      </w:r>
      <w:r w:rsidRPr="00A73F6C">
        <w:t>Gateway</w:t>
      </w:r>
      <w:r w:rsidRPr="00A73F6C">
        <w:t>“ (</w:t>
      </w:r>
      <w:r w:rsidRPr="00681495" w:rsidR="009504B0">
        <w:t>JOIN(2021)0030</w:t>
      </w:r>
      <w:r w:rsidRPr="00A73F6C">
        <w:t>),</w:t>
      </w:r>
    </w:p>
    <w:p w:rsidR="00BD5891" w:rsidRPr="00A73F6C" w:rsidP="00BD5891" w14:paraId="30ECE8AC" w14:textId="71680283">
      <w:pPr>
        <w:pStyle w:val="NormalHanging"/>
      </w:pPr>
      <w:r w:rsidRPr="00A73F6C">
        <w:t>–</w:t>
      </w:r>
      <w:r w:rsidRPr="00A73F6C">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2 октомври 2024 г., озаглавено „Изграждане на устойчиви международни партньорства като „Екип Европа““ (</w:t>
      </w:r>
      <w:r w:rsidRPr="00681495" w:rsidR="009504B0">
        <w:t>JOIN(2024)0025</w:t>
      </w:r>
      <w:r w:rsidRPr="00A73F6C">
        <w:t>),</w:t>
      </w:r>
    </w:p>
    <w:p w:rsidR="00BD5891" w:rsidRPr="00A73F6C" w:rsidP="00BD5891" w14:paraId="0BA6E8B4" w14:textId="77777777">
      <w:pPr>
        <w:pStyle w:val="NormalHanging"/>
      </w:pPr>
      <w:r w:rsidRPr="00A73F6C">
        <w:t>–</w:t>
      </w:r>
      <w:r w:rsidRPr="00A73F6C">
        <w:tab/>
        <w:t>като взе предвид заключенията на Европейския съвет от 17 октомври 2024 г. относно миграцията,</w:t>
      </w:r>
    </w:p>
    <w:p w:rsidR="00BD5891" w:rsidRPr="00A73F6C" w:rsidP="00BD5891" w14:paraId="1D39E92E" w14:textId="77777777">
      <w:pPr>
        <w:pStyle w:val="NormalHanging"/>
      </w:pPr>
      <w:r w:rsidRPr="00A73F6C">
        <w:t>–</w:t>
      </w:r>
      <w:r w:rsidRPr="00A73F6C">
        <w:tab/>
        <w:t>като взе предвид Резолюция 73/195 на Общото събрание на ООН от 19 декември 2018 г., озаглавена „</w:t>
      </w:r>
      <w:r w:rsidRPr="00A73F6C">
        <w:t>Global</w:t>
      </w:r>
      <w:r w:rsidRPr="00A73F6C">
        <w:t xml:space="preserve"> </w:t>
      </w:r>
      <w:r w:rsidRPr="00A73F6C">
        <w:t>Compact</w:t>
      </w:r>
      <w:r w:rsidRPr="00A73F6C">
        <w:t xml:space="preserve"> </w:t>
      </w:r>
      <w:r w:rsidRPr="00A73F6C">
        <w:t>for</w:t>
      </w:r>
      <w:r w:rsidRPr="00A73F6C">
        <w:t xml:space="preserve"> </w:t>
      </w:r>
      <w:r w:rsidRPr="00A73F6C">
        <w:t>Safe</w:t>
      </w:r>
      <w:r w:rsidRPr="00A73F6C">
        <w:t xml:space="preserve">, </w:t>
      </w:r>
      <w:r w:rsidRPr="00A73F6C">
        <w:t>Orderly</w:t>
      </w:r>
      <w:r w:rsidRPr="00A73F6C">
        <w:t xml:space="preserve"> </w:t>
      </w:r>
      <w:r w:rsidRPr="00A73F6C">
        <w:t>and</w:t>
      </w:r>
      <w:r w:rsidRPr="00A73F6C">
        <w:t xml:space="preserve"> </w:t>
      </w:r>
      <w:r w:rsidRPr="00A73F6C">
        <w:t>Regular</w:t>
      </w:r>
      <w:r w:rsidRPr="00A73F6C">
        <w:t xml:space="preserve"> </w:t>
      </w:r>
      <w:r w:rsidRPr="00A73F6C">
        <w:t>Migration</w:t>
      </w:r>
      <w:r w:rsidRPr="00A73F6C">
        <w:t>“ (Глобален пакт за безопасна, организирана и законна миграция),</w:t>
      </w:r>
    </w:p>
    <w:p w:rsidR="00BD5891" w:rsidRPr="00A73F6C" w:rsidP="00BD5891" w14:paraId="51B34E7F" w14:textId="77777777">
      <w:pPr>
        <w:pStyle w:val="NormalHanging"/>
      </w:pPr>
      <w:r w:rsidRPr="00A73F6C">
        <w:t>–</w:t>
      </w:r>
      <w:r w:rsidRPr="00A73F6C">
        <w:tab/>
        <w:t xml:space="preserve">като взе предвид Резолюция 71/1 на Общото събрание на ООН от 19 септември 2016 г., озаглавена „New </w:t>
      </w:r>
      <w:r w:rsidRPr="00A73F6C">
        <w:t>York</w:t>
      </w:r>
      <w:r w:rsidRPr="00A73F6C">
        <w:t xml:space="preserve"> </w:t>
      </w:r>
      <w:r w:rsidRPr="00A73F6C">
        <w:t>Declaration</w:t>
      </w:r>
      <w:r w:rsidRPr="00A73F6C">
        <w:t xml:space="preserve"> </w:t>
      </w:r>
      <w:r w:rsidRPr="00A73F6C">
        <w:t>for</w:t>
      </w:r>
      <w:r w:rsidRPr="00A73F6C">
        <w:t xml:space="preserve"> </w:t>
      </w:r>
      <w:r w:rsidRPr="00A73F6C">
        <w:t>Refugees</w:t>
      </w:r>
      <w:r w:rsidRPr="00A73F6C">
        <w:t xml:space="preserve"> </w:t>
      </w:r>
      <w:r w:rsidRPr="00A73F6C">
        <w:t>and</w:t>
      </w:r>
      <w:r w:rsidRPr="00A73F6C">
        <w:t xml:space="preserve"> </w:t>
      </w:r>
      <w:r w:rsidRPr="00A73F6C">
        <w:t>Migrants</w:t>
      </w:r>
      <w:r w:rsidRPr="00A73F6C">
        <w:t>“ (Декларация от Ню Йорк за бежанците и мигрантите),</w:t>
      </w:r>
    </w:p>
    <w:p w:rsidR="00BD5891" w:rsidRPr="00A73F6C" w:rsidP="00BD5891" w14:paraId="66D72E3C" w14:textId="77777777">
      <w:pPr>
        <w:pStyle w:val="NormalHanging"/>
      </w:pPr>
      <w:r w:rsidRPr="00A73F6C">
        <w:t>–</w:t>
      </w:r>
      <w:r w:rsidRPr="00A73F6C">
        <w:tab/>
        <w:t>като взе предвид Резолюция 70/1 на Общото събрание на ООН, озаглавена „</w:t>
      </w:r>
      <w:r w:rsidRPr="00A73F6C">
        <w:t>Transforming</w:t>
      </w:r>
      <w:r w:rsidRPr="00A73F6C">
        <w:t xml:space="preserve"> </w:t>
      </w:r>
      <w:r w:rsidRPr="00A73F6C">
        <w:t>our</w:t>
      </w:r>
      <w:r w:rsidRPr="00A73F6C">
        <w:t xml:space="preserve"> </w:t>
      </w:r>
      <w:r w:rsidRPr="00A73F6C">
        <w:t>world</w:t>
      </w:r>
      <w:r w:rsidRPr="00A73F6C">
        <w:t xml:space="preserve">: </w:t>
      </w:r>
      <w:r w:rsidRPr="00A73F6C">
        <w:t>the</w:t>
      </w:r>
      <w:r w:rsidRPr="00A73F6C">
        <w:t xml:space="preserve"> 2030 </w:t>
      </w:r>
      <w:r w:rsidRPr="00A73F6C">
        <w:t>Agenda</w:t>
      </w:r>
      <w:r w:rsidRPr="00A73F6C">
        <w:t xml:space="preserve"> </w:t>
      </w:r>
      <w:r w:rsidRPr="00A73F6C">
        <w:t>for</w:t>
      </w:r>
      <w:r w:rsidRPr="00A73F6C">
        <w:t xml:space="preserve"> </w:t>
      </w:r>
      <w:r w:rsidRPr="00A73F6C">
        <w:t>Sustainable</w:t>
      </w:r>
      <w:r w:rsidRPr="00A73F6C">
        <w:t xml:space="preserve"> </w:t>
      </w:r>
      <w:r w:rsidRPr="00A73F6C">
        <w:t>Development</w:t>
      </w:r>
      <w:r w:rsidRPr="00A73F6C">
        <w:t>“ (Да преобразим света: програма за устойчиво развитие до 2030 г.), приета на срещата на върха на ООН по въпросите на устойчивото развитие на 25 септември 2015 г. в Ню Йорк, в която се определят целите за устойчиво развитие (ЦУР), и по-специално ЦУР 10, подцел 7,</w:t>
      </w:r>
    </w:p>
    <w:p w:rsidR="00BD5891" w:rsidRPr="00A73F6C" w:rsidP="00BD5891" w14:paraId="6815944D" w14:textId="77777777">
      <w:pPr>
        <w:pStyle w:val="NormalHanging"/>
      </w:pPr>
      <w:r w:rsidRPr="00A73F6C">
        <w:t>–</w:t>
      </w:r>
      <w:r w:rsidRPr="00A73F6C">
        <w:tab/>
        <w:t>като взе предвид Конвенцията за статута на бежанците от 1951 г. и протокола от Ню Йорк към нея от 1967 г.,</w:t>
      </w:r>
    </w:p>
    <w:p w:rsidR="00BD5891" w:rsidRPr="00A73F6C" w:rsidP="00BD5891" w14:paraId="1EE74C61" w14:textId="77777777">
      <w:pPr>
        <w:pStyle w:val="NormalHanging"/>
      </w:pPr>
      <w:r w:rsidRPr="00A73F6C">
        <w:t>–</w:t>
      </w:r>
      <w:r w:rsidRPr="00A73F6C">
        <w:tab/>
        <w:t>като взе предвид насоките на Комитета за подпомагане на развитието на Организацията за икономическо сътрудничество и развитие относно свързаните с миграцията дейности в рамките на официалната помощ за развитие (ОПР) и свързания с тях набор от инструменти,</w:t>
      </w:r>
    </w:p>
    <w:p w:rsidR="00BD5891" w:rsidRPr="00A73F6C" w:rsidP="00BD5891" w14:paraId="2A69E920" w14:textId="77777777">
      <w:pPr>
        <w:pStyle w:val="NormalHanging"/>
      </w:pPr>
      <w:r w:rsidRPr="00A73F6C">
        <w:t>–</w:t>
      </w:r>
      <w:r w:rsidRPr="00A73F6C">
        <w:tab/>
        <w:t>като взе предвид Европейската конвенция за правата на човека от 1950 г.,</w:t>
      </w:r>
    </w:p>
    <w:p w:rsidR="00BD5891" w:rsidRPr="00A73F6C" w:rsidP="00BD5891" w14:paraId="3C2139D5" w14:textId="35BE1671">
      <w:pPr>
        <w:pStyle w:val="NormalHanging"/>
      </w:pPr>
      <w:r w:rsidRPr="00A73F6C">
        <w:t>–</w:t>
      </w:r>
      <w:r w:rsidRPr="00A73F6C">
        <w:tab/>
        <w:t>като взе предвид проучването, възложено от комисията по развитие на ЕП, относно ролята на сътрудничеството на ЕС за развитие за справяне с незаконната миграция в Африка</w:t>
      </w:r>
      <w:r>
        <w:rPr>
          <w:rStyle w:val="FootnoteReference"/>
        </w:rPr>
        <w:footnoteReference w:id="6"/>
      </w:r>
      <w:r w:rsidRPr="00A73F6C">
        <w:t>,</w:t>
      </w:r>
    </w:p>
    <w:p w:rsidR="00BD5891" w:rsidRPr="00A73F6C" w:rsidP="00BD5891" w14:paraId="61B4659C" w14:textId="29636863">
      <w:pPr>
        <w:pStyle w:val="NormalHanging"/>
      </w:pPr>
      <w:r w:rsidRPr="00A73F6C">
        <w:t>–</w:t>
      </w:r>
      <w:r w:rsidRPr="00A73F6C">
        <w:tab/>
        <w:t>като взе предвид своята резолюция от 25 март 2021 г. относно нова стратегия ЕС – Африка: партньорство за устойчиво и приобщаващо развитие</w:t>
      </w:r>
      <w:r>
        <w:rPr>
          <w:rStyle w:val="FootnoteReference"/>
        </w:rPr>
        <w:footnoteReference w:id="7"/>
      </w:r>
      <w:r w:rsidRPr="00A73F6C">
        <w:t>,</w:t>
      </w:r>
    </w:p>
    <w:p w:rsidR="00BD5891" w:rsidRPr="00A73F6C" w:rsidP="00BD5891" w14:paraId="60AB0B94" w14:textId="77777777">
      <w:pPr>
        <w:pStyle w:val="NormalHanging"/>
      </w:pPr>
      <w:r w:rsidRPr="00A73F6C">
        <w:t>–</w:t>
      </w:r>
      <w:r w:rsidRPr="00A73F6C">
        <w:tab/>
        <w:t>като взе предвид член 55 от своя Правилник за дейността,</w:t>
      </w:r>
    </w:p>
    <w:p w:rsidR="00BD5891" w:rsidRPr="00A73F6C" w:rsidP="00BD5891" w14:paraId="1CE81AEA" w14:textId="77777777">
      <w:pPr>
        <w:pStyle w:val="NormalHanging"/>
      </w:pPr>
      <w:r w:rsidRPr="00A73F6C">
        <w:t>–</w:t>
      </w:r>
      <w:r w:rsidRPr="00A73F6C">
        <w:tab/>
        <w:t>като взе предвид доклада на комисията по развитие (A10-0147/2026),</w:t>
      </w:r>
    </w:p>
    <w:p w:rsidR="00BD5891" w:rsidRPr="00A73F6C" w:rsidP="00BD5891" w14:paraId="0F5D36F0" w14:textId="3CB42439">
      <w:pPr>
        <w:pStyle w:val="NormalHanging"/>
      </w:pPr>
      <w:r w:rsidRPr="00A73F6C">
        <w:t>А.</w:t>
      </w:r>
      <w:r w:rsidRPr="00A73F6C">
        <w:tab/>
        <w:t>като има предвид, че миграцията и мобилността, мирът, доброто управление, стабилността, приобщаващият растеж и устойчивото развитие са тясно свързани помежду си; като има предвид, че миграцията се дължи както на макроикономически, така и на микроикономически фактори, например въоръжени конфликти, политическа нестабилност, икономически затруднения, липса на възможности и бедност, ограничен достъп до механизми за социална закрила, недостатъчно предлагане на услуги, маргинализация, дискриминация или преследване на уязвими лица, включително във връзка с тяхната свобода на религията или убежденията, продоволствена несигурност и ограничен достъп до чиста вода, както и влошаване на състоянието на околната среда и изменение на климата</w:t>
      </w:r>
      <w:r>
        <w:rPr>
          <w:rStyle w:val="FootnoteReference"/>
        </w:rPr>
        <w:footnoteReference w:id="8"/>
      </w:r>
      <w:r w:rsidRPr="00A73F6C">
        <w:t>;</w:t>
      </w:r>
    </w:p>
    <w:p w:rsidR="00BD5891" w:rsidRPr="00A73F6C" w:rsidP="00BD5891" w14:paraId="061143F2" w14:textId="77777777">
      <w:pPr>
        <w:pStyle w:val="NormalHanging"/>
      </w:pPr>
      <w:r w:rsidRPr="00A73F6C">
        <w:t>Б.</w:t>
      </w:r>
      <w:r w:rsidRPr="00A73F6C">
        <w:tab/>
        <w:t xml:space="preserve">като има предвид, че незаконните движения на населението включват различни категории мигранти, като например бежанци и търсещи убежище лица, които търсят международна закрила; като има предвид, че кандидатите за </w:t>
      </w:r>
      <w:r w:rsidRPr="00A73F6C">
        <w:t>международна закрила могат да останат в съответната държава членка до вземането на решение по тяхната молба;</w:t>
      </w:r>
    </w:p>
    <w:p w:rsidR="00BD5891" w:rsidRPr="00A73F6C" w:rsidP="00BD5891" w14:paraId="5F685B93" w14:textId="77777777">
      <w:pPr>
        <w:pStyle w:val="NormalHanging"/>
      </w:pPr>
      <w:r w:rsidRPr="00A73F6C">
        <w:t>В.</w:t>
      </w:r>
      <w:r w:rsidRPr="00A73F6C">
        <w:tab/>
        <w:t>като има предвид, че сътрудничеството за развитие играе основна роля за изкореняването на бедността, предприемането на мерки във връзка с нестабилната обстановка, насърчаването на човешкото развитие и устойчивостта във всичките ѝ измерения, преодоляването на световните предизвикателства чрез международни партньорства, които отстояват и насърчават европейските ценности и интереси, и допринасянето за мира и просперитета в света;</w:t>
      </w:r>
    </w:p>
    <w:p w:rsidR="00BD5891" w:rsidRPr="00A73F6C" w:rsidP="00BD5891" w14:paraId="418E0D3D" w14:textId="77777777">
      <w:pPr>
        <w:pStyle w:val="NormalHanging"/>
      </w:pPr>
      <w:r w:rsidRPr="00A73F6C">
        <w:t>Г.</w:t>
      </w:r>
      <w:r w:rsidRPr="00A73F6C">
        <w:tab/>
        <w:t>като има предвид, че политиката на ЕС за развитие насърчава устойчивото развитие и стабилността в развиващите се държави, като крайната цел е изкореняването на крайната бедност в съответствие с Програмата до 2030 г. и ЦУР и съгласно член 208 от ДФЕС, като същевременно се спазва принципът на съгласуваност на политиките с оглед на развитието;</w:t>
      </w:r>
    </w:p>
    <w:p w:rsidR="00BD5891" w:rsidRPr="00A73F6C" w:rsidP="00BD5891" w14:paraId="019EBA26" w14:textId="77777777">
      <w:pPr>
        <w:pStyle w:val="NormalHanging"/>
      </w:pPr>
      <w:r w:rsidRPr="00A73F6C">
        <w:t>Д.</w:t>
      </w:r>
      <w:r w:rsidRPr="00A73F6C">
        <w:tab/>
        <w:t>като има предвид, че сътрудничеството за развитие трябва да се основава на проверими резултати и на конкретен споделен ангажимент по отношение на устойчивото развитие;</w:t>
      </w:r>
    </w:p>
    <w:p w:rsidR="00BD5891" w:rsidRPr="00A73F6C" w:rsidP="00BD5891" w14:paraId="4158073E" w14:textId="77777777">
      <w:pPr>
        <w:pStyle w:val="NormalHanging"/>
      </w:pPr>
      <w:r w:rsidRPr="00A73F6C">
        <w:t>Е.</w:t>
      </w:r>
      <w:r w:rsidRPr="00A73F6C">
        <w:tab/>
        <w:t>като има предвид, че Извънредният доверителен фонд на ЕС беше създаден с оглед на преодоляването на първопричините за нестабилността, принудителното разселване и незаконната миграция и с цел да допринесе за по-доброто управление на миграцията; като има предвид, че в своя преглед Европейската сметна палата констатира, че Доверителният фонд на ЕС не е успял да постигне много от своите цели, тъй като не за всички от тях са били предвидени ефикасни стратегии;</w:t>
      </w:r>
    </w:p>
    <w:p w:rsidR="00BD5891" w:rsidRPr="00A73F6C" w:rsidP="00BD5891" w14:paraId="691A9B48" w14:textId="3A06EEE2">
      <w:pPr>
        <w:pStyle w:val="NormalHanging"/>
      </w:pPr>
      <w:r w:rsidRPr="00A73F6C">
        <w:t>Ж.</w:t>
      </w:r>
      <w:r w:rsidRPr="00A73F6C">
        <w:tab/>
        <w:t>като има предвид, че от 2015 г. насам ЕС е изправен пред безпрецедентно големи миграционни потоци, чието управление изисква постоянни усилия от страна на държавите членки, и като има предвид, че съответно е необходимо да се укрепят европейските политики за развитие, за да се преодолеят първопричините за незаконната миграция и принудителното разселване, като се има предвид, че през периода 2015 – 2024 г. в държавите – членки на ЕС, са били подадени над 8,5 милиона молби за убежище</w:t>
      </w:r>
      <w:r>
        <w:rPr>
          <w:rStyle w:val="FootnoteReference"/>
        </w:rPr>
        <w:footnoteReference w:id="9"/>
      </w:r>
      <w:r w:rsidRPr="00A73F6C">
        <w:t>; като има предвид, че незаконните преминавания на външните граници на ЕС са намалели с над една четвърт (26%) през 2025 г. до приблизително 178 000</w:t>
      </w:r>
      <w:r>
        <w:rPr>
          <w:rStyle w:val="FootnoteReference"/>
        </w:rPr>
        <w:footnoteReference w:id="10"/>
      </w:r>
      <w:r w:rsidRPr="00A73F6C">
        <w:t>; като има предвид, че по-голямата част от мигрантите, идващи в Европа, пристигат по законни канали; като има предвид, че в ЦУР 10, подцел 7 се призовава държавите да улесняват организираната, безопасна, законна и отговорна миграция и мобилност на хората чрез планирани и добре управлявани миграционни политики;</w:t>
      </w:r>
    </w:p>
    <w:p w:rsidR="00BD5891" w:rsidRPr="00A73F6C" w:rsidP="00BD5891" w14:paraId="3CC40295" w14:textId="61747A88">
      <w:pPr>
        <w:pStyle w:val="NormalHanging"/>
      </w:pPr>
      <w:r w:rsidRPr="00A73F6C">
        <w:t>З.</w:t>
      </w:r>
      <w:r w:rsidRPr="00A73F6C">
        <w:tab/>
        <w:t xml:space="preserve">като има предвид, че през 2024 г. 4,2 милиона души са мигрирали в ЕС от </w:t>
      </w:r>
      <w:r w:rsidRPr="00A73F6C">
        <w:t>държави извън ЕС</w:t>
      </w:r>
      <w:r>
        <w:rPr>
          <w:rStyle w:val="FootnoteReference"/>
        </w:rPr>
        <w:footnoteReference w:id="11"/>
      </w:r>
      <w:r w:rsidRPr="00A73F6C">
        <w:t>;</w:t>
      </w:r>
    </w:p>
    <w:p w:rsidR="00BD5891" w:rsidRPr="00A73F6C" w:rsidP="00BD5891" w14:paraId="46A3D769" w14:textId="77777777">
      <w:pPr>
        <w:pStyle w:val="NormalHanging"/>
      </w:pPr>
      <w:r w:rsidRPr="00A73F6C">
        <w:t>И.</w:t>
      </w:r>
      <w:r w:rsidRPr="00A73F6C">
        <w:tab/>
        <w:t>като има предвид, че много от държавите на произход на кандидатите за убежище са държави с ниски и средни доходи; като има предвид, че процентът на признаване на молбите за предоставяне на убежище, подадени от граждани на тези държави, варира значително;</w:t>
      </w:r>
    </w:p>
    <w:p w:rsidR="00BD5891" w:rsidRPr="00A73F6C" w:rsidP="00BD5891" w14:paraId="168BA359" w14:textId="77777777">
      <w:pPr>
        <w:pStyle w:val="NormalHanging"/>
      </w:pPr>
      <w:r w:rsidRPr="00A73F6C">
        <w:t>Й.</w:t>
      </w:r>
      <w:r w:rsidRPr="00A73F6C">
        <w:tab/>
        <w:t>като има предвид, че през 2024 г. държавите от ЕС са предоставили статут на закрила на 437 900 лица, търсещи убежище, което представлява увеличение с 6,9% в сравнение с 2023 г. (409 530 души); като има предвид, че това е най-големият брой след пиковете вследствие на бежанската криза, свързана с войната в Сирия, през 2016 г. и 2017 г.; като има предвид, че процентът на признаване на молби за предоставяне на убежище на равнището на ЕС, тоест делът на положителните решения от общия брой на решенията по молби за убежище, е бил 51,4% през 2024 г. на първа инстанция;</w:t>
      </w:r>
    </w:p>
    <w:p w:rsidR="00BD5891" w:rsidRPr="00A73F6C" w:rsidP="00BD5891" w14:paraId="06065CC3" w14:textId="674FB521">
      <w:pPr>
        <w:pStyle w:val="NormalHanging"/>
      </w:pPr>
      <w:r w:rsidRPr="00A73F6C">
        <w:t>К.</w:t>
      </w:r>
      <w:r w:rsidRPr="00A73F6C">
        <w:tab/>
        <w:t>като има предвид, че през 2024 г. на 124 000 граждани на държави извън ЕС е било отказано влизане в ЕС, за 919 000 е било установено, че са без статут, за 453 000 са били издадени решения за връщане, а около 110 000 действително са били върнати в държава извън ЕС</w:t>
      </w:r>
      <w:r>
        <w:rPr>
          <w:rStyle w:val="FootnoteReference"/>
        </w:rPr>
        <w:footnoteReference w:id="12"/>
      </w:r>
      <w:r w:rsidRPr="00A73F6C">
        <w:t>; като има предвид, че приблизително 20% от лицата, за които са били издадени решения за връщане, действително са били върнати</w:t>
      </w:r>
      <w:r>
        <w:rPr>
          <w:rStyle w:val="FootnoteReference"/>
        </w:rPr>
        <w:footnoteReference w:id="13"/>
      </w:r>
      <w:r w:rsidRPr="00A73F6C">
        <w:t>;</w:t>
      </w:r>
    </w:p>
    <w:p w:rsidR="00BD5891" w:rsidRPr="00A73F6C" w:rsidP="00BD5891" w14:paraId="3D2146A2" w14:textId="77777777">
      <w:pPr>
        <w:pStyle w:val="NormalHanging"/>
      </w:pPr>
      <w:r w:rsidRPr="00A73F6C">
        <w:t>Л.</w:t>
      </w:r>
      <w:r w:rsidRPr="00A73F6C">
        <w:tab/>
        <w:t>като има предвид, че най-често международните миграционни пътувания са между съседни държави; като има предвид, че по-голямата част от бежанците, хората, нуждаещи се от международна закрила, и вътрешно разселените лица са приети в държави с ниски и средни доходи; като има предвид, че икономическата тежест за тези държави е голяма и се отразява на тяхното собствено социално и икономическо сближаване и развитие; като има предвид, че поради това сътрудничеството за развитие играе решаваща роля в подкрепа на разселеното население и приемните общности;</w:t>
      </w:r>
    </w:p>
    <w:p w:rsidR="00BD5891" w:rsidRPr="00A73F6C" w:rsidP="00BD5891" w14:paraId="409F8B9E" w14:textId="77777777">
      <w:pPr>
        <w:pStyle w:val="NormalHanging"/>
      </w:pPr>
      <w:r w:rsidRPr="00A73F6C">
        <w:t>М.</w:t>
      </w:r>
      <w:r w:rsidRPr="00A73F6C">
        <w:tab/>
        <w:t xml:space="preserve">като има предвид, че Африка е изправена пред вътрешна миграция, като около 80% от цялата африканска миграция се осъществява на континента; като има предвид, че през 2024 г. в Субсахарска Африка са били регистрирани 19,3 милиона нови случая на вътрешно разселени лица, от които 11,5 милиона са причинени от конфликти, а 7,8 милиона – от бедствия; като има предвид, че през периода от 2015 г. до 2024 г. общият брой на вътрешно разселените лица в Африка достигна 38,8 милиона, което представлява 46% от общия брой в световен мащаб, като 68% от тях са лица от Демократична република Конго, Етиопия, </w:t>
      </w:r>
      <w:r w:rsidRPr="00A73F6C">
        <w:t>Нигерия, Сомалия и Судан;</w:t>
      </w:r>
    </w:p>
    <w:p w:rsidR="00BD5891" w:rsidRPr="00A73F6C" w:rsidP="00BD5891" w14:paraId="43BC1346" w14:textId="730096D9">
      <w:pPr>
        <w:pStyle w:val="NormalHanging"/>
      </w:pPr>
      <w:r w:rsidRPr="00A73F6C">
        <w:t>Н.</w:t>
      </w:r>
      <w:r w:rsidRPr="00A73F6C">
        <w:tab/>
        <w:t>като има предвид, че към юни 2025 г. 117,3 милиона души в световен мащаб са били принудени да напуснат домовете си поради преследване, конфликти, насилие, нарушения на правата на човека или събития, които сериозно нарушават обществения ред; като има предвид, че 42,5 милиона от тях са били бежанци, 67,8 милиона – вътрешно разселени лица, а 8,42 милиона – лица, търсещи убежище</w:t>
      </w:r>
      <w:r>
        <w:rPr>
          <w:rStyle w:val="FootnoteReference"/>
        </w:rPr>
        <w:footnoteReference w:id="14"/>
      </w:r>
      <w:r w:rsidRPr="00A73F6C">
        <w:t>;</w:t>
      </w:r>
    </w:p>
    <w:p w:rsidR="00BD5891" w:rsidRPr="00A73F6C" w:rsidP="00BD5891" w14:paraId="213C4D55" w14:textId="77777777">
      <w:pPr>
        <w:pStyle w:val="NormalHanging"/>
      </w:pPr>
      <w:r w:rsidRPr="00A73F6C">
        <w:t>О.</w:t>
      </w:r>
      <w:r w:rsidRPr="00A73F6C">
        <w:tab/>
        <w:t>като има предвид, че в Доклада за световните тенденции и в проучванията на Агенцията на ООН за бежанците (ВКБООН) се констатира, че повечето бежанци и разселени лица не желаят да напускат своите държави, но са принудени да направят това поради заплахи като конфликти, преследване, насилие или изключителни трудности; като има предвид, че проучване на ВКБООН от 2023 г. установи, че по-голямата част от бежанците биха предпочели да останат в своите общности, ако тяхната сигурност и поминък са обезпечени;</w:t>
      </w:r>
    </w:p>
    <w:p w:rsidR="00BD5891" w:rsidRPr="00A73F6C" w:rsidP="00BD5891" w14:paraId="216F74BF" w14:textId="77777777">
      <w:pPr>
        <w:pStyle w:val="NormalHanging"/>
      </w:pPr>
      <w:r w:rsidRPr="00A73F6C">
        <w:t>П.</w:t>
      </w:r>
      <w:r w:rsidRPr="00A73F6C">
        <w:tab/>
        <w:t>като има предвид, че сътрудничеството за развитие играе основна роля за намаляване на бедността и справяне със ситуации на нестабилност чрез подпомагане на човешкото развитие, насърчаване и подкрепа на принципите на демокрацията, принципите на правовата държава, равенството между половете, правата на човека и основните права, както и чрез укрепване на правоприлагането и създаване на устойчиви икономически възможности, подобряване на управлението и насърчаване на мира и стабилността, като по този начин се преодоляват първопричините за незаконната миграция;</w:t>
      </w:r>
    </w:p>
    <w:p w:rsidR="00BD5891" w:rsidRPr="00A73F6C" w:rsidP="00BD5891" w14:paraId="4BDE8613" w14:textId="77777777">
      <w:pPr>
        <w:pStyle w:val="NormalHanging"/>
      </w:pPr>
      <w:r w:rsidRPr="00A73F6C">
        <w:t>Р.</w:t>
      </w:r>
      <w:r w:rsidRPr="00A73F6C">
        <w:tab/>
        <w:t xml:space="preserve">като има предвид, че подобряването на условията на живот, образованието и перспективите за работа в държавите на произход е от ключово значение, за да се гарантира, че хората могат да изградят бъдеще за себе си в собствените си общности, вместо да бъдат принуждавани да мигрират; като има предвид, че следователно целенасоченото и ефективно сътрудничество може да намали стимулите за незаконна миграция чрез насърчаване на стабилността, сигурността и </w:t>
      </w:r>
      <w:r w:rsidRPr="00A73F6C">
        <w:t>самодостатъчността</w:t>
      </w:r>
      <w:r w:rsidRPr="00A73F6C">
        <w:t xml:space="preserve"> в държавите партньори;</w:t>
      </w:r>
    </w:p>
    <w:p w:rsidR="00BD5891" w:rsidRPr="00A73F6C" w:rsidP="00BD5891" w14:paraId="32CA53B4" w14:textId="77777777">
      <w:pPr>
        <w:pStyle w:val="NormalHanging"/>
      </w:pPr>
      <w:r w:rsidRPr="00A73F6C">
        <w:t>С.</w:t>
      </w:r>
      <w:r w:rsidRPr="00A73F6C">
        <w:tab/>
        <w:t>като има предвид, че повишената уязвимост, включително във връзка с изменението на климата и влошаването на състоянието на околната среда, както и изчерпването и прекомерната експлоатация на природните ресурси, могат да окажат въздействие върху миграцията; като има предвид, че 90% от всички природни бедствия са свързани с водата, което може да окаже въздействие върху продоволствената несигурност, изострянето на обществените конфликти и миграцията;</w:t>
      </w:r>
    </w:p>
    <w:p w:rsidR="00BD5891" w:rsidRPr="00A73F6C" w:rsidP="00BD5891" w14:paraId="16FA0133" w14:textId="77777777">
      <w:pPr>
        <w:pStyle w:val="NormalHanging"/>
      </w:pPr>
      <w:r w:rsidRPr="00A73F6C">
        <w:t>Т.</w:t>
      </w:r>
      <w:r w:rsidRPr="00A73F6C">
        <w:tab/>
        <w:t xml:space="preserve">като има предвид, че високите равнища на продоволствена несигурност водят до по-високи равнища на трансгранична миграция, като всяко увеличение с 1% на продоволствената несигурност сред населението принуждава 1,9% повече хора да мигрират; като има предвид, че макар икономическите и екологичните фактори сами по себе си да не представляват основание за предоставяне на убежище, те допринасят значително за факторите, предизвикващи уязвимост, на които може да е необходимо да се отговори на международно равнище по всеобхватен и насочен </w:t>
      </w:r>
      <w:r w:rsidRPr="00A73F6C">
        <w:t>към закрилата начин;</w:t>
      </w:r>
    </w:p>
    <w:p w:rsidR="00BD5891" w:rsidRPr="00A73F6C" w:rsidP="00BD5891" w14:paraId="100CCF15" w14:textId="77777777">
      <w:pPr>
        <w:pStyle w:val="NormalHanging"/>
      </w:pPr>
      <w:r w:rsidRPr="00A73F6C">
        <w:t>У.</w:t>
      </w:r>
      <w:r w:rsidRPr="00A73F6C">
        <w:tab/>
        <w:t xml:space="preserve">като има предвид, че миграционните потоци често са свързани с недостига на природни ресурси, включително вода; като има предвид, че 2,2 милиарда души по света все още нямат достъп до безопасна питейна вода; като има предвид, че европейската стратегия за устойчивост на водните ресурси има за цел да насърчава устойчивостта на водните ресурси и да гарантира достъпа до питейна вода с подобрени качества и до по-добри санитарни условия за най-малко 70 милиона души чрез поемането на по-голям ангажимент на национално и регионално равнище в рамките на </w:t>
      </w:r>
      <w:r w:rsidRPr="00A73F6C">
        <w:t>Global</w:t>
      </w:r>
      <w:r w:rsidRPr="00A73F6C">
        <w:t xml:space="preserve"> </w:t>
      </w:r>
      <w:r w:rsidRPr="00A73F6C">
        <w:t>Gateway</w:t>
      </w:r>
      <w:r w:rsidRPr="00A73F6C">
        <w:t>;</w:t>
      </w:r>
    </w:p>
    <w:p w:rsidR="00BD5891" w:rsidRPr="00A73F6C" w:rsidP="00BD5891" w14:paraId="56710C07" w14:textId="77777777">
      <w:pPr>
        <w:pStyle w:val="NormalHanging"/>
      </w:pPr>
      <w:r w:rsidRPr="00A73F6C">
        <w:t>Ф.</w:t>
      </w:r>
      <w:r w:rsidRPr="00A73F6C">
        <w:tab/>
        <w:t>като има предвид, че в Пакта на ЕС за миграцията и убежището се подчертава значението на външното измерение на миграцията, което се изразява в развитието на широкообхватни партньорства, основани на политически диалог, взаимен ангажимент и подход, обхващащ целите миграционни маршрути;</w:t>
      </w:r>
    </w:p>
    <w:p w:rsidR="00BD5891" w:rsidRPr="00A73F6C" w:rsidP="00BD5891" w14:paraId="49E7599C" w14:textId="77777777">
      <w:pPr>
        <w:pStyle w:val="NormalHanging"/>
      </w:pPr>
      <w:r w:rsidRPr="00A73F6C">
        <w:t>Х.</w:t>
      </w:r>
      <w:r w:rsidRPr="00A73F6C">
        <w:tab/>
        <w:t>като има предвид, че в Пакта за Средиземноморието се призовава за разширяване на „Еразъм+“, така че да обхване няколко държави в Близкия изток и Африка, за да се предложат възможности за свързване на млади хора и да се подкрепи по-интегрираната и приобщаваща среда за висше образование и развитие на умения; като има предвид, че в Пакта също така се призовава за разширяване на партньорствата в подкрепа на талантите, включително чрез стартирането на резерва на ЕС от таланти, за да се улеснят връзките между работодателите от ЕС и търсещите работа лица от държавите партньори;</w:t>
      </w:r>
    </w:p>
    <w:p w:rsidR="00BD5891" w:rsidRPr="00A73F6C" w:rsidP="00BD5891" w14:paraId="4B65932F" w14:textId="77777777">
      <w:pPr>
        <w:pStyle w:val="NormalHanging"/>
      </w:pPr>
      <w:r w:rsidRPr="00A73F6C">
        <w:t>Ц.</w:t>
      </w:r>
      <w:r w:rsidRPr="00A73F6C">
        <w:tab/>
        <w:t xml:space="preserve">като има предвид, че стратегията </w:t>
      </w:r>
      <w:r w:rsidRPr="00A73F6C">
        <w:t>Global</w:t>
      </w:r>
      <w:r w:rsidRPr="00A73F6C">
        <w:t xml:space="preserve"> </w:t>
      </w:r>
      <w:r w:rsidRPr="00A73F6C">
        <w:t>Gateway</w:t>
      </w:r>
      <w:r w:rsidRPr="00A73F6C">
        <w:t xml:space="preserve"> и инвестициите за човешко развитие следва да предлагат възможност за привеждане на сътрудничеството за развитие в съответствие с приоритетите на държавите партньори, включително миграцията, чрез насърчаване на създаването на работни места, образованието, професионалното обучение, демократичните ценности и високите стандарти и чрез укрепване на доброто управление, прозрачността и устойчивите инвестиции, включително в областта на сигурността на водните ресурси, в държавите на произход и в държавите на транзитно преминаване;</w:t>
      </w:r>
    </w:p>
    <w:p w:rsidR="00BD5891" w:rsidRPr="00A73F6C" w:rsidP="00BD5891" w14:paraId="12CC3FEE" w14:textId="77777777">
      <w:pPr>
        <w:pStyle w:val="NormalHanging"/>
      </w:pPr>
      <w:r w:rsidRPr="00A73F6C">
        <w:t>Ч.</w:t>
      </w:r>
      <w:r w:rsidRPr="00A73F6C">
        <w:tab/>
        <w:t xml:space="preserve">като има предвид, че стратегията </w:t>
      </w:r>
      <w:r w:rsidRPr="00A73F6C">
        <w:t>Global</w:t>
      </w:r>
      <w:r w:rsidRPr="00A73F6C">
        <w:t xml:space="preserve"> </w:t>
      </w:r>
      <w:r w:rsidRPr="00A73F6C">
        <w:t>Gateway</w:t>
      </w:r>
      <w:r w:rsidRPr="00A73F6C">
        <w:t xml:space="preserve"> следва също така да има за цел да насърчава устойчивите и надеждни партньорства в областта на зелената енергия и инфраструктура; като има предвид, че адаптирането към изменението на климата и инвестициите в енергия от възобновяеми източници са от съществено значение за справяне със социално-икономическите фактори за миграцията;</w:t>
      </w:r>
    </w:p>
    <w:p w:rsidR="00BD5891" w:rsidRPr="00A73F6C" w:rsidP="00BD5891" w14:paraId="40BD365F" w14:textId="77777777">
      <w:pPr>
        <w:pStyle w:val="NormalHanging"/>
      </w:pPr>
      <w:r w:rsidRPr="00A73F6C">
        <w:t>Ш.</w:t>
      </w:r>
      <w:r w:rsidRPr="00A73F6C">
        <w:tab/>
        <w:t xml:space="preserve">като има предвид, че икономическото сътрудничество и частните инвестиции са важни инструменти за намаляване на бедността и увеличаване на </w:t>
      </w:r>
      <w:r w:rsidRPr="00A73F6C">
        <w:t>самодостатъчността</w:t>
      </w:r>
      <w:r w:rsidRPr="00A73F6C">
        <w:t>, като те стимулират устойчивия растеж на местно равнище в държавите партньори;</w:t>
      </w:r>
    </w:p>
    <w:p w:rsidR="00BD5891" w:rsidRPr="00A73F6C" w:rsidP="00BD5891" w14:paraId="35DBBB18" w14:textId="77777777">
      <w:pPr>
        <w:pStyle w:val="NormalHanging"/>
      </w:pPr>
      <w:r w:rsidRPr="00A73F6C">
        <w:t>Щ.</w:t>
      </w:r>
      <w:r w:rsidRPr="00A73F6C">
        <w:tab/>
        <w:t>като има предвид, че промишленото развитие се оказа един от най-мощните средства за извеждане на хората от бедността; като има предвид, че инвестирането в производствен капацитет по социално отговорен и устойчив начин може да създаде възможности за работа и да има мултиплициращ ефект;</w:t>
      </w:r>
    </w:p>
    <w:p w:rsidR="00BD5891" w:rsidRPr="00A73F6C" w:rsidP="00BD5891" w14:paraId="49A566BA" w14:textId="77777777">
      <w:pPr>
        <w:pStyle w:val="NormalHanging"/>
      </w:pPr>
      <w:r w:rsidRPr="00A73F6C">
        <w:t>АА.</w:t>
      </w:r>
      <w:r w:rsidRPr="00A73F6C">
        <w:tab/>
        <w:t xml:space="preserve">като има предвид, че трафикът и контрабандата на хора са груби нарушения на </w:t>
      </w:r>
      <w:r w:rsidRPr="00A73F6C">
        <w:t>основните права и че те лишават хората от тяхното достойнство, свобода и основни права; като има предвид, че престъпните мрежи за трафик и контрабанда на хора експлоатират мигрантите, като извличат печалба от опасни пътувания;</w:t>
      </w:r>
    </w:p>
    <w:p w:rsidR="00BD5891" w:rsidRPr="00A73F6C" w:rsidP="00BD5891" w14:paraId="6962D3B2" w14:textId="77777777">
      <w:pPr>
        <w:pStyle w:val="NormalHanging"/>
      </w:pPr>
      <w:r w:rsidRPr="00A73F6C">
        <w:t>АБ.</w:t>
      </w:r>
      <w:r w:rsidRPr="00A73F6C">
        <w:tab/>
        <w:t>като има предвид, че някои държави не разполагат с инструменти и ресурси за предотвратяване и борба с тези престъпления; като има предвид, че международните партньорства могат ефективно да допринесат за борбата с трафика и контрабандата на хора;</w:t>
      </w:r>
    </w:p>
    <w:p w:rsidR="00BD5891" w:rsidRPr="00A73F6C" w:rsidP="00BD5891" w14:paraId="0F60439C" w14:textId="77777777">
      <w:pPr>
        <w:pStyle w:val="NormalHanging"/>
      </w:pPr>
      <w:r w:rsidRPr="00A73F6C">
        <w:t>АВ.</w:t>
      </w:r>
      <w:r w:rsidRPr="00A73F6C">
        <w:tab/>
        <w:t>като има предвид, че сътрудничеството за развитие играе съществена роля, като допринася за справяне с първопричините за незаконната миграция и принудителното разселване, както и за борбата с контрабандата на хора, защитата на бежанците и хората, нуждаещи се от международна закрила, подпомагането на държавите, приемащи бежанци, и разработването на канали за законна миграция;</w:t>
      </w:r>
    </w:p>
    <w:p w:rsidR="00BD5891" w:rsidRPr="00A73F6C" w:rsidP="00BD5891" w14:paraId="7B0E7961" w14:textId="77777777">
      <w:pPr>
        <w:pStyle w:val="NormalHanging"/>
      </w:pPr>
      <w:r w:rsidRPr="00A73F6C">
        <w:t>АГ.</w:t>
      </w:r>
      <w:r w:rsidRPr="00A73F6C">
        <w:tab/>
        <w:t>като има предвид, че сигурността, стабилността, териториалната цялост и доброто управление са предпоставки за мерките за устойчиво развитие и че ЕС следва също така да подкрепя държавите партньори с оглед на укрепването на капацитета за правоприлагане и управление на границите, както и с оглед на борбата с организираната престъпност;</w:t>
      </w:r>
    </w:p>
    <w:p w:rsidR="00BD5891" w:rsidRPr="00A73F6C" w:rsidP="00BD5891" w14:paraId="755389E7" w14:textId="77777777">
      <w:pPr>
        <w:pStyle w:val="NormalHanging"/>
      </w:pPr>
      <w:r w:rsidRPr="00A73F6C">
        <w:t>АД.</w:t>
      </w:r>
      <w:r w:rsidRPr="00A73F6C">
        <w:tab/>
        <w:t>като има предвид, че с оглед на ефективното управление на миграцията е необходимо също така да се задълбочи сътрудничеството с държавите на произход и държавите на транзитно преминаване, както и да се неутрализират престъпните мрежи, които експлоатират уязвими лица; като има предвид, че подкрепата за местното развитие и стабилността в държавите партньори спомага за справяне с първопричините за миграцията по устойчив начин;</w:t>
      </w:r>
    </w:p>
    <w:p w:rsidR="00BD5891" w:rsidRPr="00A73F6C" w:rsidP="00BD5891" w14:paraId="20DE52F0" w14:textId="77777777">
      <w:pPr>
        <w:pStyle w:val="NormalHanging"/>
      </w:pPr>
      <w:r w:rsidRPr="00A73F6C">
        <w:t>АЕ.</w:t>
      </w:r>
      <w:r w:rsidRPr="00A73F6C">
        <w:tab/>
        <w:t>като има предвид, че европейската подкрепа за доброто функциониране на системите за предоставяне на убежище в трети държави като част от сътрудничеството за развитие е от жизнено значение за международната закрила на лицата, търсещи убежище;</w:t>
      </w:r>
    </w:p>
    <w:p w:rsidR="00BD5891" w:rsidRPr="00A73F6C" w:rsidP="00BD5891" w14:paraId="0C2089F2" w14:textId="77777777">
      <w:pPr>
        <w:pStyle w:val="NormalHanging"/>
      </w:pPr>
      <w:r w:rsidRPr="00A73F6C">
        <w:t>АЖ.</w:t>
      </w:r>
      <w:r w:rsidRPr="00A73F6C">
        <w:tab/>
        <w:t>като има предвид, че политиките за връщане и реинтеграция трябва изцяло да зачитат правата на човека; като има предвид, че сътрудничеството в областта на връщането и реинтеграцията може да осигури взаимни ползи, ако вниманието се насочва към доброволното, достойно и устойчиво връщане в държавите на произход;</w:t>
      </w:r>
    </w:p>
    <w:p w:rsidR="00BD5891" w:rsidRPr="00A73F6C" w:rsidP="00BD5891" w14:paraId="5758CAB3" w14:textId="77777777">
      <w:pPr>
        <w:pStyle w:val="NormalHanging"/>
      </w:pPr>
      <w:r w:rsidRPr="00A73F6C">
        <w:t>АЗ.</w:t>
      </w:r>
      <w:r w:rsidRPr="00A73F6C">
        <w:tab/>
        <w:t>като има предвид, че споразуменията за обратно приемане и иновативните, съобразени с конкретните нужди проекти, насочени към реинтеграция на мигрантите в техните държави на произход, са неразделна част от ефективното сътрудничество с държавите партньори;</w:t>
      </w:r>
    </w:p>
    <w:p w:rsidR="00BD5891" w:rsidRPr="00A73F6C" w:rsidP="00BD5891" w14:paraId="0465214D" w14:textId="77777777">
      <w:pPr>
        <w:pStyle w:val="NormalHanging"/>
      </w:pPr>
      <w:r w:rsidRPr="00A73F6C">
        <w:t>АИ.</w:t>
      </w:r>
      <w:r w:rsidRPr="00A73F6C">
        <w:tab/>
        <w:t>като има предвид, че сътрудничеството за развитие играе решаваща роля за подпомагането на социално-икономическата интеграция на разселеното население и приемните общности и защитата на хората в уязвимо положение, включително жените, децата и хората с увреждания;</w:t>
      </w:r>
    </w:p>
    <w:p w:rsidR="00BD5891" w:rsidRPr="00A73F6C" w:rsidP="00BD5891" w14:paraId="36BB4C82" w14:textId="77777777">
      <w:pPr>
        <w:pStyle w:val="NormalHanging"/>
      </w:pPr>
      <w:r w:rsidRPr="00A73F6C">
        <w:t>АЙ.</w:t>
      </w:r>
      <w:r w:rsidRPr="00A73F6C">
        <w:tab/>
        <w:t xml:space="preserve">като има предвид, че миграцията може да допринесе за устойчивото развитие и приобщаващия растеж както в държавите на произход, така и в държавите на местоназначение, а също така и в рамките на регионите и между тях; като има </w:t>
      </w:r>
      <w:r w:rsidRPr="00A73F6C">
        <w:t>предвид, че миграцията оказва икономическо въздействие както върху държавата на местоназначение, така и върху държавата на произход; като има предвид, че за това въздействие свидетелства както приносът на мигрантите към публичните финанси, заетостта и създаването на работни места, така и ролята на различните общности в рамките на диаспората за подпомагането на икономическото развитие на съответните държави на произход;</w:t>
      </w:r>
    </w:p>
    <w:p w:rsidR="00BD5891" w:rsidRPr="00A73F6C" w:rsidP="00BD5891" w14:paraId="4A72E048" w14:textId="77777777">
      <w:pPr>
        <w:pStyle w:val="NormalHanging"/>
      </w:pPr>
      <w:r w:rsidRPr="00A73F6C">
        <w:t>АК.</w:t>
      </w:r>
      <w:r w:rsidRPr="00A73F6C">
        <w:tab/>
        <w:t>като има предвид, че общностите в рамките на диаспората играят важна роля за развитието на държавите партньори, особено за насърчаването на търговията и икономическото развитие, както и за решаването на редица въпроси, свързани с миграцията и мобилността; като има предвид, че Механизмът на ЕС за световната диаспора може да играе ключова роля в този контекст;</w:t>
      </w:r>
    </w:p>
    <w:p w:rsidR="00BD5891" w:rsidRPr="00A73F6C" w:rsidP="00BD5891" w14:paraId="341307D1" w14:textId="77777777">
      <w:pPr>
        <w:pStyle w:val="NormalHanging"/>
      </w:pPr>
      <w:r w:rsidRPr="00A73F6C">
        <w:t>АЛ.</w:t>
      </w:r>
      <w:r w:rsidRPr="00A73F6C">
        <w:tab/>
        <w:t>като има предвид, че изтичането на мозъци може да създаде предизвикателства за третите държави, що се отнася до постигането на техните политически цели, свързани както с развитието, така и с миграцията;</w:t>
      </w:r>
    </w:p>
    <w:p w:rsidR="00BD5891" w:rsidRPr="00A73F6C" w:rsidP="00BD5891" w14:paraId="591FB8B6" w14:textId="77777777">
      <w:pPr>
        <w:pStyle w:val="Normal12a"/>
      </w:pPr>
      <w:r w:rsidRPr="00A73F6C">
        <w:rPr>
          <w:b/>
          <w:i/>
        </w:rPr>
        <w:t>Взаимовръзки между миграцията и сътрудничеството за развитие</w:t>
      </w:r>
    </w:p>
    <w:p w:rsidR="00BD5891" w:rsidRPr="00A73F6C" w:rsidP="00BD5891" w14:paraId="30FE0B84" w14:textId="77777777">
      <w:pPr>
        <w:pStyle w:val="NormalHanging12a"/>
      </w:pPr>
      <w:r w:rsidRPr="00A73F6C">
        <w:t>1.</w:t>
      </w:r>
      <w:r w:rsidRPr="00A73F6C">
        <w:tab/>
        <w:t>подчертава взаимовръзката между миграцията и сътрудничеството за развитие и призовава Комисията и държавите членки да продължат да се ангажират в рамките на своите миграционни политики да поддържат съгласуваността на политиките с оглед на развитието при пълно зачитане на правата на човека и Програмата на ООН до 2030 г.;</w:t>
      </w:r>
    </w:p>
    <w:p w:rsidR="00BD5891" w:rsidRPr="00A73F6C" w:rsidP="00BD5891" w14:paraId="1D0C81ED" w14:textId="77777777">
      <w:pPr>
        <w:pStyle w:val="NormalHanging12a"/>
      </w:pPr>
      <w:r w:rsidRPr="00A73F6C">
        <w:t>2.</w:t>
      </w:r>
      <w:r w:rsidRPr="00A73F6C">
        <w:tab/>
        <w:t>подчертава, че сътрудничеството за развитие и външната политика и политиката на сигурност на ЕС трябва винаги да се разработват и прилагат по напълно съгласуван начин чрез прагматичен, взаимноизгоден и ориентиран към резултатите подход, насочен към гарантиране на стабилността и икономическите възможности в държавите партньори, включително държавите на произход и транзитно преминаване на миграционните потоци;</w:t>
      </w:r>
    </w:p>
    <w:p w:rsidR="00BD5891" w:rsidRPr="00A73F6C" w:rsidP="00BD5891" w14:paraId="03E112B4" w14:textId="77777777">
      <w:pPr>
        <w:pStyle w:val="NormalHanging12a"/>
      </w:pPr>
      <w:r w:rsidRPr="00A73F6C">
        <w:t>3.</w:t>
      </w:r>
      <w:r w:rsidRPr="00A73F6C">
        <w:tab/>
        <w:t>подчертава, че сътрудничеството за развитие следва да отдава приоритет на изкореняването на бедността, намаляването на неравенството и устойчивото развитие в съответствие с целите за устойчиво развитие, предотвратяването на конфликти и изграждането на мира чрез икономическо овластяване, провеждането на реформи в сферата на управлението и насърчаването на зачитането на правата на човека в държавите партньори, като същевременно се дава приоритет на дългосрочните инвестиции въз основа на приоритетите и потребностите  на държавите партньори в областта на развитието, включително при преодоляването на първопричините за незаконната миграция и принудителното разселване, наред с други цели;</w:t>
      </w:r>
    </w:p>
    <w:p w:rsidR="00BD5891" w:rsidRPr="00A73F6C" w:rsidP="00BD5891" w14:paraId="6C97404E" w14:textId="77777777">
      <w:pPr>
        <w:pStyle w:val="NormalHanging12a"/>
      </w:pPr>
      <w:r w:rsidRPr="00A73F6C">
        <w:t>4.</w:t>
      </w:r>
      <w:r w:rsidRPr="00A73F6C">
        <w:tab/>
        <w:t xml:space="preserve">припомня, че жените и момичетата често са непропорционално засегнати от кризи и бедност; съответно призовава Комисията да прилага основан на правата на човека, съобразен с равенството между половете и чувствителен към уязвимостта подход в рамките на програмите за развитие, като подчертава значението на идентифицирането на рисковете за правата на човека, предприемането на действия за смекчаване на последиците и гарантирането на отделянето на специално внимание на всички хора в уязвимо положение – включително хората с увреждания, възрастните хора, маргинализираните общности и жените, момичетата и младите хора – особено като се има предвид, че ролята на жените в </w:t>
      </w:r>
      <w:r w:rsidRPr="00A73F6C">
        <w:t>ситуациите на нестабилност и при изграждането на мира, предотвратяването на конфликти и устойчивото развитие е от решаващо значение, тъй като те често изпълняват активна роля на първа линия и могат да бъдат важни катализатори за промяна, устойчивост и възстановяване; подчертава, че участието на жените и приобщаващото участие в процеса на вземане на решения, посредничеството, действията в областта на климата и развитието на общностите водят до по-ефективни и устойчиви резултати;</w:t>
      </w:r>
    </w:p>
    <w:p w:rsidR="00BD5891" w:rsidRPr="00A73F6C" w:rsidP="00BD5891" w14:paraId="018AE408" w14:textId="77777777">
      <w:pPr>
        <w:pStyle w:val="NormalHanging12a"/>
      </w:pPr>
      <w:r w:rsidRPr="00A73F6C">
        <w:t>5.</w:t>
      </w:r>
      <w:r w:rsidRPr="00A73F6C">
        <w:tab/>
        <w:t>подчертава значението на подхода „Екип Европа“, който гарантира съгласуваност между институциите на ЕС и държавите членки, работещи по външното измерение на миграцията; подчертава, че „Екип Европа“ следва да координира политическите, дипломатическите, финансовите и техническите усилия за развитие и задълбочаване на всеобхватни партньорства, които подкрепят държавите партньори при управлението на миграцията по безопасен, организиран, редовен и отговорен начин чрез прилагане на ефективен, основан на правата на човека и ориентиран към хората подход, който също така обхваща потребностите на бежанците и вътрешно разселените лица;</w:t>
      </w:r>
    </w:p>
    <w:p w:rsidR="00BD5891" w:rsidRPr="00A73F6C" w:rsidP="00BD5891" w14:paraId="485AA567" w14:textId="77777777">
      <w:pPr>
        <w:pStyle w:val="NormalHanging12a"/>
      </w:pPr>
      <w:r w:rsidRPr="00A73F6C">
        <w:t>6.</w:t>
      </w:r>
      <w:r w:rsidRPr="00A73F6C">
        <w:tab/>
        <w:t>подчертава, че с оглед на предотвратяването на корупцията и избягването на лошо управление Комисията следва да гарантира наличието на ясни механизми за мониторинг и оценка, за да се осигури ефективна отчетност и прозрачност при изпълнението на бюджета на ЕС, включително когато се предприемат действия по отношение на връзката между развитието и първопричините за миграцията;</w:t>
      </w:r>
    </w:p>
    <w:p w:rsidR="00BD5891" w:rsidRPr="00A73F6C" w:rsidP="00BD5891" w14:paraId="5888377C" w14:textId="77777777">
      <w:pPr>
        <w:pStyle w:val="NormalHanging12a"/>
      </w:pPr>
      <w:r w:rsidRPr="00A73F6C">
        <w:t>7.</w:t>
      </w:r>
      <w:r w:rsidRPr="00A73F6C">
        <w:tab/>
        <w:t>призовава Комисията и държавите членки да активизират политическия диалог с трети държави, да укрепят и разработят всеобхватни и взаимноизгодни подходи за всяка отделна държава, които отчитат специфичния контекст и потребностите в областта на развитието и миграцията на държавите на произход и държавите на транзитно преминаване, особено по отношение на човешкото развитие, достойния труд, социалното приобщаване и закрилата на мигрантите, бежанците и вътрешно разселените лица; подчертава, че това сътрудничество следва да се основава на солидарност, споделена отговорност и зачитане на правата на човека;</w:t>
      </w:r>
    </w:p>
    <w:p w:rsidR="00BD5891" w:rsidRPr="00A73F6C" w:rsidP="00BD5891" w14:paraId="7CC577E5" w14:textId="77777777">
      <w:pPr>
        <w:pStyle w:val="NormalHanging12a"/>
      </w:pPr>
      <w:r w:rsidRPr="00A73F6C">
        <w:t>8.</w:t>
      </w:r>
      <w:r w:rsidRPr="00A73F6C">
        <w:tab/>
        <w:t>подчертава необходимостта от ясен анализ на местата на заселване на мигрантите и последиците от тях на местно равнище; призовава Комисията и държавите членки да разработят стратегия, в която се подчертава необходимостта да се вземат предвид местните гледни точки, и да засилят ангажираността на местно равнище и да надграждат върху съществуващите регионални приоритети, по-специално чрез оказване на подкрепа за вътрешноконтиненталните миграционни системи;</w:t>
      </w:r>
    </w:p>
    <w:p w:rsidR="00BD5891" w:rsidRPr="00A73F6C" w:rsidP="00BD5891" w14:paraId="3E9582F4" w14:textId="77777777">
      <w:pPr>
        <w:pStyle w:val="NormalHanging12a"/>
      </w:pPr>
      <w:r w:rsidRPr="00A73F6C">
        <w:t>9.</w:t>
      </w:r>
      <w:r w:rsidRPr="00A73F6C">
        <w:tab/>
        <w:t>призовава Комисията да отдели приоритетно внимание на нестабилните географски ситуации, като също така вземе предвид специфичните за миграцията данни и основаната на научни изследвания информация, за да установи по-добре какви са нуждите на държавите партньори и да насочи усилията си към техните приоритети, включително по отношение на незаконната миграция и принудителното разселване;</w:t>
      </w:r>
    </w:p>
    <w:p w:rsidR="00BD5891" w:rsidRPr="00A73F6C" w:rsidP="00BD5891" w14:paraId="08CDA0BD" w14:textId="77777777">
      <w:pPr>
        <w:pStyle w:val="NormalHanging12a"/>
      </w:pPr>
      <w:r w:rsidRPr="00A73F6C">
        <w:t>10.</w:t>
      </w:r>
      <w:r w:rsidRPr="00A73F6C">
        <w:tab/>
        <w:t xml:space="preserve">подчертава, че </w:t>
      </w:r>
      <w:r w:rsidRPr="00A73F6C">
        <w:t>Global</w:t>
      </w:r>
      <w:r w:rsidRPr="00A73F6C">
        <w:t xml:space="preserve"> </w:t>
      </w:r>
      <w:r w:rsidRPr="00A73F6C">
        <w:t>Gateway</w:t>
      </w:r>
      <w:r w:rsidRPr="00A73F6C">
        <w:t xml:space="preserve"> може да изиграе ключова роля за насърчаване на устойчивото икономическо развитие и създаването на работни места в държавите партньори и съответно за овластяването на местните общности и предоставянето на възможност на хората да допринасят активно за развитието както на своите </w:t>
      </w:r>
      <w:r w:rsidRPr="00A73F6C">
        <w:t>държави на произход, така и на приемните общности, като по този начин се преодоляват първопричините за незаконната миграция;</w:t>
      </w:r>
    </w:p>
    <w:p w:rsidR="00BD5891" w:rsidRPr="00A73F6C" w:rsidP="00BD5891" w14:paraId="539C1AD2" w14:textId="77777777">
      <w:pPr>
        <w:pStyle w:val="NormalHanging12a"/>
      </w:pPr>
      <w:r w:rsidRPr="00A73F6C">
        <w:t>11.</w:t>
      </w:r>
      <w:r w:rsidRPr="00A73F6C">
        <w:tab/>
        <w:t xml:space="preserve">подчертава необходимостта да се гарантира по-активното участие на частния сектор, да се диверсифицират и прилагат законните възможности, да се признават уменията, да се осигури участието на банките на ЕС за развитие и да се разработят иновативни подходи за смесено финансиране в рамките на „Екип Европа“, като същевременно се допринася за изпълнението на стратегията </w:t>
      </w:r>
      <w:r w:rsidRPr="00A73F6C">
        <w:t>Global</w:t>
      </w:r>
      <w:r w:rsidRPr="00A73F6C">
        <w:t xml:space="preserve"> </w:t>
      </w:r>
      <w:r w:rsidRPr="00A73F6C">
        <w:t>Gateway</w:t>
      </w:r>
      <w:r w:rsidRPr="00A73F6C">
        <w:t>; насърчава европейския частен сектор да участва в проекти за развитие в държавите партньори и да подпомага сигурността и прозрачността на инвестиционната среда, благоприятстваща участието на малките и средните предприятия, както и създаването на местни производствени вериги;</w:t>
      </w:r>
    </w:p>
    <w:p w:rsidR="00BD5891" w:rsidRPr="00A73F6C" w:rsidP="00BD5891" w14:paraId="26BDD1EB" w14:textId="77777777">
      <w:pPr>
        <w:pStyle w:val="NormalHanging12a"/>
      </w:pPr>
      <w:r w:rsidRPr="00A73F6C">
        <w:t>12.</w:t>
      </w:r>
      <w:r w:rsidRPr="00A73F6C">
        <w:tab/>
        <w:t>подчертава, че недостигът на вода, влошаването на състоянието на околната среда и земята, обезлесяването и други бедствия, свързани с климата, са фактори, които стоят зад миграционните потоци, включително принудителното разселване; подчертава, че лицата, разселени поради влошаване на състоянието на околната среда и предизвикани от климата бедствия, се нуждаят от подходяща подкрепа; призовава Комисията и държавите членки да дадат приоритет на инвестициите в устойчиво управление на природните ресурси в рамките на програмите за развитие, включително опазване на водите и почвите, повторно залесяване, устойчиво на изменението на климата селско стопанство и енергия от възобновяеми източници, за да се засилят социалното сближаване и устойчивостта на общностите, да се предотврати напрежението във връзка с природните ресурси и да се увеличат възможностите на хората да изградят устойчив живот за себе си в своите държави на произход;</w:t>
      </w:r>
    </w:p>
    <w:p w:rsidR="00BD5891" w:rsidRPr="00A73F6C" w:rsidP="00BD5891" w14:paraId="5B2ADFDD" w14:textId="77777777">
      <w:pPr>
        <w:pStyle w:val="NormalHanging12a"/>
      </w:pPr>
      <w:r w:rsidRPr="00A73F6C">
        <w:t>13.</w:t>
      </w:r>
      <w:r w:rsidRPr="00A73F6C">
        <w:tab/>
        <w:t>подчертава, че ЕС трябва да прилага цялостен подход, като съсредоточи вниманието си върху местното равнище, с цел да предоставя помощ за развитие, която допринася за структурното развитие чрез подкрепа за демокрацията, принципите на правовата държава, основаните на правила ред и институции, така че да се осигурят трайни резултати;</w:t>
      </w:r>
    </w:p>
    <w:p w:rsidR="00BD5891" w:rsidRPr="00A73F6C" w:rsidP="00BD5891" w14:paraId="16DB03AB" w14:textId="77777777">
      <w:pPr>
        <w:pStyle w:val="NormalHanging12a"/>
      </w:pPr>
      <w:r w:rsidRPr="00A73F6C">
        <w:t>14.</w:t>
      </w:r>
      <w:r w:rsidRPr="00A73F6C">
        <w:tab/>
        <w:t>подчертава значението на изпълнението на програмите за развитие в тясно сътрудничество с местните органи, гражданското общество и частния сектор;</w:t>
      </w:r>
    </w:p>
    <w:p w:rsidR="00BD5891" w:rsidRPr="00A73F6C" w:rsidP="00BD5891" w14:paraId="6B287D8D" w14:textId="77777777">
      <w:pPr>
        <w:pStyle w:val="NormalHanging12a"/>
      </w:pPr>
      <w:r w:rsidRPr="00A73F6C">
        <w:t>15.</w:t>
      </w:r>
      <w:r w:rsidRPr="00A73F6C">
        <w:tab/>
        <w:t>подчертава необходимостта от борба с контрабандата и трафика на хора чрез засилено международно и многостранно сътрудничество с държавите партньори, включително, когато това е уместно, с местните власти, силите за сигурност и организациите на гражданското общество, в областта на превенцията на престъпността, защитата на жертвите, засилването на правоприлагането, обществените кампании за повишаване на осведомеността с цел противодействие на дезинформацията, преследване на извършителите и предотвратяване на експлоатацията на мигранти от престъпни мрежи и трафиканти на мигранти, както и чрез осигуряване на по-безопасни алтернативи чрез създаване на законни канали за безопасна и законна миграция и мобилност на работниците; подчертава, че строгият граничен контрол, без да има алтернативни законни канали за миграция, променя миграционните маршрути, което води до нови етапи в пътуването и нови държави на транзитно преминаване, като по този начин увеличава несигурността по време на пътуването и излага мигрантите на по-голям риск от контрабандни мрежи, изнудване и насилие;</w:t>
      </w:r>
    </w:p>
    <w:p w:rsidR="00BD5891" w:rsidRPr="00A73F6C" w:rsidP="00BD5891" w14:paraId="0B65808A" w14:textId="77777777">
      <w:pPr>
        <w:pStyle w:val="NormalHanging12a"/>
      </w:pPr>
      <w:r w:rsidRPr="00A73F6C">
        <w:t>16.</w:t>
      </w:r>
      <w:r w:rsidRPr="00A73F6C">
        <w:tab/>
        <w:t>призовава Комисията и държавите членки да насърчават сътрудничеството с държавите партньори в областта на миграцията;</w:t>
      </w:r>
    </w:p>
    <w:p w:rsidR="00BD5891" w:rsidRPr="00A73F6C" w:rsidP="00BD5891" w14:paraId="5000DA6A" w14:textId="77777777">
      <w:pPr>
        <w:pStyle w:val="NormalHanging12a"/>
      </w:pPr>
      <w:r w:rsidRPr="00A73F6C">
        <w:t>17.</w:t>
      </w:r>
      <w:r w:rsidRPr="00A73F6C">
        <w:tab/>
        <w:t>припомня, че хуманитарната помощ следва винаги да се предоставя в съответствие с хуманитарните принципи;</w:t>
      </w:r>
    </w:p>
    <w:p w:rsidR="00BD5891" w:rsidRPr="00A73F6C" w:rsidP="00BD5891" w14:paraId="4BC7FBC2" w14:textId="77777777">
      <w:pPr>
        <w:pStyle w:val="NormalHanging12a"/>
      </w:pPr>
      <w:r w:rsidRPr="00A73F6C">
        <w:t>18.</w:t>
      </w:r>
      <w:r w:rsidRPr="00A73F6C">
        <w:tab/>
        <w:t>призовава Комисията да продължи да подкрепя държавите на произход и съседните приемащи държави с оглед на справянето с увеличените междуконтинентални миграционни потоци;</w:t>
      </w:r>
    </w:p>
    <w:p w:rsidR="00681495" w:rsidP="00BD5891" w14:paraId="7DA0BB8A" w14:textId="5E91F243">
      <w:pPr>
        <w:pStyle w:val="NormalHanging12a"/>
      </w:pPr>
      <w:r>
        <w:t>19.</w:t>
      </w:r>
      <w:r>
        <w:tab/>
      </w:r>
      <w:r w:rsidRPr="00681495">
        <w:t xml:space="preserve">призовава Комисията и държавите членки да укрепят капацитета си за предотвратяване и реагиране на </w:t>
      </w:r>
      <w:r w:rsidRPr="00681495">
        <w:t>инструментализирането</w:t>
      </w:r>
      <w:r w:rsidRPr="00681495">
        <w:t xml:space="preserve"> на мигранти; подчертава необходимостта от засилено сътрудничество с държавите партньори и съответните агенции за откриване, предотвратяване и противодействие на такива действия;</w:t>
      </w:r>
    </w:p>
    <w:p w:rsidR="00BD5891" w:rsidRPr="00A73F6C" w:rsidP="00BD5891" w14:paraId="521226DB" w14:textId="03920FAB">
      <w:pPr>
        <w:pStyle w:val="NormalHanging12a"/>
      </w:pPr>
      <w:r>
        <w:t>20</w:t>
      </w:r>
      <w:r w:rsidRPr="00A73F6C">
        <w:t>.</w:t>
      </w:r>
      <w:r w:rsidRPr="00A73F6C">
        <w:tab/>
        <w:t>подчертава, че публичното финансиране на развитието е от решаващо значение за държавите партньори и че частните инвестиции могат да допринесат за постигането на целите на политиката на ЕС за развитие; отбелязва, че инвестиционните гаранции от ЕС насърчават дружествата да правят инвестиции, при условие че се извършва строга надлежна проверка, за да се гарантират спазването на социалните, екологичните и управленските стандарти и съответствието с целите за устойчиво развитие; припомня, че постигането на целите за устойчиво развитие е от съществено значение за подобряване на поминъка в третите държави;</w:t>
      </w:r>
    </w:p>
    <w:p w:rsidR="00BD5891" w:rsidRPr="00A73F6C" w:rsidP="00BD5891" w14:paraId="1D69702F" w14:textId="156FB79D">
      <w:pPr>
        <w:pStyle w:val="NormalHanging12a"/>
      </w:pPr>
      <w:r>
        <w:t>21</w:t>
      </w:r>
      <w:r w:rsidRPr="00A73F6C">
        <w:t>.</w:t>
      </w:r>
      <w:r w:rsidRPr="00A73F6C">
        <w:tab/>
        <w:t>призовава финансовите инструменти на ЕС, Европейският фонд за устойчиво развитие плюс и Европейската инвестиционна банка да се стремят към генериране на икономическа възвръщаемост на местно равнище с оглед на укрепването на икономическата автономност и дългосрочната устойчивост;</w:t>
      </w:r>
    </w:p>
    <w:p w:rsidR="00BD5891" w:rsidRPr="00A73F6C" w:rsidP="00BD5891" w14:paraId="71017FA2" w14:textId="79E3C71E">
      <w:pPr>
        <w:pStyle w:val="NormalHanging12a"/>
      </w:pPr>
      <w:r>
        <w:t>22</w:t>
      </w:r>
      <w:r w:rsidRPr="00A73F6C">
        <w:t>.</w:t>
      </w:r>
      <w:r w:rsidRPr="00A73F6C">
        <w:tab/>
        <w:t>припомня, че официалната помощ за развитие продължава да бъде жизненоважен инструмент за намаляване на бедността, за преодоляване на неравенствата и за оказване на подкрепа на най-уязвимите общности; остро критикува драстичните съкращения на официалната помощ за развитие от страна на водещи световни донори; призовава ЕС и неговите държави членки да изпълнят своя ангажимент да отделят 0,7% от своя брутен национален доход за официалната помощ за развитие;</w:t>
      </w:r>
    </w:p>
    <w:p w:rsidR="00BD5891" w:rsidRPr="00A73F6C" w:rsidP="00BD5891" w14:paraId="618A4B68" w14:textId="325AB5DF">
      <w:pPr>
        <w:pStyle w:val="NormalHanging12a"/>
      </w:pPr>
      <w:r>
        <w:t>23</w:t>
      </w:r>
      <w:r w:rsidRPr="00A73F6C">
        <w:t>.</w:t>
      </w:r>
      <w:r w:rsidRPr="00A73F6C">
        <w:tab/>
        <w:t>призовава Комисията да осигури по-голяма отчетност, прозрачност и парламентарен контрол при разработването и изпълнението на цялото финансиране от ЕС, включително в рамките на предстоящия инструмент „Глобална Европа“, който трябва да даде приоритет на изпълнението на целите за устойчиво развитие, включително по отношение на справянето с предизвикателствата, свързани с незаконната миграция;</w:t>
      </w:r>
    </w:p>
    <w:p w:rsidR="00BD5891" w:rsidRPr="00A73F6C" w:rsidP="00BD5891" w14:paraId="117BC1CE" w14:textId="5CFFFC1C">
      <w:pPr>
        <w:pStyle w:val="NormalHanging12a"/>
      </w:pPr>
      <w:r>
        <w:t>24</w:t>
      </w:r>
      <w:r w:rsidRPr="00A73F6C">
        <w:t>.</w:t>
      </w:r>
      <w:r w:rsidRPr="00A73F6C">
        <w:tab/>
        <w:t xml:space="preserve">подчертава, че развитието на селското стопанство и селските райони, заедно с политиката в областта на храните и храненето, могат да допринесат за преодоляването на някои от първопричините за миграцията; припомня, че достъпът до земя и природни ресурси е от решаващо значение за гарантиране на продоволствената и хранителната сигурност на местните общности, за подобряване на производителността на дребните земеделски стопани, </w:t>
      </w:r>
      <w:r w:rsidRPr="00A73F6C">
        <w:t>придружено от адаптиране на производството към изменението на климата, и за насърчаване на прилагането на доброволните насоки на Организацията за прехрана и земеделие относно владението на земя, които отдават приоритет на правата и потребностите на законните носители на поземлени права, особено на жените;</w:t>
      </w:r>
    </w:p>
    <w:p w:rsidR="00BD5891" w:rsidRPr="00A73F6C" w:rsidP="00BD5891" w14:paraId="53C6BA53" w14:textId="63779EAD">
      <w:pPr>
        <w:pStyle w:val="NormalHanging12a"/>
      </w:pPr>
      <w:r>
        <w:t>25</w:t>
      </w:r>
      <w:r w:rsidRPr="00A73F6C">
        <w:t>.</w:t>
      </w:r>
      <w:r w:rsidRPr="00A73F6C">
        <w:tab/>
        <w:t>приканва Комисията да увеличи подкрепата за заведенията за висше образование и техническото и професионалното образование и обучение в държавите партньори като част от своята стратегия за развитие като начин за преодоляване на първопричините за миграцията; подчертава значението на укрепването на човешкото развитие чрез инвестиране в умения на местно равнище; призовава Комисията да подпомага държавите партньори в изграждането на капацитет в това отношение; освен това призовава за оказването на по-голяма подкрепа за ръководени от млади хора инициативи с цел укрепване на уменията, иновациите и обмена и използване на миграцията като двигател на устойчивото развитие;</w:t>
      </w:r>
    </w:p>
    <w:p w:rsidR="00BD5891" w:rsidRPr="00A73F6C" w:rsidP="00BD5891" w14:paraId="09E6EEBA" w14:textId="7F0F5140">
      <w:pPr>
        <w:pStyle w:val="NormalHanging12a"/>
      </w:pPr>
      <w:r>
        <w:t>26</w:t>
      </w:r>
      <w:r w:rsidRPr="00A73F6C">
        <w:t>.</w:t>
      </w:r>
      <w:r w:rsidRPr="00A73F6C">
        <w:tab/>
        <w:t>призовава Комисията да проучи допълнително партньорствата на ЕС в подкрепа на талантите с по-голям брой трети държави, особено с трети държави, които се характеризират с високи равнища на емиграция;</w:t>
      </w:r>
    </w:p>
    <w:p w:rsidR="00BD5891" w:rsidRPr="00A73F6C" w:rsidP="00BD5891" w14:paraId="7B61109C" w14:textId="09ACEE81">
      <w:pPr>
        <w:pStyle w:val="NormalHanging12a"/>
      </w:pPr>
      <w:r>
        <w:t>27</w:t>
      </w:r>
      <w:r w:rsidRPr="00A73F6C">
        <w:t>.</w:t>
      </w:r>
      <w:r w:rsidRPr="00A73F6C">
        <w:tab/>
        <w:t>подчертава, че икономическото овластяване и създаването на достойни работни места са основни инструменти за намаляване на неравенствата и че те подобряват поминъка в държавите на произход и по този начин ограничават причините за незаконната миграция; призовава финансирането от ЕС да подкрепя също така местното предприемачество и публичната инфраструктура;</w:t>
      </w:r>
    </w:p>
    <w:p w:rsidR="00BD5891" w:rsidRPr="00A73F6C" w:rsidP="00BD5891" w14:paraId="55C735F8" w14:textId="4A466DDB">
      <w:pPr>
        <w:pStyle w:val="NormalHanging12a"/>
      </w:pPr>
      <w:r>
        <w:t>28</w:t>
      </w:r>
      <w:r w:rsidRPr="00A73F6C">
        <w:t>.</w:t>
      </w:r>
      <w:r w:rsidRPr="00A73F6C">
        <w:tab/>
        <w:t>подчертава, че младите хора трябва да бъдат в центъра на партньорствата и че те са от съществено значение за устойчивото развитие; подчертава, че е важно да се подкрепят програми за обмен като „Еразъм+“ и други програми за младежка мобилност и умения, за да се предоставят възможности за образование и заетост и да се осигурят на младите хора възможности да се развиват успешно в своите държави на произход;</w:t>
      </w:r>
    </w:p>
    <w:p w:rsidR="00BD5891" w:rsidRPr="00A73F6C" w:rsidP="00BD5891" w14:paraId="566E4A54" w14:textId="0AF13DBC">
      <w:pPr>
        <w:pStyle w:val="NormalHanging12a"/>
      </w:pPr>
      <w:r>
        <w:t>29</w:t>
      </w:r>
      <w:r w:rsidRPr="00A73F6C">
        <w:t>.</w:t>
      </w:r>
      <w:r w:rsidRPr="00A73F6C">
        <w:tab/>
        <w:t xml:space="preserve">призовава Комисията да включи селското стопанство и управлението на водите сред своите приоритети за сътрудничество, като насърчава проекти, които подобряват </w:t>
      </w:r>
      <w:r w:rsidRPr="00A73F6C">
        <w:t>самодостатъчността</w:t>
      </w:r>
      <w:r w:rsidRPr="00A73F6C">
        <w:t xml:space="preserve"> и намаляват миграционния натиск;</w:t>
      </w:r>
    </w:p>
    <w:p w:rsidR="00BD5891" w:rsidRPr="00A73F6C" w:rsidP="00BD5891" w14:paraId="60264D2F" w14:textId="63D9FA3C">
      <w:pPr>
        <w:pStyle w:val="NormalHanging12a"/>
      </w:pPr>
      <w:r>
        <w:t>30</w:t>
      </w:r>
      <w:r w:rsidRPr="00A73F6C">
        <w:t>.</w:t>
      </w:r>
      <w:r w:rsidRPr="00A73F6C">
        <w:tab/>
        <w:t>отбелязва, че миграцията и изтичането на мозъци могат да създават предизвикателства за развитието на дадена държава, като намаляват наличната квалифицирана работна ръка; припомня, че сътрудничеството за развитие може да смекчи този риск чрез всеобхватни стратегии, които подкрепят качествените системи за образование и обучение, разширяват възможностите за заетост на местно равнище и насърчават трансфера на знания и умения; във връзка с това призовава Комисията да продължи работата си в тази област, включително да се заеме с въпроса за изтичането на мозъци в рамките на политиката за развитие и нейното финансиране;</w:t>
      </w:r>
    </w:p>
    <w:p w:rsidR="00BD5891" w:rsidRPr="00A73F6C" w:rsidP="00BD5891" w14:paraId="386BE7A8" w14:textId="3C61BEB1">
      <w:pPr>
        <w:pStyle w:val="NormalHanging12a"/>
      </w:pPr>
      <w:r>
        <w:t>31</w:t>
      </w:r>
      <w:r w:rsidRPr="00A73F6C">
        <w:t>.</w:t>
      </w:r>
      <w:r w:rsidRPr="00A73F6C">
        <w:tab/>
        <w:t xml:space="preserve">отчита ключовата роля на различните общности в рамките на диаспората за насърчаване на устойчивото развитие, инвестициите и иновациите в съответните държави на произход; подчертава, че овластяването на мрежите в рамките на диаспората създава взаимни ползи за държавите партньори и за ЕС; призовава ЕС и неговите държави членки да засилят ангажираността си с организациите на </w:t>
      </w:r>
      <w:r w:rsidRPr="00A73F6C">
        <w:t>диаспората и да разработят приобщаващи програми, които допринасят за взаимноизгодните форми на кръговата миграция;</w:t>
      </w:r>
    </w:p>
    <w:p w:rsidR="00BD5891" w:rsidRPr="00A73F6C" w:rsidP="00BD5891" w14:paraId="1EA2DADF" w14:textId="0CDD5F8D">
      <w:pPr>
        <w:pStyle w:val="NormalHanging12a"/>
      </w:pPr>
      <w:r>
        <w:t>32</w:t>
      </w:r>
      <w:r w:rsidRPr="00A73F6C">
        <w:t>.</w:t>
      </w:r>
      <w:r w:rsidRPr="00A73F6C">
        <w:tab/>
        <w:t>призовава Комисията и държавите членки да инвестират в кампании за повишаване на осведомеността както в рамките на ЕС, така и в трети държави, за да се борят с дезинформацията и да разпространяват информация относно рисковете, свързани с незаконната миграция, и да насърчават запознаването с правилата на ЕС относно задълженията в областта на трудовата миграция;</w:t>
      </w:r>
    </w:p>
    <w:p w:rsidR="00BD5891" w:rsidRPr="00A73F6C" w:rsidP="00BD5891" w14:paraId="68B35162" w14:textId="23A75022">
      <w:pPr>
        <w:pStyle w:val="NormalHanging12a"/>
      </w:pPr>
      <w:r>
        <w:t>33</w:t>
      </w:r>
      <w:r w:rsidRPr="00A73F6C">
        <w:t>.</w:t>
      </w:r>
      <w:r w:rsidRPr="00A73F6C">
        <w:tab/>
        <w:t>призовава Комисията и държавите членки да увеличат финансирането за подобряването на спазването на принципите на правовата държава, подкрепата за демокрацията, укрепването на държавните институции и изграждането на капацитет, както и за подобряване на обществените услуги, включително здравеопазването, достъпа до чиста вода и образованието;</w:t>
      </w:r>
    </w:p>
    <w:p w:rsidR="00BD5891" w:rsidRPr="00A73F6C" w:rsidP="00BD5891" w14:paraId="42461B88" w14:textId="64B9ECC2">
      <w:pPr>
        <w:pStyle w:val="NormalHanging12a"/>
      </w:pPr>
      <w:r>
        <w:t>34</w:t>
      </w:r>
      <w:r w:rsidRPr="00A73F6C">
        <w:t>.</w:t>
      </w:r>
      <w:r w:rsidRPr="00A73F6C">
        <w:tab/>
        <w:t>отново заявява, че е от съществено значение да се прилага цялостен подход, който съчетава сътрудничеството за развитие и управлението на миграцията, за да се гарантират по ефективен начин сигурността и солидарността както в рамките на ЕС, така и в държавите на произход и държавите на транзитно преминаване;</w:t>
      </w:r>
    </w:p>
    <w:p w:rsidR="00BD5891" w:rsidP="00787C81" w14:paraId="15C5682E" w14:textId="4BBCC876">
      <w:pPr>
        <w:pStyle w:val="NormalHanging12a"/>
      </w:pPr>
      <w:r>
        <w:t>35</w:t>
      </w:r>
      <w:r w:rsidRPr="00A73F6C">
        <w:t>.</w:t>
      </w:r>
      <w:r w:rsidRPr="00A73F6C">
        <w:tab/>
        <w:t>посреща със задоволство работата от ключово значение на участниците в областта на хуманитарната помощ, развитието и мира, по-специално организациите на ООН, други международни организации и местни участници, включително местните органи, организациите на гражданското общество, защитниците на правата на човека, организациите на жените, младежките и неправителствените организации, както и религиозните общности и организации;</w:t>
      </w:r>
    </w:p>
    <w:p w:rsidR="00787C81" w:rsidP="00787C81" w14:paraId="7F55CAD7" w14:textId="195385B5">
      <w:pPr>
        <w:pStyle w:val="NormalHanging12a"/>
        <w:ind w:left="0" w:firstLine="0"/>
        <w:jc w:val="center"/>
      </w:pPr>
      <w:r>
        <w:t>°</w:t>
      </w:r>
    </w:p>
    <w:p w:rsidR="00787C81" w:rsidP="00787C81" w14:paraId="27B247F8" w14:textId="7D7FCF61">
      <w:pPr>
        <w:pStyle w:val="NormalHanging12a"/>
        <w:ind w:left="0" w:firstLine="0"/>
        <w:jc w:val="center"/>
      </w:pPr>
      <w:r>
        <w:t>°     °</w:t>
      </w:r>
    </w:p>
    <w:p w:rsidR="00A73F6C" w:rsidRPr="00A73F6C" w:rsidP="00A73F6C" w14:paraId="513A679B" w14:textId="2463259E">
      <w:pPr>
        <w:pStyle w:val="NormalHanging12a"/>
      </w:pPr>
      <w:r>
        <w:t>36</w:t>
      </w:r>
      <w:r w:rsidRPr="00A73F6C" w:rsidR="00BD5891">
        <w:t>.</w:t>
      </w:r>
      <w:r w:rsidRPr="00A73F6C" w:rsidR="00BD5891">
        <w:tab/>
        <w:t>възлага на своя председател да предаде настоящата резолюция на Съвета, Комисията и Европейската служба за външна дейност.</w:t>
      </w:r>
    </w:p>
    <w:p w:rsidR="00E365E1" w:rsidRPr="00A73F6C" w:rsidP="00F77E89" w14:paraId="1265CC99" w14:textId="241CCD38"/>
    <w:sectPr w:rsidSect="00A73F6C">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77E89" w:rsidRPr="00A73F6C" w14:paraId="4EE61144" w14:textId="77777777">
      <w:r w:rsidRPr="00A73F6C">
        <w:separator/>
      </w:r>
    </w:p>
  </w:footnote>
  <w:footnote w:type="continuationSeparator" w:id="1">
    <w:p w:rsidR="00F77E89" w:rsidRPr="00A73F6C" w14:paraId="5BBC2F31" w14:textId="77777777">
      <w:r w:rsidRPr="00A73F6C">
        <w:continuationSeparator/>
      </w:r>
    </w:p>
  </w:footnote>
  <w:footnote w:id="2">
    <w:p w:rsidR="00787C81" w:rsidRPr="00A73F6C" w:rsidP="00A73F6C" w14:paraId="09F21EB4" w14:textId="2408C8FB">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t xml:space="preserve">ОВ L 209, 14.6.2021 г., стр. 1, ELI: </w:t>
      </w:r>
      <w:hyperlink r:id="rId1" w:tgtFrame="http://data.europa.eu/eli/reg/2021/947/oj" w:history="1">
        <w:r w:rsidRPr="00A73F6C">
          <w:rPr>
            <w:rStyle w:val="Hyperlink"/>
            <w:sz w:val="24"/>
            <w:lang w:val="bg-BG"/>
          </w:rPr>
          <w:t>http://data.europa.eu/eli/reg/2021/947/oj</w:t>
        </w:r>
      </w:hyperlink>
      <w:r w:rsidRPr="00A73F6C">
        <w:rPr>
          <w:sz w:val="24"/>
          <w:lang w:val="bg-BG"/>
        </w:rPr>
        <w:t>.</w:t>
      </w:r>
    </w:p>
  </w:footnote>
  <w:footnote w:id="3">
    <w:p w:rsidR="00787C81" w:rsidRPr="00A73F6C" w:rsidP="00A73F6C" w14:paraId="5DB01938" w14:textId="032C81BB">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r>
      <w:r w:rsidRPr="00A73F6C">
        <w:rPr>
          <w:sz w:val="24"/>
          <w:lang w:val="bg-BG"/>
        </w:rPr>
        <w:t xml:space="preserve">OВ L, 2024/1351, 22.5.2024 г., ELI: </w:t>
      </w:r>
      <w:hyperlink r:id="rId2" w:tgtFrame="http://data.europa.eu/eli/reg/2024/1351/oj" w:history="1">
        <w:r w:rsidRPr="00A73F6C">
          <w:rPr>
            <w:rStyle w:val="Hyperlink"/>
            <w:sz w:val="24"/>
            <w:lang w:val="bg-BG"/>
          </w:rPr>
          <w:t>http://data.europa.eu/eli/reg/2024/1351/oj</w:t>
        </w:r>
      </w:hyperlink>
      <w:r w:rsidRPr="00A73F6C">
        <w:rPr>
          <w:sz w:val="24"/>
          <w:lang w:val="bg-BG"/>
        </w:rPr>
        <w:t>.</w:t>
      </w:r>
    </w:p>
  </w:footnote>
  <w:footnote w:id="4">
    <w:p w:rsidR="00787C81" w:rsidRPr="00A73F6C" w:rsidP="00A73F6C" w14:paraId="30A805E2" w14:textId="233B25C9">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r>
      <w:r w:rsidRPr="00A73F6C">
        <w:rPr>
          <w:sz w:val="24"/>
          <w:lang w:val="bg-BG"/>
        </w:rPr>
        <w:t>OВ L, 2023/2862, 2</w:t>
      </w:r>
      <w:r w:rsidRPr="009A46DF" w:rsidR="009A46DF">
        <w:rPr>
          <w:sz w:val="24"/>
          <w:lang w:val="fi-FI"/>
        </w:rPr>
        <w:t>8</w:t>
      </w:r>
      <w:r w:rsidRPr="00A73F6C">
        <w:rPr>
          <w:sz w:val="24"/>
          <w:lang w:val="bg-BG"/>
        </w:rPr>
        <w:t>.</w:t>
      </w:r>
      <w:r w:rsidRPr="009A46DF" w:rsidR="009A46DF">
        <w:rPr>
          <w:sz w:val="24"/>
          <w:lang w:val="fi-FI"/>
        </w:rPr>
        <w:t>12</w:t>
      </w:r>
      <w:r w:rsidRPr="00A73F6C">
        <w:rPr>
          <w:sz w:val="24"/>
          <w:lang w:val="bg-BG"/>
        </w:rPr>
        <w:t>.202</w:t>
      </w:r>
      <w:r w:rsidRPr="009A46DF" w:rsidR="009A46DF">
        <w:rPr>
          <w:sz w:val="24"/>
          <w:lang w:val="fi-FI"/>
        </w:rPr>
        <w:t>3</w:t>
      </w:r>
      <w:r w:rsidRPr="00A73F6C">
        <w:rPr>
          <w:sz w:val="24"/>
          <w:lang w:val="bg-BG"/>
        </w:rPr>
        <w:t xml:space="preserve"> г., ELI: </w:t>
      </w:r>
      <w:hyperlink r:id="rId3" w:tgtFrame="http://data.europa.eu/eli/agree_internation/2023/2862/oj" w:history="1">
        <w:r w:rsidRPr="00A73F6C">
          <w:rPr>
            <w:rStyle w:val="Hyperlink"/>
            <w:sz w:val="24"/>
            <w:lang w:val="bg-BG"/>
          </w:rPr>
          <w:t>http://data.europa.eu/eli/agree_internation/2023/2862/oj</w:t>
        </w:r>
      </w:hyperlink>
      <w:r w:rsidRPr="00A73F6C">
        <w:rPr>
          <w:sz w:val="24"/>
          <w:lang w:val="bg-BG"/>
        </w:rPr>
        <w:t>.</w:t>
      </w:r>
    </w:p>
  </w:footnote>
  <w:footnote w:id="5">
    <w:p w:rsidR="00787C81" w:rsidRPr="00A73F6C" w:rsidP="00A73F6C" w14:paraId="32DB4423" w14:textId="1E0F7B10">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t xml:space="preserve">OВ </w:t>
      </w:r>
      <w:r w:rsidRPr="009A46DF" w:rsidR="009A46DF">
        <w:rPr>
          <w:sz w:val="24"/>
          <w:lang w:val="fi-FI"/>
        </w:rPr>
        <w:t>C</w:t>
      </w:r>
      <w:r w:rsidRPr="00A73F6C">
        <w:rPr>
          <w:sz w:val="24"/>
          <w:lang w:val="bg-BG"/>
        </w:rPr>
        <w:t xml:space="preserve">, </w:t>
      </w:r>
      <w:r w:rsidRPr="009A46DF" w:rsidR="009A46DF">
        <w:rPr>
          <w:sz w:val="24"/>
          <w:lang w:val="fi-FI"/>
        </w:rPr>
        <w:t>C/</w:t>
      </w:r>
      <w:r w:rsidRPr="00A73F6C">
        <w:rPr>
          <w:sz w:val="24"/>
          <w:lang w:val="bg-BG"/>
        </w:rPr>
        <w:t xml:space="preserve">2026/576, </w:t>
      </w:r>
      <w:r w:rsidRPr="00A73F6C">
        <w:rPr>
          <w:sz w:val="24"/>
          <w:lang w:val="bg-BG"/>
        </w:rPr>
        <w:t>24.2.202</w:t>
      </w:r>
      <w:r w:rsidRPr="009A46DF" w:rsidR="009A46DF">
        <w:rPr>
          <w:sz w:val="24"/>
          <w:lang w:val="fi-FI"/>
        </w:rPr>
        <w:t>6</w:t>
      </w:r>
      <w:r w:rsidRPr="00A73F6C">
        <w:rPr>
          <w:sz w:val="24"/>
          <w:lang w:val="bg-BG"/>
        </w:rPr>
        <w:t xml:space="preserve"> г., ELI: </w:t>
      </w:r>
      <w:hyperlink r:id="rId4" w:tgtFrame="http://data.europa.eu/eli/C/2026/576/oj" w:history="1">
        <w:r w:rsidRPr="00A73F6C">
          <w:rPr>
            <w:rStyle w:val="Hyperlink"/>
            <w:sz w:val="24"/>
            <w:lang w:val="bg-BG"/>
          </w:rPr>
          <w:t>http://data.europa.eu/eli/C/2026/576/oj</w:t>
        </w:r>
      </w:hyperlink>
      <w:r w:rsidRPr="00A73F6C">
        <w:rPr>
          <w:sz w:val="24"/>
          <w:lang w:val="bg-BG"/>
        </w:rPr>
        <w:t>.</w:t>
      </w:r>
    </w:p>
  </w:footnote>
  <w:footnote w:id="6">
    <w:p w:rsidR="00787C81" w:rsidRPr="00A73F6C" w:rsidP="00A73F6C" w14:paraId="5D342D63" w14:textId="524AD4B7">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r>
      <w:r w:rsidRPr="00A73F6C">
        <w:rPr>
          <w:sz w:val="24"/>
          <w:lang w:val="bg-BG"/>
        </w:rPr>
        <w:t>Talleraas</w:t>
      </w:r>
      <w:r w:rsidRPr="00A73F6C">
        <w:rPr>
          <w:sz w:val="24"/>
          <w:lang w:val="bg-BG"/>
        </w:rPr>
        <w:t xml:space="preserve">, C., The </w:t>
      </w:r>
      <w:r w:rsidRPr="00A73F6C">
        <w:rPr>
          <w:sz w:val="24"/>
          <w:lang w:val="bg-BG"/>
        </w:rPr>
        <w:t>role</w:t>
      </w:r>
      <w:r w:rsidRPr="00A73F6C">
        <w:rPr>
          <w:sz w:val="24"/>
          <w:lang w:val="bg-BG"/>
        </w:rPr>
        <w:t xml:space="preserve"> </w:t>
      </w:r>
      <w:r w:rsidRPr="00A73F6C">
        <w:rPr>
          <w:sz w:val="24"/>
          <w:lang w:val="bg-BG"/>
        </w:rPr>
        <w:t>of</w:t>
      </w:r>
      <w:r w:rsidRPr="00A73F6C">
        <w:rPr>
          <w:sz w:val="24"/>
          <w:lang w:val="bg-BG"/>
        </w:rPr>
        <w:t xml:space="preserve"> EU </w:t>
      </w:r>
      <w:r w:rsidRPr="00A73F6C">
        <w:rPr>
          <w:sz w:val="24"/>
          <w:lang w:val="bg-BG"/>
        </w:rPr>
        <w:t>development</w:t>
      </w:r>
      <w:r w:rsidRPr="00A73F6C">
        <w:rPr>
          <w:sz w:val="24"/>
          <w:lang w:val="bg-BG"/>
        </w:rPr>
        <w:t xml:space="preserve"> </w:t>
      </w:r>
      <w:r w:rsidRPr="00A73F6C">
        <w:rPr>
          <w:sz w:val="24"/>
          <w:lang w:val="bg-BG"/>
        </w:rPr>
        <w:t>cooperation</w:t>
      </w:r>
      <w:r w:rsidRPr="00A73F6C">
        <w:rPr>
          <w:sz w:val="24"/>
          <w:lang w:val="bg-BG"/>
        </w:rPr>
        <w:t xml:space="preserve"> </w:t>
      </w:r>
      <w:r w:rsidRPr="00A73F6C">
        <w:rPr>
          <w:sz w:val="24"/>
          <w:lang w:val="bg-BG"/>
        </w:rPr>
        <w:t>in</w:t>
      </w:r>
      <w:r w:rsidRPr="00A73F6C">
        <w:rPr>
          <w:sz w:val="24"/>
          <w:lang w:val="bg-BG"/>
        </w:rPr>
        <w:t xml:space="preserve"> </w:t>
      </w:r>
      <w:r w:rsidRPr="00A73F6C">
        <w:rPr>
          <w:sz w:val="24"/>
          <w:lang w:val="bg-BG"/>
        </w:rPr>
        <w:t>addressing</w:t>
      </w:r>
      <w:r w:rsidRPr="00A73F6C">
        <w:rPr>
          <w:sz w:val="24"/>
          <w:lang w:val="bg-BG"/>
        </w:rPr>
        <w:t xml:space="preserve"> </w:t>
      </w:r>
      <w:r w:rsidRPr="00A73F6C">
        <w:rPr>
          <w:sz w:val="24"/>
          <w:lang w:val="bg-BG"/>
        </w:rPr>
        <w:t>irregular</w:t>
      </w:r>
      <w:r w:rsidRPr="00A73F6C">
        <w:rPr>
          <w:sz w:val="24"/>
          <w:lang w:val="bg-BG"/>
        </w:rPr>
        <w:t xml:space="preserve"> </w:t>
      </w:r>
      <w:r w:rsidRPr="00A73F6C">
        <w:rPr>
          <w:sz w:val="24"/>
          <w:lang w:val="bg-BG"/>
        </w:rPr>
        <w:t>migration</w:t>
      </w:r>
      <w:r w:rsidRPr="00A73F6C">
        <w:rPr>
          <w:sz w:val="24"/>
          <w:lang w:val="bg-BG"/>
        </w:rPr>
        <w:t xml:space="preserve"> </w:t>
      </w:r>
      <w:r w:rsidRPr="00A73F6C">
        <w:rPr>
          <w:sz w:val="24"/>
          <w:lang w:val="bg-BG"/>
        </w:rPr>
        <w:t>in</w:t>
      </w:r>
      <w:r w:rsidRPr="00A73F6C">
        <w:rPr>
          <w:sz w:val="24"/>
          <w:lang w:val="bg-BG"/>
        </w:rPr>
        <w:t xml:space="preserve"> </w:t>
      </w:r>
      <w:r w:rsidRPr="00A73F6C">
        <w:rPr>
          <w:sz w:val="24"/>
          <w:lang w:val="bg-BG"/>
        </w:rPr>
        <w:t>Africa</w:t>
      </w:r>
      <w:r w:rsidRPr="00A73F6C">
        <w:rPr>
          <w:sz w:val="24"/>
          <w:lang w:val="bg-BG"/>
        </w:rPr>
        <w:t xml:space="preserve"> (Ролята на сътрудничеството на ЕС за развитие за справяне с незаконната миграция в Африка), Отдел за анализи и подкрепа за външните политики, Генерална дирекция по външни политики на ЕС, октомври 2025 г.</w:t>
      </w:r>
    </w:p>
  </w:footnote>
  <w:footnote w:id="7">
    <w:p w:rsidR="00787C81" w:rsidRPr="00A73F6C" w:rsidP="00A73F6C" w14:paraId="0E4FE07A" w14:textId="0706B9AE">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t>ОВ C 494, 8.12.2021 г., стр. 80.</w:t>
      </w:r>
    </w:p>
  </w:footnote>
  <w:footnote w:id="8">
    <w:p w:rsidR="00787C81" w:rsidRPr="00A73F6C" w:rsidP="00A73F6C" w14:paraId="77B6D91D" w14:textId="21257728">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r>
      <w:r w:rsidRPr="00A73F6C">
        <w:rPr>
          <w:sz w:val="24"/>
          <w:lang w:val="bg-BG"/>
        </w:rPr>
        <w:t xml:space="preserve">Essentials </w:t>
      </w:r>
      <w:r w:rsidRPr="00A73F6C">
        <w:rPr>
          <w:sz w:val="24"/>
          <w:lang w:val="bg-BG"/>
        </w:rPr>
        <w:t>of</w:t>
      </w:r>
      <w:r w:rsidRPr="00A73F6C">
        <w:rPr>
          <w:sz w:val="24"/>
          <w:lang w:val="bg-BG"/>
        </w:rPr>
        <w:t xml:space="preserve"> </w:t>
      </w:r>
      <w:r w:rsidRPr="00A73F6C">
        <w:rPr>
          <w:sz w:val="24"/>
          <w:lang w:val="bg-BG"/>
        </w:rPr>
        <w:t>Migration</w:t>
      </w:r>
      <w:r w:rsidRPr="00A73F6C">
        <w:rPr>
          <w:sz w:val="24"/>
          <w:lang w:val="bg-BG"/>
        </w:rPr>
        <w:t xml:space="preserve"> </w:t>
      </w:r>
      <w:r w:rsidRPr="00A73F6C">
        <w:rPr>
          <w:sz w:val="24"/>
          <w:lang w:val="bg-BG"/>
        </w:rPr>
        <w:t>Management</w:t>
      </w:r>
      <w:r w:rsidRPr="00A73F6C">
        <w:rPr>
          <w:sz w:val="24"/>
          <w:lang w:val="bg-BG"/>
        </w:rPr>
        <w:t>, „</w:t>
      </w:r>
      <w:r w:rsidRPr="00A73F6C">
        <w:rPr>
          <w:sz w:val="24"/>
          <w:lang w:val="bg-BG"/>
        </w:rPr>
        <w:t>Drivers</w:t>
      </w:r>
      <w:r w:rsidRPr="00A73F6C">
        <w:rPr>
          <w:sz w:val="24"/>
          <w:lang w:val="bg-BG"/>
        </w:rPr>
        <w:t xml:space="preserve"> </w:t>
      </w:r>
      <w:r w:rsidRPr="00A73F6C">
        <w:rPr>
          <w:sz w:val="24"/>
          <w:lang w:val="bg-BG"/>
        </w:rPr>
        <w:t>of</w:t>
      </w:r>
      <w:r w:rsidRPr="00A73F6C">
        <w:rPr>
          <w:sz w:val="24"/>
          <w:lang w:val="bg-BG"/>
        </w:rPr>
        <w:t xml:space="preserve"> </w:t>
      </w:r>
      <w:r w:rsidRPr="00A73F6C">
        <w:rPr>
          <w:sz w:val="24"/>
          <w:lang w:val="bg-BG"/>
        </w:rPr>
        <w:t>international</w:t>
      </w:r>
      <w:r w:rsidRPr="00A73F6C">
        <w:rPr>
          <w:sz w:val="24"/>
          <w:lang w:val="bg-BG"/>
        </w:rPr>
        <w:t xml:space="preserve"> </w:t>
      </w:r>
      <w:r w:rsidRPr="00A73F6C">
        <w:rPr>
          <w:sz w:val="24"/>
          <w:lang w:val="bg-BG"/>
        </w:rPr>
        <w:t>migration</w:t>
      </w:r>
      <w:r w:rsidRPr="00A73F6C">
        <w:rPr>
          <w:sz w:val="24"/>
          <w:lang w:val="bg-BG"/>
        </w:rPr>
        <w:t xml:space="preserve">“ (Основни елементи на управлението на миграцията, „Фактори, стимулиращи международната миграция“), </w:t>
      </w:r>
      <w:hyperlink r:id="rId5" w:tgtFrame="https://emm.iom.int/handbooks/global-context-international-migration/drivers-international-migration" w:history="1">
        <w:r w:rsidRPr="00A73F6C">
          <w:rPr>
            <w:rStyle w:val="Hyperlink"/>
            <w:sz w:val="24"/>
            <w:lang w:val="bg-BG"/>
          </w:rPr>
          <w:t>https://emm.iom.int/handbooks/global-context-international-migration/drivers-international-migration</w:t>
        </w:r>
      </w:hyperlink>
      <w:r w:rsidRPr="00A73F6C">
        <w:rPr>
          <w:sz w:val="24"/>
          <w:lang w:val="bg-BG"/>
        </w:rPr>
        <w:t>.</w:t>
      </w:r>
    </w:p>
  </w:footnote>
  <w:footnote w:id="9">
    <w:p w:rsidR="00787C81" w:rsidRPr="00A73F6C" w:rsidP="00A73F6C" w14:paraId="4E7ABC16" w14:textId="5D157195">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t xml:space="preserve">Агенция на Европейския съюз в областта на убежището, 3.4. Data </w:t>
      </w:r>
      <w:r w:rsidRPr="00A73F6C">
        <w:rPr>
          <w:sz w:val="24"/>
          <w:lang w:val="bg-BG"/>
        </w:rPr>
        <w:t>on</w:t>
      </w:r>
      <w:r w:rsidRPr="00A73F6C">
        <w:rPr>
          <w:sz w:val="24"/>
          <w:lang w:val="bg-BG"/>
        </w:rPr>
        <w:t xml:space="preserve"> </w:t>
      </w:r>
      <w:r w:rsidRPr="00A73F6C">
        <w:rPr>
          <w:sz w:val="24"/>
          <w:lang w:val="bg-BG"/>
        </w:rPr>
        <w:t>applications</w:t>
      </w:r>
      <w:r w:rsidRPr="00A73F6C">
        <w:rPr>
          <w:sz w:val="24"/>
          <w:lang w:val="bg-BG"/>
        </w:rPr>
        <w:t xml:space="preserve"> </w:t>
      </w:r>
      <w:r w:rsidRPr="00A73F6C">
        <w:rPr>
          <w:sz w:val="24"/>
          <w:lang w:val="bg-BG"/>
        </w:rPr>
        <w:t>for</w:t>
      </w:r>
      <w:r w:rsidRPr="00A73F6C">
        <w:rPr>
          <w:sz w:val="24"/>
          <w:lang w:val="bg-BG"/>
        </w:rPr>
        <w:t xml:space="preserve"> </w:t>
      </w:r>
      <w:r w:rsidRPr="00A73F6C">
        <w:rPr>
          <w:sz w:val="24"/>
          <w:lang w:val="bg-BG"/>
        </w:rPr>
        <w:t>international</w:t>
      </w:r>
      <w:r w:rsidRPr="00A73F6C">
        <w:rPr>
          <w:sz w:val="24"/>
          <w:lang w:val="bg-BG"/>
        </w:rPr>
        <w:t xml:space="preserve"> </w:t>
      </w:r>
      <w:r w:rsidRPr="00A73F6C">
        <w:rPr>
          <w:sz w:val="24"/>
          <w:lang w:val="bg-BG"/>
        </w:rPr>
        <w:t>protection</w:t>
      </w:r>
      <w:r w:rsidRPr="00A73F6C">
        <w:rPr>
          <w:sz w:val="24"/>
          <w:lang w:val="bg-BG"/>
        </w:rPr>
        <w:t xml:space="preserve"> (3.4. </w:t>
      </w:r>
      <w:r w:rsidRPr="00A73F6C">
        <w:rPr>
          <w:sz w:val="24"/>
          <w:lang w:val="bg-BG"/>
        </w:rPr>
        <w:t xml:space="preserve">Данни за молбите за международна закрила), </w:t>
      </w:r>
      <w:hyperlink r:id="rId6" w:tgtFrame="https://euaa.europa.eu/asylum-report-2025/34-data-applications-international-protection" w:history="1">
        <w:r w:rsidRPr="00A73F6C">
          <w:rPr>
            <w:rStyle w:val="Hyperlink"/>
            <w:sz w:val="24"/>
            <w:lang w:val="bg-BG"/>
          </w:rPr>
          <w:t>https://euaa.europa.eu/asylum-report-2025/34-data-applications-international-protection</w:t>
        </w:r>
      </w:hyperlink>
      <w:r w:rsidRPr="00A73F6C">
        <w:rPr>
          <w:sz w:val="24"/>
          <w:lang w:val="bg-BG"/>
        </w:rPr>
        <w:t>.</w:t>
      </w:r>
    </w:p>
  </w:footnote>
  <w:footnote w:id="10">
    <w:p w:rsidR="00787C81" w:rsidRPr="00A73F6C" w:rsidP="00A73F6C" w14:paraId="2334C219" w14:textId="2621AEC3">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r>
      <w:hyperlink r:id="rId7" w:tgtFrame="https://www.frontex.europa.eu/media-centre/news/news-release/frontex-irregular-border-crossings-down-26-in-2025-europe-must-stay-prepared-lyKpVb" w:history="1">
        <w:r w:rsidRPr="00A73F6C">
          <w:rPr>
            <w:rStyle w:val="Hyperlink"/>
            <w:sz w:val="24"/>
            <w:lang w:val="bg-BG"/>
          </w:rPr>
          <w:t>https://www.frontex.europa.eu/media-centre/news/news-release/frontex-irregular-border-crossings-down-26-in-2025-europe-must-stay-prepared-lyKpVb</w:t>
        </w:r>
      </w:hyperlink>
      <w:r w:rsidRPr="00A73F6C">
        <w:rPr>
          <w:sz w:val="24"/>
          <w:lang w:val="bg-BG"/>
        </w:rPr>
        <w:t>.</w:t>
      </w:r>
    </w:p>
  </w:footnote>
  <w:footnote w:id="11">
    <w:p w:rsidR="00787C81" w:rsidRPr="00A73F6C" w:rsidP="00A73F6C" w14:paraId="388856BE" w14:textId="71392FF9">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t xml:space="preserve">Не са включени лицата, търсещи убежище, и бежанците от Украйна, ползващи се с временна закрила, в някои държави членки. </w:t>
      </w:r>
      <w:r w:rsidRPr="00A73F6C">
        <w:rPr>
          <w:sz w:val="24"/>
          <w:lang w:val="bg-BG"/>
        </w:rPr>
        <w:t xml:space="preserve">Евростат, </w:t>
      </w:r>
      <w:r w:rsidRPr="00A73F6C">
        <w:rPr>
          <w:sz w:val="24"/>
          <w:lang w:val="bg-BG"/>
        </w:rPr>
        <w:t>Migration</w:t>
      </w:r>
      <w:r w:rsidRPr="00A73F6C">
        <w:rPr>
          <w:sz w:val="24"/>
          <w:lang w:val="bg-BG"/>
        </w:rPr>
        <w:t xml:space="preserve"> </w:t>
      </w:r>
      <w:r w:rsidRPr="00A73F6C">
        <w:rPr>
          <w:sz w:val="24"/>
          <w:lang w:val="bg-BG"/>
        </w:rPr>
        <w:t>to</w:t>
      </w:r>
      <w:r w:rsidRPr="00A73F6C">
        <w:rPr>
          <w:sz w:val="24"/>
          <w:lang w:val="bg-BG"/>
        </w:rPr>
        <w:t xml:space="preserve"> </w:t>
      </w:r>
      <w:r w:rsidRPr="00A73F6C">
        <w:rPr>
          <w:sz w:val="24"/>
          <w:lang w:val="bg-BG"/>
        </w:rPr>
        <w:t>and</w:t>
      </w:r>
      <w:r w:rsidRPr="00A73F6C">
        <w:rPr>
          <w:sz w:val="24"/>
          <w:lang w:val="bg-BG"/>
        </w:rPr>
        <w:t xml:space="preserve"> </w:t>
      </w:r>
      <w:r w:rsidRPr="00A73F6C">
        <w:rPr>
          <w:sz w:val="24"/>
          <w:lang w:val="bg-BG"/>
        </w:rPr>
        <w:t>from</w:t>
      </w:r>
      <w:r w:rsidRPr="00A73F6C">
        <w:rPr>
          <w:sz w:val="24"/>
          <w:lang w:val="bg-BG"/>
        </w:rPr>
        <w:t xml:space="preserve"> </w:t>
      </w:r>
      <w:r w:rsidRPr="00A73F6C">
        <w:rPr>
          <w:sz w:val="24"/>
          <w:lang w:val="bg-BG"/>
        </w:rPr>
        <w:t>the</w:t>
      </w:r>
      <w:r w:rsidRPr="00A73F6C">
        <w:rPr>
          <w:sz w:val="24"/>
          <w:lang w:val="bg-BG"/>
        </w:rPr>
        <w:t xml:space="preserve"> EU (Миграция към и от ЕС), </w:t>
      </w:r>
      <w:hyperlink r:id="rId8" w:tgtFrame="https://ec.europa.eu/eurostat/statistics-explained/index.php?title=Migration_to_and_from_the_EU" w:history="1">
        <w:r w:rsidRPr="00A73F6C">
          <w:rPr>
            <w:rStyle w:val="Hyperlink"/>
            <w:sz w:val="24"/>
            <w:lang w:val="bg-BG"/>
          </w:rPr>
          <w:t>https://ec.europa.eu/eurostat/statistics-explained/index.php?title=Migration_to_and_from_the_EU</w:t>
        </w:r>
      </w:hyperlink>
      <w:r w:rsidRPr="00A73F6C">
        <w:rPr>
          <w:sz w:val="24"/>
          <w:lang w:val="bg-BG"/>
        </w:rPr>
        <w:t>.</w:t>
      </w:r>
    </w:p>
  </w:footnote>
  <w:footnote w:id="12">
    <w:p w:rsidR="00787C81" w:rsidRPr="00A73F6C" w:rsidP="00A73F6C" w14:paraId="5B1EE394" w14:textId="4F82329E">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r>
      <w:r w:rsidRPr="00A73F6C">
        <w:rPr>
          <w:sz w:val="24"/>
          <w:lang w:val="bg-BG"/>
        </w:rPr>
        <w:t xml:space="preserve">Евростат, </w:t>
      </w:r>
      <w:r w:rsidRPr="00A73F6C">
        <w:rPr>
          <w:sz w:val="24"/>
          <w:lang w:val="bg-BG"/>
        </w:rPr>
        <w:t>Migration</w:t>
      </w:r>
      <w:r w:rsidRPr="00A73F6C">
        <w:rPr>
          <w:sz w:val="24"/>
          <w:lang w:val="bg-BG"/>
        </w:rPr>
        <w:t xml:space="preserve"> </w:t>
      </w:r>
      <w:r w:rsidRPr="00A73F6C">
        <w:rPr>
          <w:sz w:val="24"/>
          <w:lang w:val="bg-BG"/>
        </w:rPr>
        <w:t>and</w:t>
      </w:r>
      <w:r w:rsidRPr="00A73F6C">
        <w:rPr>
          <w:sz w:val="24"/>
          <w:lang w:val="bg-BG"/>
        </w:rPr>
        <w:t xml:space="preserve"> </w:t>
      </w:r>
      <w:r w:rsidRPr="00A73F6C">
        <w:rPr>
          <w:sz w:val="24"/>
          <w:lang w:val="bg-BG"/>
        </w:rPr>
        <w:t>asylum</w:t>
      </w:r>
      <w:r w:rsidRPr="00A73F6C">
        <w:rPr>
          <w:sz w:val="24"/>
          <w:lang w:val="bg-BG"/>
        </w:rPr>
        <w:t xml:space="preserve"> </w:t>
      </w:r>
      <w:r w:rsidRPr="00A73F6C">
        <w:rPr>
          <w:sz w:val="24"/>
          <w:lang w:val="bg-BG"/>
        </w:rPr>
        <w:t>in</w:t>
      </w:r>
      <w:r w:rsidRPr="00A73F6C">
        <w:rPr>
          <w:sz w:val="24"/>
          <w:lang w:val="bg-BG"/>
        </w:rPr>
        <w:t xml:space="preserve"> </w:t>
      </w:r>
      <w:r w:rsidRPr="00A73F6C">
        <w:rPr>
          <w:sz w:val="24"/>
          <w:lang w:val="bg-BG"/>
        </w:rPr>
        <w:t>Europe</w:t>
      </w:r>
      <w:r w:rsidRPr="00A73F6C">
        <w:rPr>
          <w:sz w:val="24"/>
          <w:lang w:val="bg-BG"/>
        </w:rPr>
        <w:t xml:space="preserve"> – 2025 </w:t>
      </w:r>
      <w:r w:rsidRPr="00A73F6C">
        <w:rPr>
          <w:sz w:val="24"/>
          <w:lang w:val="bg-BG"/>
        </w:rPr>
        <w:t>edition</w:t>
      </w:r>
      <w:r w:rsidRPr="00A73F6C">
        <w:rPr>
          <w:sz w:val="24"/>
          <w:lang w:val="bg-BG"/>
        </w:rPr>
        <w:t xml:space="preserve">, </w:t>
      </w:r>
      <w:r w:rsidRPr="00A73F6C">
        <w:rPr>
          <w:sz w:val="24"/>
          <w:lang w:val="bg-BG"/>
        </w:rPr>
        <w:t>irregular</w:t>
      </w:r>
      <w:r w:rsidRPr="00A73F6C">
        <w:rPr>
          <w:sz w:val="24"/>
          <w:lang w:val="bg-BG"/>
        </w:rPr>
        <w:t xml:space="preserve"> </w:t>
      </w:r>
      <w:r w:rsidRPr="00A73F6C">
        <w:rPr>
          <w:sz w:val="24"/>
          <w:lang w:val="bg-BG"/>
        </w:rPr>
        <w:t>migration</w:t>
      </w:r>
      <w:r w:rsidRPr="00A73F6C">
        <w:rPr>
          <w:sz w:val="24"/>
          <w:lang w:val="bg-BG"/>
        </w:rPr>
        <w:t xml:space="preserve"> </w:t>
      </w:r>
      <w:r w:rsidRPr="00A73F6C">
        <w:rPr>
          <w:sz w:val="24"/>
          <w:lang w:val="bg-BG"/>
        </w:rPr>
        <w:t>and</w:t>
      </w:r>
      <w:r w:rsidRPr="00A73F6C">
        <w:rPr>
          <w:sz w:val="24"/>
          <w:lang w:val="bg-BG"/>
        </w:rPr>
        <w:t xml:space="preserve"> </w:t>
      </w:r>
      <w:r w:rsidRPr="00A73F6C">
        <w:rPr>
          <w:sz w:val="24"/>
          <w:lang w:val="bg-BG"/>
        </w:rPr>
        <w:t>return</w:t>
      </w:r>
      <w:r w:rsidRPr="00A73F6C">
        <w:rPr>
          <w:sz w:val="24"/>
          <w:lang w:val="bg-BG"/>
        </w:rPr>
        <w:t xml:space="preserve"> (Миграция и убежище в Европа – издание от 2025 г., Незаконна миграция и връщане), </w:t>
      </w:r>
      <w:hyperlink r:id="rId9" w:anchor="irregular-migration-and-return" w:tgtFrame="https://ec.europa.eu/eurostat/web/interactive-publications/migration-2025#irregular-migration-and-return" w:history="1">
        <w:r w:rsidRPr="00A73F6C">
          <w:rPr>
            <w:rStyle w:val="Hyperlink"/>
            <w:sz w:val="24"/>
            <w:lang w:val="bg-BG"/>
          </w:rPr>
          <w:t>https://ec.europa.eu/eurostat/web/interactive-publications/migration-2025#irregular-migration-and-return</w:t>
        </w:r>
      </w:hyperlink>
      <w:r w:rsidRPr="00A73F6C">
        <w:rPr>
          <w:sz w:val="24"/>
          <w:lang w:val="bg-BG"/>
        </w:rPr>
        <w:t>.</w:t>
      </w:r>
    </w:p>
  </w:footnote>
  <w:footnote w:id="13">
    <w:p w:rsidR="00787C81" w:rsidRPr="00A73F6C" w:rsidP="00A73F6C" w14:paraId="42EF0997" w14:textId="16FE270D">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r>
      <w:r w:rsidRPr="00A73F6C">
        <w:rPr>
          <w:sz w:val="24"/>
          <w:lang w:val="bg-BG"/>
        </w:rPr>
        <w:t xml:space="preserve">Евростат, </w:t>
      </w:r>
      <w:r w:rsidRPr="00A73F6C">
        <w:rPr>
          <w:sz w:val="24"/>
          <w:lang w:val="bg-BG"/>
        </w:rPr>
        <w:t>Migration</w:t>
      </w:r>
      <w:r w:rsidRPr="00A73F6C">
        <w:rPr>
          <w:sz w:val="24"/>
          <w:lang w:val="bg-BG"/>
        </w:rPr>
        <w:t xml:space="preserve"> </w:t>
      </w:r>
      <w:r w:rsidRPr="00A73F6C">
        <w:rPr>
          <w:sz w:val="24"/>
          <w:lang w:val="bg-BG"/>
        </w:rPr>
        <w:t>and</w:t>
      </w:r>
      <w:r w:rsidRPr="00A73F6C">
        <w:rPr>
          <w:sz w:val="24"/>
          <w:lang w:val="bg-BG"/>
        </w:rPr>
        <w:t xml:space="preserve"> </w:t>
      </w:r>
      <w:r w:rsidRPr="00A73F6C">
        <w:rPr>
          <w:sz w:val="24"/>
          <w:lang w:val="bg-BG"/>
        </w:rPr>
        <w:t>asylum</w:t>
      </w:r>
      <w:r w:rsidRPr="00A73F6C">
        <w:rPr>
          <w:sz w:val="24"/>
          <w:lang w:val="bg-BG"/>
        </w:rPr>
        <w:t xml:space="preserve"> </w:t>
      </w:r>
      <w:r w:rsidRPr="00A73F6C">
        <w:rPr>
          <w:sz w:val="24"/>
          <w:lang w:val="bg-BG"/>
        </w:rPr>
        <w:t>in</w:t>
      </w:r>
      <w:r w:rsidRPr="00A73F6C">
        <w:rPr>
          <w:sz w:val="24"/>
          <w:lang w:val="bg-BG"/>
        </w:rPr>
        <w:t xml:space="preserve"> </w:t>
      </w:r>
      <w:r w:rsidRPr="00A73F6C">
        <w:rPr>
          <w:sz w:val="24"/>
          <w:lang w:val="bg-BG"/>
        </w:rPr>
        <w:t>Europe</w:t>
      </w:r>
      <w:r w:rsidRPr="00A73F6C">
        <w:rPr>
          <w:sz w:val="24"/>
          <w:lang w:val="bg-BG"/>
        </w:rPr>
        <w:t xml:space="preserve"> – 2025 </w:t>
      </w:r>
      <w:r w:rsidRPr="00A73F6C">
        <w:rPr>
          <w:sz w:val="24"/>
          <w:lang w:val="bg-BG"/>
        </w:rPr>
        <w:t>edition</w:t>
      </w:r>
      <w:r w:rsidRPr="00A73F6C">
        <w:rPr>
          <w:sz w:val="24"/>
          <w:lang w:val="bg-BG"/>
        </w:rPr>
        <w:t xml:space="preserve">, </w:t>
      </w:r>
      <w:r w:rsidRPr="00A73F6C">
        <w:rPr>
          <w:sz w:val="24"/>
          <w:lang w:val="bg-BG"/>
        </w:rPr>
        <w:t>Orders</w:t>
      </w:r>
      <w:r w:rsidRPr="00A73F6C">
        <w:rPr>
          <w:sz w:val="24"/>
          <w:lang w:val="bg-BG"/>
        </w:rPr>
        <w:t xml:space="preserve"> </w:t>
      </w:r>
      <w:r w:rsidRPr="00A73F6C">
        <w:rPr>
          <w:sz w:val="24"/>
          <w:lang w:val="bg-BG"/>
        </w:rPr>
        <w:t>to</w:t>
      </w:r>
      <w:r w:rsidRPr="00A73F6C">
        <w:rPr>
          <w:sz w:val="24"/>
          <w:lang w:val="bg-BG"/>
        </w:rPr>
        <w:t xml:space="preserve"> </w:t>
      </w:r>
      <w:r w:rsidRPr="00A73F6C">
        <w:rPr>
          <w:sz w:val="24"/>
          <w:lang w:val="bg-BG"/>
        </w:rPr>
        <w:t>leave</w:t>
      </w:r>
      <w:r w:rsidRPr="00A73F6C">
        <w:rPr>
          <w:sz w:val="24"/>
          <w:lang w:val="bg-BG"/>
        </w:rPr>
        <w:t xml:space="preserve"> </w:t>
      </w:r>
      <w:r w:rsidRPr="00A73F6C">
        <w:rPr>
          <w:sz w:val="24"/>
          <w:lang w:val="bg-BG"/>
        </w:rPr>
        <w:t>and</w:t>
      </w:r>
      <w:r w:rsidRPr="00A73F6C">
        <w:rPr>
          <w:sz w:val="24"/>
          <w:lang w:val="bg-BG"/>
        </w:rPr>
        <w:t xml:space="preserve"> </w:t>
      </w:r>
      <w:r w:rsidRPr="00A73F6C">
        <w:rPr>
          <w:sz w:val="24"/>
          <w:lang w:val="bg-BG"/>
        </w:rPr>
        <w:t>returns</w:t>
      </w:r>
      <w:r w:rsidRPr="00A73F6C">
        <w:rPr>
          <w:sz w:val="24"/>
          <w:lang w:val="bg-BG"/>
        </w:rPr>
        <w:t xml:space="preserve"> (Миграция и убежище в Европа – издание от 2025 г., Заповеди за напускане и връщане), </w:t>
      </w:r>
      <w:hyperlink r:id="rId9" w:anchor="orders-to-leave-and-returns-of-non-eu-citizens" w:tgtFrame="https://ec.europa.eu/eurostat/web/interactive-publications/migration-2025#orders-to-leave-and-returns-of-non-eu-citizens" w:history="1">
        <w:r w:rsidRPr="00A73F6C">
          <w:rPr>
            <w:rStyle w:val="Hyperlink"/>
            <w:sz w:val="24"/>
            <w:lang w:val="bg-BG"/>
          </w:rPr>
          <w:t>https://ec.europa.eu/eurostat/web/interactive-publications/migration-2025#orders-to-leave-and-returns-of-non-eu-citizens</w:t>
        </w:r>
      </w:hyperlink>
      <w:r w:rsidRPr="00A73F6C">
        <w:rPr>
          <w:sz w:val="24"/>
          <w:lang w:val="bg-BG"/>
        </w:rPr>
        <w:t>.</w:t>
      </w:r>
    </w:p>
  </w:footnote>
  <w:footnote w:id="14">
    <w:p w:rsidR="00787C81" w:rsidRPr="00A73F6C" w:rsidP="00A73F6C" w14:paraId="33698ADA" w14:textId="5DF6FFB5">
      <w:pPr>
        <w:pStyle w:val="FootnoteText"/>
        <w:ind w:left="567" w:hanging="567"/>
        <w:rPr>
          <w:sz w:val="24"/>
          <w:lang w:val="bg-BG"/>
        </w:rPr>
      </w:pPr>
      <w:r>
        <w:rPr>
          <w:rStyle w:val="FootnoteReference"/>
        </w:rPr>
        <w:footnoteRef/>
      </w:r>
      <w:r w:rsidRPr="00A73F6C">
        <w:rPr>
          <w:sz w:val="24"/>
          <w:lang w:val="bg-BG"/>
        </w:rPr>
        <w:t xml:space="preserve"> </w:t>
      </w:r>
      <w:r w:rsidRPr="00A73F6C">
        <w:rPr>
          <w:sz w:val="24"/>
          <w:lang w:val="bg-BG"/>
        </w:rPr>
        <w:tab/>
      </w:r>
      <w:hyperlink r:id="rId10" w:tgtFrame="https://www.unhcr.org/about-unhcr/overview/figures-glance" w:history="1">
        <w:r w:rsidRPr="00A73F6C">
          <w:rPr>
            <w:rStyle w:val="Hyperlink"/>
            <w:sz w:val="24"/>
            <w:lang w:val="bg-BG"/>
          </w:rPr>
          <w:t>https://www.unhcr.org/about-unhcr/overview/figures-glance</w:t>
        </w:r>
      </w:hyperlink>
      <w:r w:rsidRPr="00A73F6C">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8450112">
    <w:abstractNumId w:val="9"/>
  </w:num>
  <w:num w:numId="2" w16cid:durableId="148910745">
    <w:abstractNumId w:val="9"/>
  </w:num>
  <w:num w:numId="3" w16cid:durableId="847216415">
    <w:abstractNumId w:val="7"/>
  </w:num>
  <w:num w:numId="4" w16cid:durableId="976253423">
    <w:abstractNumId w:val="7"/>
  </w:num>
  <w:num w:numId="5" w16cid:durableId="54284288">
    <w:abstractNumId w:val="6"/>
  </w:num>
  <w:num w:numId="6" w16cid:durableId="1667367960">
    <w:abstractNumId w:val="6"/>
  </w:num>
  <w:num w:numId="7" w16cid:durableId="1073551837">
    <w:abstractNumId w:val="5"/>
  </w:num>
  <w:num w:numId="8" w16cid:durableId="224031624">
    <w:abstractNumId w:val="5"/>
  </w:num>
  <w:num w:numId="9" w16cid:durableId="1014724769">
    <w:abstractNumId w:val="4"/>
  </w:num>
  <w:num w:numId="10" w16cid:durableId="397410725">
    <w:abstractNumId w:val="4"/>
  </w:num>
  <w:num w:numId="11" w16cid:durableId="1916209363">
    <w:abstractNumId w:val="8"/>
  </w:num>
  <w:num w:numId="12" w16cid:durableId="156310896">
    <w:abstractNumId w:val="8"/>
  </w:num>
  <w:num w:numId="13" w16cid:durableId="2086220994">
    <w:abstractNumId w:val="3"/>
  </w:num>
  <w:num w:numId="14" w16cid:durableId="1357390392">
    <w:abstractNumId w:val="3"/>
  </w:num>
  <w:num w:numId="15" w16cid:durableId="244077558">
    <w:abstractNumId w:val="2"/>
  </w:num>
  <w:num w:numId="16" w16cid:durableId="962149302">
    <w:abstractNumId w:val="2"/>
  </w:num>
  <w:num w:numId="17" w16cid:durableId="1588031919">
    <w:abstractNumId w:val="1"/>
  </w:num>
  <w:num w:numId="18" w16cid:durableId="2095784023">
    <w:abstractNumId w:val="1"/>
  </w:num>
  <w:num w:numId="19" w16cid:durableId="229537686">
    <w:abstractNumId w:val="0"/>
  </w:num>
  <w:num w:numId="20" w16cid:durableId="1402026502">
    <w:abstractNumId w:val="0"/>
  </w:num>
  <w:num w:numId="21" w16cid:durableId="848449309">
    <w:abstractNumId w:val="9"/>
  </w:num>
  <w:num w:numId="22" w16cid:durableId="356123011">
    <w:abstractNumId w:val="7"/>
  </w:num>
  <w:num w:numId="23" w16cid:durableId="603924654">
    <w:abstractNumId w:val="6"/>
  </w:num>
  <w:num w:numId="24" w16cid:durableId="1741978882">
    <w:abstractNumId w:val="5"/>
  </w:num>
  <w:num w:numId="25" w16cid:durableId="1974476696">
    <w:abstractNumId w:val="4"/>
  </w:num>
  <w:num w:numId="26" w16cid:durableId="1827238794">
    <w:abstractNumId w:val="8"/>
  </w:num>
  <w:num w:numId="27" w16cid:durableId="1466923196">
    <w:abstractNumId w:val="3"/>
  </w:num>
  <w:num w:numId="28" w16cid:durableId="1475293789">
    <w:abstractNumId w:val="2"/>
  </w:num>
  <w:num w:numId="29" w16cid:durableId="1109736797">
    <w:abstractNumId w:val="1"/>
  </w:num>
  <w:num w:numId="30" w16cid:durableId="1395397870">
    <w:abstractNumId w:val="0"/>
  </w:num>
  <w:num w:numId="31" w16cid:durableId="1053118399">
    <w:abstractNumId w:val="9"/>
  </w:num>
  <w:num w:numId="32" w16cid:durableId="732192052">
    <w:abstractNumId w:val="7"/>
  </w:num>
  <w:num w:numId="33" w16cid:durableId="137842306">
    <w:abstractNumId w:val="6"/>
  </w:num>
  <w:num w:numId="34" w16cid:durableId="337345466">
    <w:abstractNumId w:val="5"/>
  </w:num>
  <w:num w:numId="35" w16cid:durableId="2116052445">
    <w:abstractNumId w:val="4"/>
  </w:num>
  <w:num w:numId="36" w16cid:durableId="984552815">
    <w:abstractNumId w:val="8"/>
  </w:num>
  <w:num w:numId="37" w16cid:durableId="169226643">
    <w:abstractNumId w:val="3"/>
  </w:num>
  <w:num w:numId="38" w16cid:durableId="113645640">
    <w:abstractNumId w:val="2"/>
  </w:num>
  <w:num w:numId="39" w16cid:durableId="1443643330">
    <w:abstractNumId w:val="1"/>
  </w:num>
  <w:num w:numId="40" w16cid:durableId="1882667765">
    <w:abstractNumId w:val="0"/>
  </w:num>
  <w:num w:numId="41" w16cid:durableId="241961312">
    <w:abstractNumId w:val="10"/>
  </w:num>
  <w:num w:numId="42" w16cid:durableId="2008707199">
    <w:abstractNumId w:val="10"/>
  </w:num>
  <w:num w:numId="43" w16cid:durableId="754546562">
    <w:abstractNumId w:val="10"/>
  </w:num>
  <w:num w:numId="44" w16cid:durableId="945306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E89"/>
    <w:rsid w:val="00002272"/>
    <w:rsid w:val="00064002"/>
    <w:rsid w:val="000677B9"/>
    <w:rsid w:val="000831BA"/>
    <w:rsid w:val="000A42CC"/>
    <w:rsid w:val="000B1275"/>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4379"/>
    <w:rsid w:val="00483509"/>
    <w:rsid w:val="004867E3"/>
    <w:rsid w:val="00494A28"/>
    <w:rsid w:val="004C0004"/>
    <w:rsid w:val="004C5D52"/>
    <w:rsid w:val="004E1972"/>
    <w:rsid w:val="0050519A"/>
    <w:rsid w:val="005072A1"/>
    <w:rsid w:val="00514517"/>
    <w:rsid w:val="00545827"/>
    <w:rsid w:val="00560270"/>
    <w:rsid w:val="005C2568"/>
    <w:rsid w:val="005F1B17"/>
    <w:rsid w:val="006037C0"/>
    <w:rsid w:val="006631B6"/>
    <w:rsid w:val="00680577"/>
    <w:rsid w:val="00681495"/>
    <w:rsid w:val="006F74FA"/>
    <w:rsid w:val="00731ADD"/>
    <w:rsid w:val="00734777"/>
    <w:rsid w:val="00747932"/>
    <w:rsid w:val="00751A4A"/>
    <w:rsid w:val="00756632"/>
    <w:rsid w:val="00762C74"/>
    <w:rsid w:val="00786EC0"/>
    <w:rsid w:val="00787C81"/>
    <w:rsid w:val="007D1690"/>
    <w:rsid w:val="007E22AD"/>
    <w:rsid w:val="00817416"/>
    <w:rsid w:val="00842779"/>
    <w:rsid w:val="00865F67"/>
    <w:rsid w:val="00881A7B"/>
    <w:rsid w:val="008840E5"/>
    <w:rsid w:val="00887B3E"/>
    <w:rsid w:val="00894840"/>
    <w:rsid w:val="008C2AC6"/>
    <w:rsid w:val="00930C23"/>
    <w:rsid w:val="0093193B"/>
    <w:rsid w:val="009504B0"/>
    <w:rsid w:val="009509D8"/>
    <w:rsid w:val="00950B64"/>
    <w:rsid w:val="00981893"/>
    <w:rsid w:val="009A46DF"/>
    <w:rsid w:val="009C0EC3"/>
    <w:rsid w:val="00A1687D"/>
    <w:rsid w:val="00A43E52"/>
    <w:rsid w:val="00A4678D"/>
    <w:rsid w:val="00A73F6C"/>
    <w:rsid w:val="00A778C7"/>
    <w:rsid w:val="00AB441E"/>
    <w:rsid w:val="00AB6293"/>
    <w:rsid w:val="00AE0928"/>
    <w:rsid w:val="00AF3B82"/>
    <w:rsid w:val="00B12E95"/>
    <w:rsid w:val="00B22876"/>
    <w:rsid w:val="00B558F0"/>
    <w:rsid w:val="00BD48FE"/>
    <w:rsid w:val="00BD5891"/>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628"/>
    <w:rsid w:val="00EB006A"/>
    <w:rsid w:val="00EB4772"/>
    <w:rsid w:val="00ED169E"/>
    <w:rsid w:val="00ED4235"/>
    <w:rsid w:val="00F04346"/>
    <w:rsid w:val="00F075DC"/>
    <w:rsid w:val="00F149E9"/>
    <w:rsid w:val="00F5134D"/>
    <w:rsid w:val="00F74202"/>
    <w:rsid w:val="00F77E89"/>
    <w:rsid w:val="00F87713"/>
    <w:rsid w:val="00FB4360"/>
    <w:rsid w:val="00FD0C70"/>
  </w:rsids>
  <w:docVars>
    <w:docVar w:name="dvdocse" w:val="A10-0147/2026"/>
    <w:docVar w:name="dvlangue" w:val="BG"/>
    <w:docVar w:name="dvnumam" w:val="0"/>
    <w:docVar w:name="dvpe" w:val="776.883"/>
    <w:docVar w:name="dvrapporteur" w:val="Докладчик: "/>
    <w:docVar w:name="dvtitre" w:val="Резолюция на Европейския парламент от ... 2026 г. относно засилването на сътрудничеството за развитие с цел справяне с незаконното движение на хора и първопричините за това в държавите партньори(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7B2EA6D"/>
  <w15:chartTrackingRefBased/>
  <w15:docId w15:val="{7F53B419-DF6C-4E25-989F-8F1AC7B21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D5891"/>
    <w:pPr>
      <w:widowControl/>
      <w:spacing w:after="240"/>
    </w:pPr>
    <w:rPr>
      <w:szCs w:val="24"/>
      <w:lang w:eastAsia="en-US"/>
    </w:rPr>
  </w:style>
  <w:style w:type="paragraph" w:customStyle="1" w:styleId="NormalHanging12a">
    <w:name w:val="NormalHanging12a"/>
    <w:basedOn w:val="Normal"/>
    <w:rsid w:val="00BD5891"/>
    <w:pPr>
      <w:widowControl/>
      <w:spacing w:after="240"/>
      <w:ind w:left="566" w:hanging="566"/>
    </w:pPr>
    <w:rPr>
      <w:szCs w:val="24"/>
      <w:lang w:eastAsia="en-US"/>
    </w:rPr>
  </w:style>
  <w:style w:type="paragraph" w:customStyle="1" w:styleId="Normal12">
    <w:name w:val="Normal12"/>
    <w:basedOn w:val="Normal"/>
    <w:rsid w:val="00BD5891"/>
    <w:pPr>
      <w:spacing w:after="240"/>
    </w:pPr>
    <w:rPr>
      <w:szCs w:val="24"/>
      <w:lang w:eastAsia="en-US"/>
    </w:rPr>
  </w:style>
  <w:style w:type="paragraph" w:customStyle="1" w:styleId="NormalHanging">
    <w:name w:val="NormalHanging"/>
    <w:basedOn w:val="Normal"/>
    <w:rsid w:val="00BD5891"/>
    <w:pPr>
      <w:spacing w:after="240"/>
      <w:ind w:left="566" w:hanging="566"/>
    </w:pPr>
    <w:rPr>
      <w:szCs w:val="24"/>
      <w:lang w:eastAsia="en-US"/>
    </w:rPr>
  </w:style>
  <w:style w:type="paragraph" w:customStyle="1" w:styleId="NormalCenter12a">
    <w:name w:val="NormalCenter12a"/>
    <w:basedOn w:val="Normal"/>
    <w:rsid w:val="00BD5891"/>
    <w:pPr>
      <w:widowControl/>
      <w:spacing w:after="240"/>
      <w:jc w:val="center"/>
    </w:pPr>
    <w:rPr>
      <w:szCs w:val="24"/>
      <w:lang w:eastAsia="en-US"/>
    </w:rPr>
  </w:style>
  <w:style w:type="character" w:styleId="Hyperlink">
    <w:name w:val="Hyperlink"/>
    <w:basedOn w:val="DefaultParagraphFont"/>
    <w:rsid w:val="00BD5891"/>
    <w:rPr>
      <w:color w:val="0000FF"/>
      <w:u w:val="single"/>
    </w:rPr>
  </w:style>
  <w:style w:type="paragraph" w:styleId="Revision">
    <w:name w:val="Revision"/>
    <w:hidden/>
    <w:uiPriority w:val="99"/>
    <w:semiHidden/>
    <w:rsid w:val="009504B0"/>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5494</Words>
  <Characters>32534</Characters>
  <Application>Microsoft Office Word</Application>
  <DocSecurity>0</DocSecurity>
  <Lines>1301</Lines>
  <Paragraphs>264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2026-07-14T06:20:00Z</dcterms:created>
  <dcterms:modified xsi:type="dcterms:W3CDTF">2026-07-14T06:20:00Z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A10-0147/2026</vt:lpwstr>
  </property>
  <property fmtid="{D5CDD505-2E9C-101B-9397-08002B2CF9AE}" pid="4" name="&lt;Type&gt;">
    <vt:lpwstr>RR</vt:lpwstr>
  </property>
</Properties>
</file>