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6B62ECD5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C7404" w:rsidP="0010095E" w14:paraId="20F58543" w14:textId="73A368BF">
            <w:pPr>
              <w:pStyle w:val="EPName"/>
            </w:pPr>
            <w:r w:rsidRPr="00EC7404">
              <w:t>Evropský parlament</w:t>
            </w:r>
          </w:p>
          <w:p w:rsidR="00751A4A" w:rsidRPr="00EC7404" w:rsidP="005F1B17" w14:paraId="06061257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C7404">
              <w:t>2024</w:t>
            </w:r>
            <w:r w:rsidRPr="00EC7404" w:rsidR="00817416">
              <w:t>-202</w:t>
            </w:r>
            <w:r w:rsidRPr="00EC740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C7404" w:rsidP="0010095E" w14:paraId="31FA5385" w14:textId="77777777">
            <w:pPr>
              <w:pStyle w:val="EPLogo"/>
            </w:pPr>
            <w:r w:rsidRPr="00EC7404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C7404" w:rsidP="004C5D52" w14:paraId="4D248736" w14:textId="77777777">
      <w:pPr>
        <w:pStyle w:val="LineTop"/>
      </w:pPr>
    </w:p>
    <w:p w:rsidR="00680577" w:rsidRPr="00EC7404" w:rsidP="00680577" w14:paraId="0D6408BF" w14:textId="2ED3F376">
      <w:pPr>
        <w:pStyle w:val="EPBodyTA1"/>
      </w:pPr>
      <w:r w:rsidRPr="00EC7404">
        <w:t>PŘIJATÉ TEXTY</w:t>
      </w:r>
    </w:p>
    <w:p w:rsidR="00D058B8" w:rsidRPr="00EC7404" w:rsidP="00D058B8" w14:paraId="51B050F7" w14:textId="77777777">
      <w:pPr>
        <w:pStyle w:val="LineBottom"/>
      </w:pPr>
    </w:p>
    <w:p w:rsidR="00D81240" w:rsidRPr="004B32C9" w:rsidP="00D81240" w14:paraId="591569DE" w14:textId="17E2A3F6">
      <w:pPr>
        <w:pStyle w:val="ATHeading1"/>
      </w:pPr>
      <w:bookmarkStart w:id="0" w:name="TANumber"/>
      <w:r w:rsidRPr="004B32C9">
        <w:t>P10_TA(2026)0</w:t>
      </w:r>
      <w:r w:rsidR="0035682E">
        <w:t>2</w:t>
      </w:r>
      <w:r w:rsidRPr="004B32C9">
        <w:t>0</w:t>
      </w:r>
      <w:r w:rsidR="0035682E">
        <w:t>5</w:t>
      </w:r>
      <w:bookmarkEnd w:id="0"/>
    </w:p>
    <w:p w:rsidR="00D81240" w:rsidRPr="004B32C9" w:rsidP="00D81240" w14:paraId="6DEB7CDE" w14:textId="77777777">
      <w:pPr>
        <w:pStyle w:val="ATHeading2"/>
      </w:pPr>
      <w:bookmarkStart w:id="1" w:name="title"/>
      <w:r w:rsidRPr="004B32C9">
        <w:t>Posílení rozvojové spolupráce s cílem řešit nelegální pohyby obyvatelstva a jejich příčiny v partnerských zemích</w:t>
      </w:r>
      <w:bookmarkEnd w:id="1"/>
    </w:p>
    <w:p w:rsidR="00D81240" w:rsidRPr="00EC7404" w:rsidP="00D81240" w14:paraId="454EE72B" w14:textId="77777777">
      <w:pPr>
        <w:rPr>
          <w:i/>
          <w:vanish/>
        </w:rPr>
      </w:pPr>
      <w:r>
        <w:rPr>
          <w:i/>
        </w:rPr>
        <w:fldChar w:fldCharType="begin"/>
      </w:r>
      <w:r w:rsidRPr="00EC7404">
        <w:rPr>
          <w:i/>
        </w:rPr>
        <w:instrText xml:space="preserve"> TC"(</w:instrText>
      </w:r>
      <w:bookmarkStart w:id="2" w:name="DocNumber"/>
      <w:r w:rsidRPr="00EC7404">
        <w:rPr>
          <w:i/>
        </w:rPr>
        <w:instrText>A10-0147/2026</w:instrText>
      </w:r>
      <w:bookmarkEnd w:id="2"/>
      <w:r w:rsidRPr="00EC7404">
        <w:rPr>
          <w:i/>
        </w:rPr>
        <w:instrText xml:space="preserve"> - Zpravodaj: Lukas Mandl)"\l3 \n&gt; \* MERGEFORMAT </w:instrText>
      </w:r>
      <w:r>
        <w:rPr>
          <w:i/>
        </w:rPr>
        <w:fldChar w:fldCharType="end"/>
      </w:r>
    </w:p>
    <w:p w:rsidR="00D81240" w:rsidRPr="00EC7404" w:rsidP="00D81240" w14:paraId="559E507D" w14:textId="77777777">
      <w:pPr>
        <w:rPr>
          <w:vanish/>
        </w:rPr>
      </w:pPr>
      <w:bookmarkStart w:id="3" w:name="Commission"/>
      <w:r w:rsidRPr="00EC7404">
        <w:rPr>
          <w:vanish/>
        </w:rPr>
        <w:t>Výbor pro rozvoj</w:t>
      </w:r>
      <w:bookmarkEnd w:id="3"/>
    </w:p>
    <w:p w:rsidR="00D81240" w:rsidRPr="00EC7404" w:rsidP="00D81240" w14:paraId="227F555F" w14:textId="77777777">
      <w:pPr>
        <w:rPr>
          <w:vanish/>
        </w:rPr>
      </w:pPr>
      <w:bookmarkStart w:id="4" w:name="PE"/>
      <w:r w:rsidRPr="00EC7404">
        <w:rPr>
          <w:vanish/>
        </w:rPr>
        <w:t>PE776.883</w:t>
      </w:r>
      <w:bookmarkEnd w:id="4"/>
    </w:p>
    <w:p w:rsidR="00D81240" w:rsidRPr="004B32C9" w:rsidP="00D81240" w14:paraId="0BC4024E" w14:textId="77777777">
      <w:pPr>
        <w:pStyle w:val="ATHeading3"/>
      </w:pPr>
      <w:bookmarkStart w:id="5" w:name="Sujet"/>
      <w:r w:rsidRPr="004B32C9">
        <w:t>Usnesení Evropského parlamentu ze dne 16. června 2026 o posílení rozvojové spolupráce s cílem řešit nelegální pohyby obyvatelstva a jejich příčiny v partnerských zemích</w:t>
      </w:r>
      <w:bookmarkEnd w:id="5"/>
      <w:r w:rsidRPr="004B32C9">
        <w:t xml:space="preserve"> </w:t>
      </w:r>
      <w:bookmarkStart w:id="6" w:name="References"/>
      <w:r w:rsidRPr="004B32C9">
        <w:t>(2025/2111(INI))</w:t>
      </w:r>
      <w:bookmarkEnd w:id="6"/>
    </w:p>
    <w:p w:rsidR="00F7251F" w:rsidRPr="00EC7404" w:rsidP="00EC7404" w14:paraId="7E27DA20" w14:textId="77777777">
      <w:pPr>
        <w:pStyle w:val="Normal12"/>
        <w:spacing w:before="480"/>
      </w:pPr>
      <w:r w:rsidRPr="00EC7404">
        <w:rPr>
          <w:i/>
        </w:rPr>
        <w:t>Evropský parlament</w:t>
      </w:r>
      <w:r w:rsidRPr="00EC7404">
        <w:t>,</w:t>
      </w:r>
    </w:p>
    <w:p w:rsidR="00F7251F" w:rsidRPr="00EC7404" w:rsidP="00EC7404" w14:paraId="59E806BE" w14:textId="77777777">
      <w:pPr>
        <w:pStyle w:val="NormalHanging"/>
      </w:pPr>
      <w:r w:rsidRPr="00EC7404">
        <w:t>–</w:t>
      </w:r>
      <w:r w:rsidRPr="00EC7404">
        <w:tab/>
        <w:t>s ohledem na články 79 a 208 Smlouvy o fungování Evropské unie (dále jen „Smlouva o fungování EU“),</w:t>
      </w:r>
    </w:p>
    <w:p w:rsidR="00F7251F" w:rsidRPr="00EC7404" w:rsidP="00EC7404" w14:paraId="35579073" w14:textId="0C04FD12">
      <w:pPr>
        <w:pStyle w:val="NormalHanging"/>
      </w:pPr>
      <w:r w:rsidRPr="00EC7404">
        <w:t>–</w:t>
      </w:r>
      <w:r w:rsidRPr="00EC7404">
        <w:tab/>
        <w:t>s ohledem na čl. 3 odst. 5 a článek 21 Smlouvy o Evropské unii,</w:t>
      </w:r>
    </w:p>
    <w:p w:rsidR="00F7251F" w:rsidRPr="00EC7404" w:rsidP="00EC7404" w14:paraId="7B4D550E" w14:textId="77777777">
      <w:pPr>
        <w:pStyle w:val="NormalHanging"/>
      </w:pPr>
      <w:r w:rsidRPr="00EC7404">
        <w:t>–</w:t>
      </w:r>
      <w:r w:rsidRPr="00EC7404">
        <w:tab/>
        <w:t>s ohledem na pracovní dokument útvarů Komise ze dne 30. června 2021 nazvaný „Uplatňování přístupu založeného na lidských právech v mezinárodních partnerstvích – aktualizovaný soubor nástrojů pro umisťování držitelů práv do centra politiky sousedství, rozvoje a mezinárodní spolupráce EU“ (SWD(2021)0179),</w:t>
      </w:r>
    </w:p>
    <w:p w:rsidR="00F7251F" w:rsidRPr="00EC7404" w:rsidP="00EC7404" w14:paraId="60C4ECA6" w14:textId="77777777">
      <w:pPr>
        <w:pStyle w:val="NormalHanging"/>
      </w:pPr>
      <w:r w:rsidRPr="00EC7404">
        <w:t>–</w:t>
      </w:r>
      <w:r w:rsidRPr="00EC7404">
        <w:tab/>
        <w:t>s ohledem na nařízení Evropského parlamentu a Rady (EU) 2021/947 ze dne 9. června 2021, kterým se zřizuje Nástroj pro sousedství a rozvojovou a mezinárodní spolupráci – Globální Evropa</w:t>
      </w:r>
      <w:r>
        <w:rPr>
          <w:rStyle w:val="FootnoteReference"/>
        </w:rPr>
        <w:footnoteReference w:customMarkFollows="1" w:id="2"/>
        <w:t xml:space="preserve">1</w:t>
      </w:r>
      <w:r w:rsidRPr="00EC7404">
        <w:t>,</w:t>
      </w:r>
    </w:p>
    <w:p w:rsidR="00F7251F" w:rsidRPr="00EC7404" w:rsidP="00EC7404" w14:paraId="7DB7922A" w14:textId="77777777">
      <w:pPr>
        <w:pStyle w:val="NormalHanging"/>
      </w:pPr>
      <w:r w:rsidRPr="00EC7404">
        <w:t>–</w:t>
      </w:r>
      <w:r w:rsidRPr="00EC7404">
        <w:tab/>
        <w:t>s ohledem na návrh nařízení Evropského parlamentu a Rady, kterým se zřizuje nástroj Globální Evropa, jejž dne 16. července 2025 předložila Komise (COM(2025)0551),</w:t>
      </w:r>
    </w:p>
    <w:p w:rsidR="00F7251F" w:rsidRPr="00EC7404" w:rsidP="00EC7404" w14:paraId="066F4AC0" w14:textId="2423700D">
      <w:pPr>
        <w:pStyle w:val="NormalHanging"/>
      </w:pPr>
      <w:r w:rsidRPr="00EC7404">
        <w:t>–</w:t>
      </w:r>
      <w:r w:rsidRPr="00EC7404">
        <w:tab/>
        <w:t>s ohledem na nařízení Evropského parlamentu a Rady (EU) 2024/1351 ze dne 14.</w:t>
      </w:r>
      <w:r w:rsidRPr="00EC7404" w:rsidR="00C12008">
        <w:t> </w:t>
      </w:r>
      <w:r w:rsidRPr="00EC7404">
        <w:t>května 2024 o řízení azylu a migrace, o změně nařízení (EU) 2021/1147 a (EU) 2021/1060 a o zrušení nařízení (EU) č. 604/2013</w:t>
      </w:r>
      <w:r>
        <w:rPr>
          <w:rStyle w:val="FootnoteReference"/>
        </w:rPr>
        <w:footnoteReference w:customMarkFollows="1" w:id="3"/>
        <w:t xml:space="preserve">2</w:t>
      </w:r>
      <w:r w:rsidRPr="00EC7404">
        <w:t>,</w:t>
      </w:r>
    </w:p>
    <w:p w:rsidR="00F7251F" w:rsidRPr="00EC7404" w:rsidP="00EC7404" w14:paraId="76935408" w14:textId="64D3BE91">
      <w:pPr>
        <w:pStyle w:val="NormalHanging"/>
      </w:pPr>
      <w:r w:rsidRPr="00EC7404">
        <w:t>–</w:t>
      </w:r>
      <w:r w:rsidRPr="00EC7404">
        <w:tab/>
        <w:t>s ohledem na návrh nařízení Evropského parlamentu a Rady, kterým se zavádí společný systém navracení státních příslušníků třetích zemí neoprávněně pobývajících v Unii a kterým se zrušují směrnice Evropského parlamentu a Rady 2008/115/ES, směrnice Rady 2001/40/ES a rozhodnutí Rady 2004/191/ES, který dne 11. března 2025 předložila Komise (COM(2025)</w:t>
      </w:r>
      <w:r w:rsidRPr="00EC7404" w:rsidR="00EC7404">
        <w:t>0</w:t>
      </w:r>
      <w:r w:rsidRPr="00EC7404">
        <w:t>101),</w:t>
      </w:r>
    </w:p>
    <w:p w:rsidR="00F7251F" w:rsidRPr="00EC7404" w:rsidP="00EC7404" w14:paraId="0D0B9E29" w14:textId="77777777">
      <w:pPr>
        <w:pStyle w:val="NormalHanging"/>
      </w:pPr>
      <w:r w:rsidRPr="00EC7404">
        <w:t>–</w:t>
      </w:r>
      <w:r w:rsidRPr="00EC7404">
        <w:tab/>
        <w:t xml:space="preserve">s ohledem na Dohodu o partnerství mezi Evropskou unií a jejími členskými státy na </w:t>
      </w:r>
      <w:r w:rsidRPr="00EC7404">
        <w:t>jedné straně a členy Organizace afrických, karibských a tichomořských států na straně druhé (Samojská dohoda)</w:t>
      </w:r>
      <w:r>
        <w:rPr>
          <w:rStyle w:val="FootnoteReference"/>
        </w:rPr>
        <w:footnoteReference w:customMarkFollows="1" w:id="4"/>
        <w:t xml:space="preserve">3</w:t>
      </w:r>
      <w:r w:rsidRPr="00EC7404">
        <w:t>,</w:t>
      </w:r>
    </w:p>
    <w:p w:rsidR="00F7251F" w:rsidRPr="00EC7404" w:rsidP="00EC7404" w14:paraId="11BF4A10" w14:textId="77777777">
      <w:pPr>
        <w:pStyle w:val="NormalHanging"/>
      </w:pPr>
      <w:r w:rsidRPr="00EC7404">
        <w:t>–</w:t>
      </w:r>
      <w:r w:rsidRPr="00EC7404">
        <w:tab/>
        <w:t>s ohledem na sdělení Komise ze dne 27. dubna 2022 o přilákání kvalifikovaných a talentovaných pracovníků do EU (COM(2022)0657,</w:t>
      </w:r>
    </w:p>
    <w:p w:rsidR="00F7251F" w:rsidRPr="00EC7404" w:rsidP="00EC7404" w14:paraId="72890002" w14:textId="77777777">
      <w:pPr>
        <w:pStyle w:val="NormalHanging"/>
      </w:pPr>
      <w:r w:rsidRPr="00EC7404">
        <w:t>–</w:t>
      </w:r>
      <w:r w:rsidRPr="00EC7404">
        <w:tab/>
        <w:t>s ohledem na Pakt pro Středomoří,</w:t>
      </w:r>
    </w:p>
    <w:p w:rsidR="00F7251F" w:rsidRPr="00EC7404" w:rsidP="00EC7404" w14:paraId="0CD22F69" w14:textId="77777777">
      <w:pPr>
        <w:pStyle w:val="NormalHanging"/>
      </w:pPr>
      <w:r w:rsidRPr="00EC7404">
        <w:t>–</w:t>
      </w:r>
      <w:r w:rsidRPr="00EC7404">
        <w:tab/>
        <w:t>s ohledem na společné prohlášení Rady a zástupců vlád členských států zasedajících v Radě, Evropského parlamentu a Komise ze dne 7. června 2017 nazvané „Nový Evropský konsensus o rozvoji – Náš svět, naše důstojnost, naše budoucnost“,</w:t>
      </w:r>
    </w:p>
    <w:p w:rsidR="00F7251F" w:rsidRPr="00EC7404" w:rsidP="00EC7404" w14:paraId="76718B29" w14:textId="77777777">
      <w:pPr>
        <w:pStyle w:val="NormalHanging"/>
      </w:pPr>
      <w:r w:rsidRPr="00EC7404">
        <w:t>–</w:t>
      </w:r>
      <w:r w:rsidRPr="00EC7404">
        <w:tab/>
        <w:t>s ohledem na nouzový svěřenský fond EU pro Afriku a zvláštní zprávu Evropského účetního dvora č. 17/2024 ze dne 25. září 2024 nazvanou „Svěřenský fond EU pro Afriku – navzdory novým přístupům je podpora i nadále nezacílená“,</w:t>
      </w:r>
    </w:p>
    <w:p w:rsidR="00F7251F" w:rsidRPr="00EC7404" w:rsidP="00EC7404" w14:paraId="7CF490B0" w14:textId="36346CB3">
      <w:pPr>
        <w:pStyle w:val="NormalHanging"/>
      </w:pPr>
      <w:r w:rsidRPr="00EC7404">
        <w:t>–</w:t>
      </w:r>
      <w:r w:rsidRPr="00EC7404">
        <w:tab/>
        <w:t>s ohledem na sdělení Komise ze dne 4. června 2025 s názvem „Evropská strategie pro vodohospodářskou odolnost“ (COM(2025)0280),</w:t>
      </w:r>
    </w:p>
    <w:p w:rsidR="00F7251F" w:rsidRPr="00EC7404" w:rsidP="00EC7404" w14:paraId="4D5FA640" w14:textId="77777777">
      <w:pPr>
        <w:pStyle w:val="NormalHanging"/>
      </w:pPr>
      <w:r w:rsidRPr="00EC7404">
        <w:t>–</w:t>
      </w:r>
      <w:r w:rsidRPr="00EC7404">
        <w:tab/>
        <w:t>s ohledem na své usnesení ze dne 7. května 2025 o Evropské strategii pro vodohospodářskou odolnost</w:t>
      </w:r>
      <w:r>
        <w:rPr>
          <w:rStyle w:val="FootnoteReference"/>
        </w:rPr>
        <w:footnoteReference w:customMarkFollows="1" w:id="5"/>
        <w:t xml:space="preserve">4</w:t>
      </w:r>
      <w:r w:rsidRPr="00EC7404">
        <w:t>,</w:t>
      </w:r>
    </w:p>
    <w:p w:rsidR="00F7251F" w:rsidRPr="00EC7404" w:rsidP="00EC7404" w14:paraId="6979B7E5" w14:textId="143ADF94">
      <w:pPr>
        <w:pStyle w:val="NormalHanging"/>
      </w:pPr>
      <w:r w:rsidRPr="00EC7404">
        <w:t>–</w:t>
      </w:r>
      <w:r w:rsidRPr="00EC7404">
        <w:tab/>
        <w:t>s ohledem na společné sdělení Komise a vysokého představitele Unie pro zahraniční věci a bezpečnostní politiku ze dne 1. prosince 2021 nazvané „Strategie Global Gateway“ (</w:t>
      </w:r>
      <w:r w:rsidRPr="004B32C9" w:rsidR="00EC7404">
        <w:t>JOIN(2021)0030</w:t>
      </w:r>
      <w:r w:rsidRPr="00EC7404">
        <w:t>),</w:t>
      </w:r>
    </w:p>
    <w:p w:rsidR="00F7251F" w:rsidRPr="00EC7404" w:rsidP="00EC7404" w14:paraId="7D90B370" w14:textId="319FEE5C">
      <w:pPr>
        <w:pStyle w:val="NormalHanging"/>
      </w:pPr>
      <w:r w:rsidRPr="00EC7404">
        <w:t>–</w:t>
      </w:r>
      <w:r w:rsidRPr="00EC7404">
        <w:tab/>
        <w:t>s ohledem na společné sdělení Komise a vysokého představitele Unie pro zahraniční věci a bezpečnostní politiku ze dne 2. října 2024 nazvané „Budování udržitelných mezinárodních partnerství jako Tým Evropa“ (</w:t>
      </w:r>
      <w:r w:rsidRPr="004B32C9" w:rsidR="00EC7404">
        <w:t>JOIN(2024)0025</w:t>
      </w:r>
      <w:r w:rsidRPr="00EC7404">
        <w:t>),</w:t>
      </w:r>
    </w:p>
    <w:p w:rsidR="00F7251F" w:rsidRPr="00EC7404" w:rsidP="00EC7404" w14:paraId="3340DB6E" w14:textId="77777777">
      <w:pPr>
        <w:pStyle w:val="NormalHanging"/>
      </w:pPr>
      <w:r w:rsidRPr="00EC7404">
        <w:t>–</w:t>
      </w:r>
      <w:r w:rsidRPr="00EC7404">
        <w:tab/>
        <w:t>s ohledem na závěry Evropské rady ze dne 17. října 2024 týkající se migrace,</w:t>
      </w:r>
    </w:p>
    <w:p w:rsidR="00F7251F" w:rsidRPr="00EC7404" w:rsidP="00EC7404" w14:paraId="5A2EDBA8" w14:textId="77777777">
      <w:pPr>
        <w:pStyle w:val="NormalHanging"/>
      </w:pPr>
      <w:r w:rsidRPr="00EC7404">
        <w:t>–</w:t>
      </w:r>
      <w:r w:rsidRPr="00EC7404">
        <w:tab/>
        <w:t>s ohledem na rezoluci Valného shromáždění OSN 73/195 ze dne 19. prosince 2018 nazvanou „Globální pakt o bezpečné, řízené a legální migraci“,</w:t>
      </w:r>
    </w:p>
    <w:p w:rsidR="00F7251F" w:rsidRPr="00EC7404" w:rsidP="00EC7404" w14:paraId="52ADADEC" w14:textId="62FB206D">
      <w:pPr>
        <w:pStyle w:val="NormalHanging"/>
      </w:pPr>
      <w:r w:rsidRPr="00EC7404">
        <w:t>–</w:t>
      </w:r>
      <w:r w:rsidRPr="00EC7404">
        <w:tab/>
        <w:t>s ohledem na rezoluci Valného shromáždění OSN</w:t>
      </w:r>
      <w:r w:rsidR="00B11291">
        <w:t xml:space="preserve"> </w:t>
      </w:r>
      <w:r w:rsidRPr="00EC7404">
        <w:t>71/1 ze dne 19. září 2016 s názvem „Newyorská deklarace pro uprchlíky a migranty“,</w:t>
      </w:r>
    </w:p>
    <w:p w:rsidR="00F7251F" w:rsidRPr="00EC7404" w:rsidP="00EC7404" w14:paraId="6BF6142B" w14:textId="77777777">
      <w:pPr>
        <w:pStyle w:val="NormalHanging"/>
      </w:pPr>
      <w:r w:rsidRPr="00EC7404">
        <w:t>–</w:t>
      </w:r>
      <w:r w:rsidRPr="00EC7404">
        <w:tab/>
        <w:t>s ohledem na rezoluci Valného shromáždění OSN 70/1 nazvanou „Přeměna našeho světa: Agenda pro udržitelný rozvoj 2030“, která byla přijata na summitu OSN o udržitelném rozvoji dne 25. září 2015 v New Yorku a která stanoví cíle udržitelného rozvoje, a zejména cíl udržitelného rozvoje č. 10.7,</w:t>
      </w:r>
    </w:p>
    <w:p w:rsidR="00F7251F" w:rsidRPr="00EC7404" w:rsidP="00EC7404" w14:paraId="5A70A2DE" w14:textId="77777777">
      <w:pPr>
        <w:pStyle w:val="NormalHanging"/>
      </w:pPr>
      <w:r w:rsidRPr="00EC7404">
        <w:t>–</w:t>
      </w:r>
      <w:r w:rsidRPr="00EC7404">
        <w:tab/>
        <w:t>s ohledem na Úmluvu o právním postavení uprchlíků z roku 1951 a její Newyorský protokol z roku 1967,</w:t>
      </w:r>
    </w:p>
    <w:p w:rsidR="00F7251F" w:rsidRPr="00EC7404" w:rsidP="00EC7404" w14:paraId="2E24F232" w14:textId="77777777">
      <w:pPr>
        <w:pStyle w:val="NormalHanging"/>
      </w:pPr>
      <w:r w:rsidRPr="00EC7404">
        <w:t>–</w:t>
      </w:r>
      <w:r w:rsidRPr="00EC7404">
        <w:tab/>
        <w:t xml:space="preserve">s ohledem na pokyny Výboru pro rozvojovou pomoc Organizace pro hospodářskou spolupráci a rozvoj k činnostem souvisejícím s migrací v rámci oficiální rozvojové </w:t>
      </w:r>
      <w:r w:rsidRPr="00EC7404">
        <w:t>pomoci a na související soubor nástrojů,</w:t>
      </w:r>
    </w:p>
    <w:p w:rsidR="00F7251F" w:rsidRPr="00EC7404" w:rsidP="00EC7404" w14:paraId="5A6C2FF2" w14:textId="77777777">
      <w:pPr>
        <w:pStyle w:val="NormalHanging"/>
      </w:pPr>
      <w:r w:rsidRPr="00EC7404">
        <w:t>–</w:t>
      </w:r>
      <w:r w:rsidRPr="00EC7404">
        <w:tab/>
        <w:t>s ohledem na Evropskou úmluvu o lidských právech z roku 1950,</w:t>
      </w:r>
    </w:p>
    <w:p w:rsidR="00F7251F" w:rsidRPr="00EC7404" w:rsidP="00EC7404" w14:paraId="03783135" w14:textId="77777777">
      <w:pPr>
        <w:pStyle w:val="NormalHanging"/>
      </w:pPr>
      <w:r w:rsidRPr="00EC7404">
        <w:t>–</w:t>
      </w:r>
      <w:r w:rsidRPr="00EC7404">
        <w:tab/>
        <w:t>s ohledem na studii vypracovanou pro Výbor pro rozvoj o úloze rozvojové spolupráce EU při řešení nelegální migrace v Africe</w:t>
      </w:r>
      <w:r>
        <w:rPr>
          <w:rStyle w:val="FootnoteReference"/>
        </w:rPr>
        <w:footnoteReference w:customMarkFollows="1" w:id="6"/>
        <w:t xml:space="preserve">5</w:t>
      </w:r>
      <w:r w:rsidRPr="00EC7404">
        <w:t>,</w:t>
      </w:r>
    </w:p>
    <w:p w:rsidR="00F7251F" w:rsidRPr="00EC7404" w:rsidP="00EC7404" w14:paraId="35046D03" w14:textId="77777777">
      <w:pPr>
        <w:pStyle w:val="NormalHanging"/>
      </w:pPr>
      <w:r w:rsidRPr="00EC7404">
        <w:t>–</w:t>
      </w:r>
      <w:r w:rsidRPr="00EC7404">
        <w:tab/>
        <w:t>s ohledem na své usnesení ze dne 25. března 2021 o nové strategii EU–Afrika – partnerství pro udržitelný a inkluzivní rozvoj</w:t>
      </w:r>
      <w:r>
        <w:rPr>
          <w:rStyle w:val="FootnoteReference"/>
        </w:rPr>
        <w:footnoteReference w:customMarkFollows="1" w:id="7"/>
        <w:t xml:space="preserve">6</w:t>
      </w:r>
      <w:r w:rsidRPr="00EC7404">
        <w:t>,</w:t>
      </w:r>
    </w:p>
    <w:p w:rsidR="00F7251F" w:rsidRPr="00EC7404" w:rsidP="00EC7404" w14:paraId="05D6CCC2" w14:textId="77777777">
      <w:pPr>
        <w:pStyle w:val="NormalHanging"/>
      </w:pPr>
      <w:r w:rsidRPr="00EC7404">
        <w:t>–</w:t>
      </w:r>
      <w:r w:rsidRPr="00EC7404">
        <w:tab/>
        <w:t>s ohledem na článek 55 jednacího řádu,</w:t>
      </w:r>
    </w:p>
    <w:p w:rsidR="00F7251F" w:rsidRPr="00EC7404" w:rsidP="00EC7404" w14:paraId="1C79D897" w14:textId="77777777">
      <w:pPr>
        <w:pStyle w:val="NormalHanging"/>
      </w:pPr>
      <w:r w:rsidRPr="00EC7404">
        <w:t>–</w:t>
      </w:r>
      <w:r w:rsidRPr="00EC7404">
        <w:tab/>
        <w:t>s ohledem na zprávu Výboru pro rozvoj (A10-0147/2026),</w:t>
      </w:r>
    </w:p>
    <w:p w:rsidR="00F7251F" w:rsidRPr="00EC7404" w:rsidP="00EC7404" w14:paraId="0976CF7B" w14:textId="77777777">
      <w:pPr>
        <w:pStyle w:val="NormalHanging"/>
      </w:pPr>
      <w:r w:rsidRPr="00EC7404">
        <w:t>A.</w:t>
      </w:r>
      <w:r w:rsidRPr="00EC7404">
        <w:tab/>
        <w:t>vzhledem k tomu, že migrace a mobilita, mír, řádná správa věcí veřejných, stabilita, růst podporující začlenění a udržitelný rozvoj jsou úzce propojeny; vzhledem k tomu, že migrace je způsobena faktory na makro- i mikroúrovni, jako jsou ozbrojené konflikty, politická nestabilita, hospodářské potíže, nedostatek příležitostí a chudoba, omezený přístup k mechanismům sociální ochrany, nedostatečné poskytování služeb, marginalizace, diskriminace nebo pronásledování zranitelných osob, a to i s ohledem na jejich svobodu náboženského vyznání nebo přesvědčení, nedostatek potravin a omezený přístup k čisté vodě, zhoršování životního prostředí a změna klimatu</w:t>
      </w:r>
      <w:r>
        <w:rPr>
          <w:rStyle w:val="FootnoteReference"/>
        </w:rPr>
        <w:footnoteReference w:customMarkFollows="1" w:id="8"/>
        <w:t xml:space="preserve">7</w:t>
      </w:r>
      <w:r w:rsidRPr="00EC7404">
        <w:t>;</w:t>
      </w:r>
    </w:p>
    <w:p w:rsidR="00F7251F" w:rsidRPr="00EC7404" w:rsidP="00EC7404" w14:paraId="2E02651F" w14:textId="77777777">
      <w:pPr>
        <w:pStyle w:val="NormalHanging"/>
      </w:pPr>
      <w:r w:rsidRPr="00EC7404">
        <w:t>B.</w:t>
      </w:r>
      <w:r w:rsidRPr="00EC7404">
        <w:tab/>
        <w:t>vzhledem k tomu, že nelegální pohyby obyvatelstva se týkají různých kategorií migrantů, jako jsou uprchlíci a žadatelé o azyl usilující o mezinárodní ochranu; vzhledem k tomu, že žadatelé o mezinárodní ochranu mohou zůstat v příslušných členských státech, dokud nebude rozhodnuto o jejich žádosti;</w:t>
      </w:r>
    </w:p>
    <w:p w:rsidR="00F7251F" w:rsidRPr="00EC7404" w:rsidP="00EC7404" w14:paraId="2CEE1C05" w14:textId="77777777">
      <w:pPr>
        <w:pStyle w:val="NormalHanging"/>
      </w:pPr>
      <w:r w:rsidRPr="00EC7404">
        <w:t>C.</w:t>
      </w:r>
      <w:r w:rsidRPr="00EC7404">
        <w:tab/>
        <w:t>vzhledem k tomu, že rozvojová spolupráce hraje zásadní úlohu při odstraňování chudoby, řešení nestabilních situací, podpoře lidského rozvoje a udržitelnosti ve všech jejích rozměrech a řešení globálních výzev prostřednictvím mezinárodních partnerství, která prosazují a podporují evropské hodnoty a zájmy, a přispívá k míru a prosperitě ve světě;</w:t>
      </w:r>
    </w:p>
    <w:p w:rsidR="00F7251F" w:rsidRPr="00EC7404" w:rsidP="00EC7404" w14:paraId="45B5C9C7" w14:textId="69752472">
      <w:pPr>
        <w:pStyle w:val="NormalHanging"/>
      </w:pPr>
      <w:r w:rsidRPr="00EC7404">
        <w:t>D.</w:t>
      </w:r>
      <w:r w:rsidRPr="00EC7404">
        <w:tab/>
        <w:t>vzhledem k tomu, že rozvojová politika EU podporuje udržitelný rozvoj a stabilitu v rozvojových zemích a jejím konečným cílem je vymýtit extrémní chudobu v souladu s Agendou 2030 a cíli udržitelného rozvoje podle článku 208 Smlouvy o fungování EU a zároveň dodržovat zásadu soudržnosti politik ve prospěch rozvoje;</w:t>
      </w:r>
    </w:p>
    <w:p w:rsidR="00F7251F" w:rsidRPr="00EC7404" w:rsidP="00EC7404" w14:paraId="6A0AA897" w14:textId="77777777">
      <w:pPr>
        <w:pStyle w:val="NormalHanging"/>
      </w:pPr>
      <w:r w:rsidRPr="00EC7404">
        <w:t>E.</w:t>
      </w:r>
      <w:r w:rsidRPr="00EC7404">
        <w:tab/>
        <w:t>vzhledem k tomu, že rozvojová spolupráce musí být založena na ověřitelných výsledcích a na konkrétním společném závazku k udržitelnému rozvoji;</w:t>
      </w:r>
    </w:p>
    <w:p w:rsidR="00F7251F" w:rsidRPr="00EC7404" w:rsidP="00EC7404" w14:paraId="35F285C4" w14:textId="77777777">
      <w:pPr>
        <w:pStyle w:val="NormalHanging"/>
      </w:pPr>
      <w:r w:rsidRPr="00EC7404">
        <w:t>F.</w:t>
      </w:r>
      <w:r w:rsidRPr="00EC7404">
        <w:tab/>
        <w:t xml:space="preserve">vzhledem k tomu, že nouzový svěřenský fond EU pro Afriku byl zřízen proto, aby řešil </w:t>
      </w:r>
      <w:r w:rsidRPr="00EC7404">
        <w:t>základní příčiny nestability, násilného vysídlování a nelegální migrace a přispíval k lepšímu řízení migrace; vzhledem k tomu, že Evropský účetní dvůr ve svém přezkumu zjistil, že svěřenský fond EU pro Afriku nedosáhl mnoha svých cílů, protože nebyly vždy jasně určeny účinné strategie;</w:t>
      </w:r>
    </w:p>
    <w:p w:rsidR="00F7251F" w:rsidRPr="00EC7404" w:rsidP="00EC7404" w14:paraId="34029309" w14:textId="77777777">
      <w:pPr>
        <w:pStyle w:val="NormalHanging"/>
      </w:pPr>
      <w:r w:rsidRPr="00EC7404">
        <w:t>G.</w:t>
      </w:r>
      <w:r w:rsidRPr="00EC7404">
        <w:tab/>
        <w:t>vzhledem k tomu, že od roku 2015 čelí EU bezprecedentním migračním tokům, jejichž řízení vyžaduje trvalé úsilí členských států, a vzhledem k tomu, že je proto nezbytné posílit evropské rozvojové politiky s cílem řešit základní příčiny nelegální migrace a nuceného vysídlování, neboť v letech 2015 až 2024 bylo v členských státech EU podáno více než 8,5 milionu žádostí o azyl</w:t>
      </w:r>
      <w:r>
        <w:rPr>
          <w:rStyle w:val="FootnoteReference"/>
        </w:rPr>
        <w:footnoteReference w:customMarkFollows="1" w:id="9"/>
        <w:t xml:space="preserve">8</w:t>
      </w:r>
      <w:r w:rsidRPr="00EC7404">
        <w:t>; vzhledem k tomu, že počet nedovolených překročení vnějších hranic EU klesl v roce 2025 o více než čtvrtinu (26 %) na téměř 178 000</w:t>
      </w:r>
      <w:r>
        <w:rPr>
          <w:rStyle w:val="FootnoteReference"/>
        </w:rPr>
        <w:footnoteReference w:customMarkFollows="1" w:id="10"/>
        <w:t xml:space="preserve">9</w:t>
      </w:r>
      <w:r w:rsidRPr="00EC7404">
        <w:t>; vzhledem k tomu, že většina migrantů směřujících do Evropy přichází legální cestou; vzhledem k tomu, že cíl udržitelného rozvoje č. 10.7 vyzývá země, aby usnadnily řádnou, bezpečnou, legální a odpovědnou migraci a mobilitu osob prostřednictvím plánovaných a dobře řízených migračních politik;</w:t>
      </w:r>
    </w:p>
    <w:p w:rsidR="00F7251F" w:rsidRPr="00EC7404" w:rsidP="00EC7404" w14:paraId="61CF8A26" w14:textId="77777777">
      <w:pPr>
        <w:pStyle w:val="NormalHanging"/>
      </w:pPr>
      <w:r w:rsidRPr="00EC7404">
        <w:t>H.</w:t>
      </w:r>
      <w:r w:rsidRPr="00EC7404">
        <w:tab/>
        <w:t>vzhledem k tomu, že v roce 2024 migrovalo do EU ze zemí mimo EU 4,2 milionu lidí</w:t>
      </w:r>
      <w:r>
        <w:rPr>
          <w:rStyle w:val="FootnoteReference"/>
        </w:rPr>
        <w:footnoteReference w:customMarkFollows="1" w:id="11"/>
        <w:t xml:space="preserve">10</w:t>
      </w:r>
      <w:r w:rsidRPr="00EC7404">
        <w:t>;</w:t>
      </w:r>
    </w:p>
    <w:p w:rsidR="00F7251F" w:rsidRPr="00EC7404" w:rsidP="00EC7404" w14:paraId="71F3B163" w14:textId="77777777">
      <w:pPr>
        <w:pStyle w:val="NormalHanging"/>
      </w:pPr>
      <w:r w:rsidRPr="00EC7404">
        <w:t>I.</w:t>
      </w:r>
      <w:r w:rsidRPr="00EC7404">
        <w:tab/>
        <w:t>vzhledem k tomu, že mnoho zemí původu žadatelů o azyl jsou země s nízkými a středními příjmy; vzhledem k tomu, že míry přijetí žadatelů o azyl z těchto zemí jsou velmi rozdílné;</w:t>
      </w:r>
    </w:p>
    <w:p w:rsidR="00F7251F" w:rsidRPr="00EC7404" w:rsidP="00EC7404" w14:paraId="2CE91E26" w14:textId="77777777">
      <w:pPr>
        <w:pStyle w:val="NormalHanging"/>
      </w:pPr>
      <w:r w:rsidRPr="00EC7404">
        <w:t>J.</w:t>
      </w:r>
      <w:r w:rsidRPr="00EC7404">
        <w:tab/>
        <w:t>vzhledem k tomu, že v roce 2024 udělily země EU status ochrany 437 900 žadatelům o azyl, což je o 6,9 % více než v roce 2023 (409 530); vzhledem k tomu, že se jednalo o nejvyšší počet od maximálních hodnot zaznamenaných po uprchlické krizi související s válkou v Sýrii v letech 2016 a 2017; vzhledem k tomu, že míra uznaných žádostí o azyl na úrovni EU, tj. podíl kladných rozhodnutí na celkovém počtu rozhodnutí o azylu, činila v roce 2024 u rozhodnutí v prvním stupni 51,4 %;</w:t>
      </w:r>
    </w:p>
    <w:p w:rsidR="00F7251F" w:rsidRPr="00EC7404" w:rsidP="00EC7404" w14:paraId="063662F6" w14:textId="77777777">
      <w:pPr>
        <w:pStyle w:val="NormalHanging"/>
      </w:pPr>
      <w:r w:rsidRPr="00EC7404">
        <w:t>K.</w:t>
      </w:r>
      <w:r w:rsidRPr="00EC7404">
        <w:tab/>
        <w:t>vzhledem k tomu, že v roce 2024 byl 124 000 občanům třetích zemí odepřen vstup do EU, 919 000 se ocitlo bez statusu, 453 000 bylo vydáno rozhodnutí o navrácení a přibližně 110 000 jich bylo skutečně navráceno do země mimo EU</w:t>
      </w:r>
      <w:r>
        <w:rPr>
          <w:rStyle w:val="FootnoteReference"/>
        </w:rPr>
        <w:footnoteReference w:customMarkFollows="1" w:id="12"/>
        <w:t xml:space="preserve">11</w:t>
      </w:r>
      <w:r w:rsidRPr="00EC7404">
        <w:t xml:space="preserve">; vzhledem k tomu, že přibližně 20 % osob, kterým bylo vydáno rozhodnutí o navrácení, bylo skutečně </w:t>
      </w:r>
      <w:r w:rsidRPr="00EC7404">
        <w:t>navráceno</w:t>
      </w:r>
      <w:r>
        <w:rPr>
          <w:rStyle w:val="FootnoteReference"/>
        </w:rPr>
        <w:footnoteReference w:customMarkFollows="1" w:id="13"/>
        <w:t xml:space="preserve">12</w:t>
      </w:r>
      <w:r w:rsidRPr="00EC7404">
        <w:t>;</w:t>
      </w:r>
    </w:p>
    <w:p w:rsidR="00F7251F" w:rsidRPr="00EC7404" w:rsidP="00EC7404" w14:paraId="6F7F31F5" w14:textId="77777777">
      <w:pPr>
        <w:pStyle w:val="NormalHanging"/>
      </w:pPr>
      <w:r w:rsidRPr="00EC7404">
        <w:t>L.</w:t>
      </w:r>
      <w:r w:rsidRPr="00EC7404">
        <w:tab/>
        <w:t>vzhledem k tomu, že nejčastěji se mezinárodní migrační cesty uskutečňují mezi sousedními zeměmi; vzhledem k tomu, že velká většina uprchlíků, osob, které potřebují mezinárodní ochranu, a vnitřně vysídlených osob nalézá útočiště v zemích s nízkými a středními příjmy; vzhledem k tomu, že ekonomická zátěž těchto zemí je značná a ovlivňuje jejich vlastní sociální a hospodářskou soudržnost a rozvoj; vzhledem k tomu, že rozvojová spolupráce proto hraje klíčovou úlohu při podpoře vysídleného obyvatelstva a hostitelských komunit;</w:t>
      </w:r>
    </w:p>
    <w:p w:rsidR="00F7251F" w:rsidRPr="00EC7404" w:rsidP="00EC7404" w14:paraId="7DAC85DA" w14:textId="77777777">
      <w:pPr>
        <w:pStyle w:val="NormalHanging"/>
      </w:pPr>
      <w:r w:rsidRPr="00EC7404">
        <w:t>M.</w:t>
      </w:r>
      <w:r w:rsidRPr="00EC7404">
        <w:tab/>
        <w:t>vzhledem k tomu, že Afrika čelí vnitřní migraci, přičemž přibližně 80 % veškeré africké migrace probíhá v rámci kontinentu; vzhledem k tomu, že v roce 2024 bylo v subsaharské Africe nově vnitřně vysídleno 19,3 milionu lidí, z nichž 11,5 milionu kvůli konfliktu a 7,8 milionu v důsledku katastrof; vzhledem k tomu, že celkový počet vnitřně vysídlených osob v Africe dosáhl v letech 2015 až 2024 38,8 milionu, což představuje 46 % celkového počtu na celém světě, přičemž 68 % z nich pocházelo z Demokratické republiky Kongo, Etiopie, Nigérie, Somálska a Súdánu;</w:t>
      </w:r>
    </w:p>
    <w:p w:rsidR="00F7251F" w:rsidRPr="00EC7404" w:rsidP="00EC7404" w14:paraId="5E97F427" w14:textId="77777777">
      <w:pPr>
        <w:pStyle w:val="NormalHanging"/>
      </w:pPr>
      <w:r w:rsidRPr="00EC7404">
        <w:t>N.</w:t>
      </w:r>
      <w:r w:rsidRPr="00EC7404">
        <w:tab/>
        <w:t>vzhledem k tomu, že k červnu 2025 bylo 117,3 milionu lidí na celém světě nuceno opustit své domovy kvůli pronásledování, konfliktům, násilí, porušování lidských práv nebo událostem, které vážně narušují veřejný pořádek; vzhledem k tomu, že 42,5 milionu z nich byli uprchlíci, 67,8 milionu vnitřně vysídlené osoby a 8,42 milionu žadatelé o azyl</w:t>
      </w:r>
      <w:r>
        <w:rPr>
          <w:rStyle w:val="FootnoteReference"/>
        </w:rPr>
        <w:footnoteReference w:customMarkFollows="1" w:id="14"/>
        <w:t xml:space="preserve">13</w:t>
      </w:r>
      <w:r w:rsidRPr="00EC7404">
        <w:t>;</w:t>
      </w:r>
    </w:p>
    <w:p w:rsidR="00F7251F" w:rsidRPr="00EC7404" w:rsidP="00EC7404" w14:paraId="067E7508" w14:textId="77777777">
      <w:pPr>
        <w:pStyle w:val="NormalHanging"/>
      </w:pPr>
      <w:r w:rsidRPr="00EC7404">
        <w:t>O.</w:t>
      </w:r>
      <w:r w:rsidRPr="00EC7404">
        <w:tab/>
        <w:t>vzhledem k tomu, že zpráva o globálních trendech a průzkumy Úřadu vysokého komisaře OSN pro uprchlíky (UNHCR) ukazují, že většina uprchlíků a vysídlených osob nechce své země opustit, ale je nucena tak učinit kvůli hrozbám, jako jsou konflikty, pronásledování, násilí nebo extrémní strádání; vzhledem k tomu, že z průzkumu UNHCR z roku 2023 vyplývá, že převážná většina uprchlíků by raději zůstala ve svých komunitách, pokud by byla zaručena jejich bezpečnost a živobytí;</w:t>
      </w:r>
    </w:p>
    <w:p w:rsidR="00F7251F" w:rsidRPr="00EC7404" w:rsidP="00EC7404" w14:paraId="3C5C66DC" w14:textId="77777777">
      <w:pPr>
        <w:pStyle w:val="NormalHanging"/>
      </w:pPr>
      <w:r w:rsidRPr="00EC7404">
        <w:t>P.</w:t>
      </w:r>
      <w:r w:rsidRPr="00EC7404">
        <w:tab/>
        <w:t>vzhledem k tomu, že rozvojová spolupráce hraje při snižování chudoby a řešení nestabilních situací zásadní úlohu tím, že podporuje lidský rozvoj, prosazuje a podporuje zásady demokracie, právního státu, rovnosti žen a mužů, lidských práv a základních práv, posiluje prosazování práva a vytváří udržitelné hospodářské příležitosti, posiluje správu věcí veřejných a podporuje mír a stabilitu, čímž řeší základní příčiny nelegální migrace;</w:t>
      </w:r>
    </w:p>
    <w:p w:rsidR="00F7251F" w:rsidRPr="00EC7404" w:rsidP="00EC7404" w14:paraId="3FE2CD2E" w14:textId="77777777">
      <w:pPr>
        <w:pStyle w:val="NormalHanging"/>
      </w:pPr>
      <w:r w:rsidRPr="00EC7404">
        <w:t>Q.</w:t>
      </w:r>
      <w:r w:rsidRPr="00EC7404">
        <w:tab/>
        <w:t>vzhledem k tomu, že zlepšení životních podmínek, vzdělání a pracovních vyhlídek v zemích původu je klíčem k zajištění toho, aby si lidé mohli vybudovat budoucnost ve svých vlastních komunitách místo toho, aby byli nuceni migrovat; vzhledem k tomu, že cílená a účinná spolupráce proto může snížit pobídky k nelegální migraci tím, že podpoří stabilitu, bezpečnost a soběstačnost v partnerských zemích;</w:t>
      </w:r>
    </w:p>
    <w:p w:rsidR="00F7251F" w:rsidRPr="00EC7404" w:rsidP="00EC7404" w14:paraId="7AE62D95" w14:textId="77777777">
      <w:pPr>
        <w:pStyle w:val="NormalHanging"/>
      </w:pPr>
      <w:r w:rsidRPr="00EC7404">
        <w:t>R.</w:t>
      </w:r>
      <w:r w:rsidRPr="00EC7404">
        <w:tab/>
        <w:t xml:space="preserve">vzhledem k tomu, že na migraci může mít dopad zvýšená nestabilita, a to i v souvislosti </w:t>
      </w:r>
      <w:r w:rsidRPr="00EC7404">
        <w:t>se změnou klimatu a zhoršováním životního prostředí, a vyčerpávání a nadměrné využívání přírodních zdrojů; vzhledem k tomu, že 90 % všech přírodních katastrof souvisí s vodou, což může mít dopad na nedostatek potravin, nárůst společenských konfliktů a migraci;</w:t>
      </w:r>
    </w:p>
    <w:p w:rsidR="00F7251F" w:rsidRPr="00EC7404" w:rsidP="00EC7404" w14:paraId="6B6F9F18" w14:textId="77777777">
      <w:pPr>
        <w:pStyle w:val="NormalHanging"/>
      </w:pPr>
      <w:r w:rsidRPr="00EC7404">
        <w:t>S.</w:t>
      </w:r>
      <w:r w:rsidRPr="00EC7404">
        <w:tab/>
        <w:t>vzhledem k tomu, že závažný nedostatek potravin vede k vyšší míře přeshraniční migrace, přičemž každé zvýšení nedostatku potravin u obyvatelstva o 1 % nutí k migraci o 1,9 % více lidí; vzhledem k tomu, že ačkoli hospodářské a environmentální faktory samy o sobě nejsou důvodem pro udělení azylu, významně přispívají k faktorům zranitelnosti, které mohou vyžadovat komplexní mezinárodní reakci zaměřenou na ochranu;</w:t>
      </w:r>
    </w:p>
    <w:p w:rsidR="00F7251F" w:rsidRPr="00EC7404" w:rsidP="00EC7404" w14:paraId="34374033" w14:textId="77777777">
      <w:pPr>
        <w:pStyle w:val="NormalHanging"/>
      </w:pPr>
      <w:r w:rsidRPr="00EC7404">
        <w:t>T.</w:t>
      </w:r>
      <w:r w:rsidRPr="00EC7404">
        <w:tab/>
        <w:t>vzhledem k tomu, že migrační toky jsou často spojeny s nedostatkem přírodních zdrojů, včetně vody; vzhledem k tomu, že 2,2 miliardy osob na celém světě stále nemají přístup k nezávadné pitné vodě; vzhledem k tomu, že cílem Evropské strategie pro vodohospodářskou odolnost je podporovat vodohospodářskou odolnost a zajistit přístup ke kvalitnější pitné vodě a hygienickým zařízením pro nejméně 70 milionů osob prostřednictvím posíleného zapojení jednotlivých zemí a regionů v rámci strategie Global Gateway;</w:t>
      </w:r>
    </w:p>
    <w:p w:rsidR="00F7251F" w:rsidRPr="00EC7404" w:rsidP="00EC7404" w14:paraId="46A6AE55" w14:textId="77777777">
      <w:pPr>
        <w:pStyle w:val="NormalHanging"/>
      </w:pPr>
      <w:r w:rsidRPr="00EC7404">
        <w:t>U.</w:t>
      </w:r>
      <w:r w:rsidRPr="00EC7404">
        <w:tab/>
        <w:t>vzhledem k tomu, že Pakt EU o migraci a azylu poukazuje na význam vnějšího rozměru migrace vytvořením komplexních partnerství založených na politickém dialogu, vzájemném závazku a přístupu založeném na celé migrační trase;</w:t>
      </w:r>
    </w:p>
    <w:p w:rsidR="00F7251F" w:rsidRPr="00EC7404" w:rsidP="00EC7404" w14:paraId="037AC980" w14:textId="77777777">
      <w:pPr>
        <w:pStyle w:val="NormalHanging"/>
      </w:pPr>
      <w:r w:rsidRPr="00EC7404">
        <w:t>V.</w:t>
      </w:r>
      <w:r w:rsidRPr="00EC7404">
        <w:tab/>
        <w:t>vzhledem k tomu, že Pakt pro Středomoří vyzývá k rozšíření programu Erasmus+ na několik zemí Blízkého východu a Afriky s cílem propojit mladé lidi a podpořit integrovanější a inkluzivnější prostředí vysokoškolského vzdělávání a rozvoje dovedností; vzhledem k tomu, že tento pakt rovněž vyzývá k rozšíření Talentových partnerství, mimo jiné prostřednictvím spuštění unijní databáze talentů s cílem usnadnit vazby mezi zaměstnavateli v EU a uchazeči o zaměstnání z partnerských zemí;</w:t>
      </w:r>
    </w:p>
    <w:p w:rsidR="00F7251F" w:rsidRPr="00EC7404" w:rsidP="00EC7404" w14:paraId="1890E614" w14:textId="77777777">
      <w:pPr>
        <w:pStyle w:val="NormalHanging"/>
      </w:pPr>
      <w:r w:rsidRPr="00EC7404">
        <w:t>W.</w:t>
      </w:r>
      <w:r w:rsidRPr="00EC7404">
        <w:tab/>
        <w:t>vzhledem k tomu, že strategie Global Gateway a investice do lidského rozvoje by měly být příležitostí ke sladění rozvojové spolupráce s prioritami partnerských zemí, včetně migrace, a to tím, že se v zemích původu a tranzitu bude podporovat vytváření pracovních míst, vzdělávání, odborná příprava, demokratické hodnoty a vysoké standardy a posilovat řádná správa věcí veřejných, transparentnost a udržitelné investice, včetně investic do zabezpečení dodávek vody;</w:t>
      </w:r>
    </w:p>
    <w:p w:rsidR="00F7251F" w:rsidRPr="00EC7404" w:rsidP="00EC7404" w14:paraId="09D7580C" w14:textId="77777777">
      <w:pPr>
        <w:pStyle w:val="NormalHanging"/>
      </w:pPr>
      <w:r w:rsidRPr="00EC7404">
        <w:t>X.</w:t>
      </w:r>
      <w:r w:rsidRPr="00EC7404">
        <w:tab/>
        <w:t>vzhledem k tomu, že strategie Global Gateway by se měla rovněž zaměřit na podporu udržitelných a důvěryhodných partnerství v oblasti zelené energie a infrastruktury; vzhledem k tomu, že pro řešení socioekonomických faktorů migrace mají základní význam investice do přizpůsobení se změně klimatu a obnovitelné energie;</w:t>
      </w:r>
    </w:p>
    <w:p w:rsidR="00F7251F" w:rsidRPr="00EC7404" w:rsidP="00EC7404" w14:paraId="2559827A" w14:textId="77777777">
      <w:pPr>
        <w:pStyle w:val="NormalHanging"/>
      </w:pPr>
      <w:r w:rsidRPr="00EC7404">
        <w:t>Y.</w:t>
      </w:r>
      <w:r w:rsidRPr="00EC7404">
        <w:tab/>
        <w:t>vzhledem k tomu, že důležitými nástroji pro snižování chudoby a zvyšování soběstačnosti jsou hospodářská spolupráce a soukromé investice, které stimulují udržitelný místní růst v partnerských zemích;</w:t>
      </w:r>
    </w:p>
    <w:p w:rsidR="00F7251F" w:rsidRPr="00EC7404" w:rsidP="00EC7404" w14:paraId="75EF4C0C" w14:textId="77777777">
      <w:pPr>
        <w:pStyle w:val="NormalHanging"/>
      </w:pPr>
      <w:r w:rsidRPr="00EC7404">
        <w:t>Z.</w:t>
      </w:r>
      <w:r w:rsidRPr="00EC7404">
        <w:tab/>
        <w:t>vzhledem k tomu, že průmyslový rozvoj se osvědčil jako jeden z nejúčinnějších způsobů, jak vymanit lidi z chudoby; vzhledem k tomu, že sociálně odpovědné a udržitelné investování do schopností v oblasti produktivity může vytvářet pracovní příležitosti a mít multiplikační účinek;</w:t>
      </w:r>
    </w:p>
    <w:p w:rsidR="00F7251F" w:rsidRPr="00EC7404" w:rsidP="00EC7404" w14:paraId="78455E5E" w14:textId="77777777">
      <w:pPr>
        <w:pStyle w:val="NormalHanging"/>
      </w:pPr>
      <w:r w:rsidRPr="00EC7404">
        <w:t>AA.</w:t>
      </w:r>
      <w:r w:rsidRPr="00EC7404">
        <w:tab/>
        <w:t>vzhledem k tomu, že obchodování s lidmi a převaděčství představují hrubé porušování základních práv a připravují lidi o jejich důstojnost, svobodu a základní práva; vzhledem k tomu, že zločinecké sítě obchodující s lidmi a převaděčské sítě vykořisťují migranty tím, že profitují z nebezpečných cest;</w:t>
      </w:r>
    </w:p>
    <w:p w:rsidR="00F7251F" w:rsidRPr="00EC7404" w:rsidP="00EC7404" w14:paraId="18423FA6" w14:textId="77777777">
      <w:pPr>
        <w:pStyle w:val="NormalHanging"/>
      </w:pPr>
      <w:r w:rsidRPr="00EC7404">
        <w:t>AB.</w:t>
      </w:r>
      <w:r w:rsidRPr="00EC7404">
        <w:tab/>
        <w:t>vzhledem k tomu, že některým zemím chybí nástroje a zdroje k předcházení těmto trestným činům a boji proti nim; vzhledem k tomu, že mezinárodní partnerství mohou k boji proti obchodování s lidmi a převaděčství účinně přispívat;</w:t>
      </w:r>
    </w:p>
    <w:p w:rsidR="00F7251F" w:rsidRPr="00EC7404" w:rsidP="00EC7404" w14:paraId="409094C1" w14:textId="77777777">
      <w:pPr>
        <w:pStyle w:val="NormalHanging"/>
      </w:pPr>
      <w:r w:rsidRPr="00EC7404">
        <w:t>AC.</w:t>
      </w:r>
      <w:r w:rsidRPr="00EC7404">
        <w:tab/>
        <w:t>vzhledem k tomu, že rozvojová spolupráce hraje zásadní úlohu při řešení základních příčin nelegální migrace a nuceného vysídlování, jakož i v boji proti převaděčství lidí, ochraně uprchlíků a osob, které potřebují mezinárodní ochranu, podpoře zemí, které uprchlíky hostí, a rozvoji legálních migračních cest;</w:t>
      </w:r>
    </w:p>
    <w:p w:rsidR="00F7251F" w:rsidRPr="00EC7404" w:rsidP="00EC7404" w14:paraId="05A7749A" w14:textId="77777777">
      <w:pPr>
        <w:pStyle w:val="NormalHanging"/>
      </w:pPr>
      <w:r w:rsidRPr="00EC7404">
        <w:t>AD.</w:t>
      </w:r>
      <w:r w:rsidRPr="00EC7404">
        <w:tab/>
        <w:t>vzhledem k tomu, že bezpečnost, stabilita, územní celistvost a řádná správa věcí veřejných jsou předpokladem pro opatření v oblasti udržitelného rozvoje, a vzhledem k tomu, že by EU měla rovněž podporovat partnerské země při posilování kapacit v oblasti prosazování práva a správy hranic a v boji proti organizované trestné činnosti;</w:t>
      </w:r>
    </w:p>
    <w:p w:rsidR="00F7251F" w:rsidRPr="00EC7404" w:rsidP="00EC7404" w14:paraId="0430EC2D" w14:textId="77777777">
      <w:pPr>
        <w:pStyle w:val="NormalHanging"/>
      </w:pPr>
      <w:r w:rsidRPr="00EC7404">
        <w:t>AE.</w:t>
      </w:r>
      <w:r w:rsidRPr="00EC7404">
        <w:tab/>
        <w:t>vzhledem k tomu, že účinné řízení migrace rovněž vyžaduje užší spolupráci se zeměmi původu a tranzitu a rozbíjení zločineckých sítí, které vykořisťují zranitelné osoby; vzhledem k tomu, že podpora místního rozvoje a stability v partnerských zemích pomáhá řešit základní příčiny migrace udržitelným způsobem;</w:t>
      </w:r>
    </w:p>
    <w:p w:rsidR="00F7251F" w:rsidRPr="00EC7404" w:rsidP="00EC7404" w14:paraId="63E11E9C" w14:textId="77777777">
      <w:pPr>
        <w:pStyle w:val="NormalHanging"/>
      </w:pPr>
      <w:r w:rsidRPr="00EC7404">
        <w:t>AF.</w:t>
      </w:r>
      <w:r w:rsidRPr="00EC7404">
        <w:tab/>
        <w:t>vzhledem k tomu, že evropská podpora fungujících azylových systémů ve třetích zemích v rámci rozvojové spolupráce má zásadní význam pro mezinárodní ochranu žadatelů o azyl;</w:t>
      </w:r>
    </w:p>
    <w:p w:rsidR="00F7251F" w:rsidRPr="00EC7404" w:rsidP="00EC7404" w14:paraId="4E604394" w14:textId="77777777">
      <w:pPr>
        <w:pStyle w:val="NormalHanging"/>
      </w:pPr>
      <w:r w:rsidRPr="00EC7404">
        <w:t>AG.</w:t>
      </w:r>
      <w:r w:rsidRPr="00EC7404">
        <w:tab/>
        <w:t>vzhledem k tomu, že politiky navracení a opětovného začleňování musí plně dodržovat lidská práva; vzhledem k tomu, že spolupráce v oblasti navracení a opětovného začleňování může přinést vzájemné výhody, bude-li její součástí dobrovolný, důstojný a udržitelný návrat do zemí původu;</w:t>
      </w:r>
    </w:p>
    <w:p w:rsidR="00F7251F" w:rsidRPr="00EC7404" w:rsidP="00EC7404" w14:paraId="5E0D56BC" w14:textId="77777777">
      <w:pPr>
        <w:pStyle w:val="NormalHanging"/>
      </w:pPr>
      <w:r w:rsidRPr="00EC7404">
        <w:t>AH.</w:t>
      </w:r>
      <w:r w:rsidRPr="00EC7404">
        <w:tab/>
        <w:t>vzhledem k tomu, že nedílnou součástí účinné spolupráce s partnerskými zeměmi jsou dohody o zpětném přebírání osob a inovativní projekty šité na míru, jejichž cílem je opětovné začlenění migrantů do jejich zemí původu;</w:t>
      </w:r>
    </w:p>
    <w:p w:rsidR="00F7251F" w:rsidRPr="00EC7404" w:rsidP="00EC7404" w14:paraId="40C55F8F" w14:textId="77777777">
      <w:pPr>
        <w:pStyle w:val="NormalHanging"/>
      </w:pPr>
      <w:r w:rsidRPr="00EC7404">
        <w:t>AI.</w:t>
      </w:r>
      <w:r w:rsidRPr="00EC7404">
        <w:tab/>
        <w:t>vzhledem k tomu, že rozvojová spolupráce hraje klíčovou úlohu při podpoře socioekonomické integrace vysídlených osob a hostitelských komunit a při ochraně osob ve zranitelném postavení, včetně žen, dětí a osob se zdravotním postižením;</w:t>
      </w:r>
    </w:p>
    <w:p w:rsidR="00F7251F" w:rsidRPr="00EC7404" w:rsidP="00EC7404" w14:paraId="6EEFD50D" w14:textId="77777777">
      <w:pPr>
        <w:pStyle w:val="NormalHanging"/>
      </w:pPr>
      <w:r w:rsidRPr="00EC7404">
        <w:t>AJ.</w:t>
      </w:r>
      <w:r w:rsidRPr="00EC7404">
        <w:tab/>
        <w:t>vzhledem k tomu, že migrace může přispět k udržitelnému rozvoji a růstu podporujícímu začlenění jak v zemích původu, tak v cílových zemích, jakož i v rámci regionů a mezi nimi; vzhledem k tomu, že migrace má hospodářský dopad jak na cílovou zemi, tak na zemi původu; vzhledem k tomu, že tento dopad spočívá v tom, že migranti přispívají k veřejným financím, zaměstnanosti a vytváření pracovních míst, jakož i v úloze diaspor při podpoře hospodářského rozvoje svých zemí původu;</w:t>
      </w:r>
    </w:p>
    <w:p w:rsidR="00F7251F" w:rsidRPr="00EC7404" w:rsidP="00EC7404" w14:paraId="01CD4757" w14:textId="77777777">
      <w:pPr>
        <w:pStyle w:val="NormalHanging"/>
      </w:pPr>
      <w:r w:rsidRPr="00EC7404">
        <w:t>AK.</w:t>
      </w:r>
      <w:r w:rsidRPr="00EC7404">
        <w:tab/>
        <w:t>vzhledem k tomu, že diaspory hrají důležitou úlohu v rozvoji partnerských zemí, zejména tím, že podporují obchod a hospodářský rozvoj a řeší řadu otázek souvisejících s migrací a mobilitou; vzhledem k tomu, že klíčovou úlohu může hrát v této souvislosti globální nástroj EU pro diasporu;</w:t>
      </w:r>
    </w:p>
    <w:p w:rsidR="00F7251F" w:rsidRPr="00EC7404" w:rsidP="00EC7404" w14:paraId="3B369292" w14:textId="77777777">
      <w:pPr>
        <w:pStyle w:val="NormalHanging"/>
      </w:pPr>
      <w:r w:rsidRPr="00EC7404">
        <w:t>AL.</w:t>
      </w:r>
      <w:r w:rsidRPr="00EC7404">
        <w:tab/>
        <w:t>vzhledem k tomu, že odliv mozků může být pro třetí země problematický, pokud jde o dosahování jejich politických cílů týkajících se rozvoje i migrace;</w:t>
      </w:r>
    </w:p>
    <w:p w:rsidR="00F7251F" w:rsidRPr="00EC7404" w:rsidP="00EC7404" w14:paraId="37A1CD33" w14:textId="77777777">
      <w:pPr>
        <w:pStyle w:val="Normal12a"/>
        <w:ind w:left="566" w:hanging="566"/>
      </w:pPr>
      <w:r w:rsidRPr="00EC7404">
        <w:rPr>
          <w:b/>
          <w:i/>
        </w:rPr>
        <w:t>Vzájemné vazby mezi migrací a rozvojovou spoluprací</w:t>
      </w:r>
    </w:p>
    <w:p w:rsidR="00F7251F" w:rsidRPr="00EC7404" w:rsidP="00EC7404" w14:paraId="5549E60F" w14:textId="77777777">
      <w:pPr>
        <w:pStyle w:val="NormalHanging12a"/>
      </w:pPr>
      <w:r w:rsidRPr="00EC7404">
        <w:t>1.</w:t>
      </w:r>
      <w:r w:rsidRPr="00EC7404">
        <w:tab/>
        <w:t>zdůrazňuje, že migrace a rozvojová spolupráce jsou vzájemně propojené, a vyzývá Komisi a členské státy, aby se ve svých migračních politikách i nadále zasazovaly o soudržnost politik ve prospěch rozvoje při plném dodržování lidských práv a Agendy OSN 2030;</w:t>
      </w:r>
    </w:p>
    <w:p w:rsidR="00F7251F" w:rsidRPr="00EC7404" w:rsidP="00EC7404" w14:paraId="0F0BA0B3" w14:textId="77777777">
      <w:pPr>
        <w:pStyle w:val="NormalHanging12a"/>
      </w:pPr>
      <w:r w:rsidRPr="00EC7404">
        <w:t>2.</w:t>
      </w:r>
      <w:r w:rsidRPr="00EC7404">
        <w:tab/>
        <w:t>zdůrazňuje, že rozvojová spolupráce a zahraniční a bezpečnostní politika EU musí být vždy rozvíjeny a prováděny plně soudržným způsobem s pragmatickým a vzájemně prospěšným přístupem zaměřeným na výsledky, jehož cílem je zajistit stabilitu a hospodářské příležitosti v partnerských zemích, včetně zemí původu a tranzitu migračních toků;</w:t>
      </w:r>
    </w:p>
    <w:p w:rsidR="00F7251F" w:rsidRPr="00EC7404" w:rsidP="00EC7404" w14:paraId="4C209EEF" w14:textId="77777777">
      <w:pPr>
        <w:pStyle w:val="NormalHanging12a"/>
      </w:pPr>
      <w:r w:rsidRPr="00EC7404">
        <w:t>3.</w:t>
      </w:r>
      <w:r w:rsidRPr="00EC7404">
        <w:tab/>
        <w:t>zdůrazňuje, že rozvojová spolupráce by měla mimo jiné upřednostňovat vymýcení chudoby, snižování nerovností a udržitelný rozvoj v souladu s cíli udržitelného rozvoje, předcházení konfliktům a budování míru prostřednictvím posílení hospodářského postavení, reforem správy věcí veřejných a prosazování lidských práv v partnerských zemích a zároveň i dlouhodobé investice založené na rozvojových prioritách a potřebách partnerských zemí, a to i při řešení základních příčin nelegální migrace a nuceného vysídlování;</w:t>
      </w:r>
    </w:p>
    <w:p w:rsidR="00F7251F" w:rsidRPr="00EC7404" w:rsidP="00EC7404" w14:paraId="1A7E219A" w14:textId="77777777">
      <w:pPr>
        <w:pStyle w:val="NormalHanging12a"/>
      </w:pPr>
      <w:r w:rsidRPr="00EC7404">
        <w:t>4.</w:t>
      </w:r>
      <w:r w:rsidRPr="00EC7404">
        <w:tab/>
        <w:t xml:space="preserve">připomíná, že ženy a dívky jsou často neúměrně postiženy krizemi a chudobou; vyzývá proto Komisi, aby v rozvojových programech uplatňovala přístup založený na lidských právech, zohledňující rovnost žen a mužů a zranitelnost, přičemž zdůrazňuje, že je důležité identifikovat rizika v oblasti lidských práv, přijmout zmírňující opatření a zajistit, aby byl zvláštní důraz kladen na všechny osoby ve zranitelném postavení – včetně osob se zdravotním postižením, starších osob, </w:t>
      </w:r>
      <w:r w:rsidRPr="00EC7404">
        <w:t>marginalizovaných</w:t>
      </w:r>
      <w:r w:rsidRPr="00EC7404">
        <w:t xml:space="preserve"> komunit a žen, dívek a mladých lidí –, zejména vzhledem k tomu, že úloha žen v nestabilních situacích a při budování míru, předcházení konfliktům a udržitelném rozvoji má zásadní význam, neboť často působí v první linii a mohou být zásadními katalyzátory změn, odolnosti a obnovy; zdůrazňuje, že inkluzivní účast žen účast na rozhodování, mediaci, opatřeních v oblasti klimatu a rozvoji komunit vede k účinnějším a udržitelnějším výsledkům;</w:t>
      </w:r>
    </w:p>
    <w:p w:rsidR="00F7251F" w:rsidRPr="00EC7404" w:rsidP="00EC7404" w14:paraId="73DBBE33" w14:textId="77777777">
      <w:pPr>
        <w:pStyle w:val="NormalHanging12a"/>
      </w:pPr>
      <w:r w:rsidRPr="00EC7404">
        <w:t>5.</w:t>
      </w:r>
      <w:r w:rsidRPr="00EC7404">
        <w:tab/>
        <w:t>poukazuje na význam přístupu „Tým Evropa“, který zajišťuje soudržnost mezi orgány EU a členskými státy, jež se zabývají vnějším rozměrem migrace; zdůrazňuje, že Tým Evropa by měl koordinovat politické, diplomatické, finanční a technické úsilí o rozvoj a prohloubení komplexních partnerství, která podporují partnerské země při bezpečném, řádném, legálním a odpovědném řízení migrace, a to uplatňováním účinného přístupu založeného na lidských právech a zaměřeného na člověka, který se rovněž zabývá potřebami uprchlíků a vnitřně vysídlených osob;</w:t>
      </w:r>
    </w:p>
    <w:p w:rsidR="00F7251F" w:rsidRPr="00EC7404" w:rsidP="00EC7404" w14:paraId="501C9FA4" w14:textId="77777777">
      <w:pPr>
        <w:pStyle w:val="NormalHanging12a"/>
      </w:pPr>
      <w:r w:rsidRPr="00EC7404">
        <w:t>6.</w:t>
      </w:r>
      <w:r w:rsidRPr="00EC7404">
        <w:tab/>
        <w:t>zdůrazňuje, že v zájmu předcházení korupci a zabránění špatnému řízení by Komise měla zajistit, aby byly zavedeny jasné mechanismy monitorování a hodnocení s cílem zajistit skutečnou odpovědnost a transparentnost při plnění rozpočtu EU, a to i při řešení vazby mezi rozvojem a základními příčinami migrace;</w:t>
      </w:r>
    </w:p>
    <w:p w:rsidR="00F7251F" w:rsidRPr="00EC7404" w:rsidP="00EC7404" w14:paraId="75252CD1" w14:textId="77777777">
      <w:pPr>
        <w:pStyle w:val="NormalHanging12a"/>
      </w:pPr>
      <w:r w:rsidRPr="00EC7404">
        <w:t>7.</w:t>
      </w:r>
      <w:r w:rsidRPr="00EC7404">
        <w:tab/>
        <w:t xml:space="preserve">vyzývá Komisi a členské státy, aby posílily politický dialog s třetími zeměmi, posílily a rozvíjely komplexní a vzájemně prospěšné přístupy k jednotlivým zemím, které </w:t>
      </w:r>
      <w:r w:rsidRPr="00EC7404">
        <w:t>zohlední specifické podmínky a rozvojové a migrační potřeby zemí původu a tranzitu, zejména pokud jde o lidský rozvoj, důstojnou práci, sociální začlenění a ochranu migrantů, uprchlíků a vnitřně vysídlených osob; zdůrazňuje, že by tato spolupráce měla být založena na solidaritě, sdílené odpovědnosti a dodržování lidských práv;</w:t>
      </w:r>
    </w:p>
    <w:p w:rsidR="00F7251F" w:rsidRPr="00EC7404" w:rsidP="00EC7404" w14:paraId="2E3550C1" w14:textId="77777777">
      <w:pPr>
        <w:pStyle w:val="NormalHanging12a"/>
      </w:pPr>
      <w:r w:rsidRPr="00EC7404">
        <w:t>8.</w:t>
      </w:r>
      <w:r w:rsidRPr="00EC7404">
        <w:tab/>
        <w:t>zdůrazňuje, že je třeba jasně pochopit sídla migrantů a jejich místní dopady; vyzývá Komisi a členské státy, aby vypracovaly strategii zdůrazňující potřebu místní perspektivy, posílily místní odpovědnost a vycházely ze stávajících regionálních priorit, zejména podporou vnitrokontinentálních migračních systémů;</w:t>
      </w:r>
    </w:p>
    <w:p w:rsidR="00F7251F" w:rsidRPr="00EC7404" w:rsidP="00EC7404" w14:paraId="4E67B548" w14:textId="77777777">
      <w:pPr>
        <w:pStyle w:val="NormalHanging12a"/>
      </w:pPr>
      <w:r w:rsidRPr="00EC7404">
        <w:t>9.</w:t>
      </w:r>
      <w:r w:rsidRPr="00EC7404">
        <w:tab/>
        <w:t>vyzývá Komisi, aby upřednostňovala křehké zeměpisné souvislosti tím, že zohlední také údaje týkající se migrace a informace založené na výzkumu s cílem lépe určit potřeby partnerských zemí a zaměřit jejich priority, včetně priority týkající se nelegální migrace a nuceného vysídlování;</w:t>
      </w:r>
    </w:p>
    <w:p w:rsidR="00F7251F" w:rsidRPr="00EC7404" w:rsidP="00EC7404" w14:paraId="7BA27BB2" w14:textId="77777777">
      <w:pPr>
        <w:pStyle w:val="NormalHanging12a"/>
      </w:pPr>
      <w:r w:rsidRPr="00EC7404">
        <w:t>10.</w:t>
      </w:r>
      <w:r w:rsidRPr="00EC7404">
        <w:tab/>
        <w:t>zdůrazňuje, že strategie Global Gateway může hrát klíčovou úlohu při podpoře udržitelného hospodářského rozvoje a vytváření pracovních míst v partnerských zemích, a tím posílit postavení místních komunit a umožnit jednotlivcům aktivně přispívat k rozvoji jejich zemí původu i hostitelských komunit, a řešit tak základní příčiny nelegální migrace;</w:t>
      </w:r>
    </w:p>
    <w:p w:rsidR="00F7251F" w:rsidRPr="00EC7404" w:rsidP="00EC7404" w14:paraId="23705520" w14:textId="77777777">
      <w:pPr>
        <w:pStyle w:val="NormalHanging12a"/>
      </w:pPr>
      <w:r w:rsidRPr="00EC7404">
        <w:t>11.</w:t>
      </w:r>
      <w:r w:rsidRPr="00EC7404">
        <w:tab/>
        <w:t>zdůrazňuje, že je třeba zajistit větší zapojení soukromého sektoru, diverzifikovat a zavést legální cesty, uznávat dovednosti, zapojit rozvojové banky EU a rozvíjet inovativní přístupy ke kombinování finančních prostředků v rámci Týmu Evropa a zároveň přispívat ke strategii Global Gateway; vybízí k účasti evropského soukromého sektoru na rozvojových projektech v partnerských zemích, čímž se zajistí podpora bezpečného a transparentního investičního rámce, který usnadní zapojení malých a středních podniků a vytváření místních výrobních řetězců;</w:t>
      </w:r>
    </w:p>
    <w:p w:rsidR="00F7251F" w:rsidRPr="00EC7404" w:rsidP="00EC7404" w14:paraId="277E7109" w14:textId="77777777">
      <w:pPr>
        <w:pStyle w:val="NormalHanging12a"/>
      </w:pPr>
      <w:r w:rsidRPr="00EC7404">
        <w:t>12.</w:t>
      </w:r>
      <w:r w:rsidRPr="00EC7404">
        <w:tab/>
        <w:t>zdůrazňuje, že k faktorům, které stojí za migračními toky, včetně nuceného vysídlování, patří nedostatek vody, zhoršování životního prostředí a degradace půdy, odlesňování a další katastrofy související s klimatem; zdůrazňuje, že osoby vysídlené v důsledku zhoršování životního prostředí a katastrof způsobených změnou klimatu potřebují odpovídající podporu; vyzývá Komisi a členské státy, aby v rámci rozvojových programů upřednostňovaly investice do udržitelného hospodaření s přírodními zdroji, včetně ochrany vody a půdy, opětovného zalesňování, zemědělství odolného vůči změně klimatu a energie z obnovitelných zdrojů, s cílem posílit sociální soudržnost a odolnost komunit, zabránit napětí ohledně přírodních zdrojů a dát lidem více příležitostí budovat udržitelný život ve svých zemích původu;</w:t>
      </w:r>
    </w:p>
    <w:p w:rsidR="00F7251F" w:rsidRPr="00EC7404" w:rsidP="00EC7404" w14:paraId="38C339E4" w14:textId="77777777">
      <w:pPr>
        <w:pStyle w:val="NormalHanging12a"/>
      </w:pPr>
      <w:r w:rsidRPr="00EC7404">
        <w:t>13.</w:t>
      </w:r>
      <w:r w:rsidRPr="00EC7404">
        <w:tab/>
        <w:t>zdůrazňuje, že EU musí uplatňovat celostní přístup a zaměřit se na místní úroveň s cílem poskytovat rozvojovou pomoc, která bude přispívat ke strukturálnímu rozvoji prostřednictvím podpory demokracie, právního státu, řádu založeného na pravidlech a institucí, aby byl zajištěn udržitelný dopad;</w:t>
      </w:r>
    </w:p>
    <w:p w:rsidR="00F7251F" w:rsidRPr="00EC7404" w:rsidP="00EC7404" w14:paraId="3490AE94" w14:textId="77777777">
      <w:pPr>
        <w:pStyle w:val="NormalHanging12a"/>
      </w:pPr>
      <w:r w:rsidRPr="00EC7404">
        <w:t>14.</w:t>
      </w:r>
      <w:r w:rsidRPr="00EC7404">
        <w:tab/>
        <w:t>poukazuje na význam provádění rozvojových programů v úzké spolupráci s místními orgány, občanskou společností a soukromým sektorem;</w:t>
      </w:r>
    </w:p>
    <w:p w:rsidR="00F7251F" w:rsidRPr="00EC7404" w:rsidP="00EC7404" w14:paraId="2D8639EF" w14:textId="77777777">
      <w:pPr>
        <w:pStyle w:val="NormalHanging12a"/>
      </w:pPr>
      <w:r w:rsidRPr="00EC7404">
        <w:t>15.</w:t>
      </w:r>
      <w:r w:rsidRPr="00EC7404">
        <w:tab/>
        <w:t xml:space="preserve">zdůrazňuje, že je třeba bojovat proti převaděčství a obchodování s lidmi prostřednictvím posílené mezinárodní a mnohostranné spolupráce s partnerskými zeměmi, případně i s místními orgány, bezpečnostními silami a organizacemi občanské společnosti, v oblasti </w:t>
      </w:r>
      <w:r w:rsidRPr="00EC7404">
        <w:t>prevence trestné činnosti, ochrany obětí, posíleného prosazování práva, veřejných osvětových kampaní zaměřených na boj proti dezinformacím, stíhání pachatelů a předcházení vykořisťování migrantů zločineckými sítěmi a převaděči migrantů, ale i tím, že budou vytvořeny bezpečnější alternativy vytvořením legálních kanálů pro bezpečnou a legální migraci a mobilitu pracovních sil; zdůrazňuje, že přísná ochrana hranic bez alternativních legálních cest pro migraci vede k tomu, že se migrační trasy změní a že cesta bude zahrnovat jiné kroky a nové tranzitní země, čímž se zvyšuje nejistota cesty a riziko toho, že se migranti stanou oběťmi převaděčských sítí, vydírání a násilí;</w:t>
      </w:r>
    </w:p>
    <w:p w:rsidR="00F7251F" w:rsidRPr="00EC7404" w:rsidP="00EC7404" w14:paraId="11695B52" w14:textId="77777777">
      <w:pPr>
        <w:pStyle w:val="NormalHanging12a"/>
      </w:pPr>
      <w:r w:rsidRPr="00EC7404">
        <w:t>16.</w:t>
      </w:r>
      <w:r w:rsidRPr="00EC7404">
        <w:tab/>
        <w:t>vyzývá Komisi a členské státy, aby podporovaly spolupráci s partnerskými zeměmi v oblasti migrace;</w:t>
      </w:r>
    </w:p>
    <w:p w:rsidR="00F7251F" w:rsidRPr="00EC7404" w:rsidP="00EC7404" w14:paraId="11E115EF" w14:textId="77777777">
      <w:pPr>
        <w:pStyle w:val="NormalHanging12a"/>
      </w:pPr>
      <w:r w:rsidRPr="00EC7404">
        <w:t>17.</w:t>
      </w:r>
      <w:r w:rsidRPr="00EC7404">
        <w:tab/>
        <w:t>připomíná, že humanitární pomoc by měla být vždy poskytována v souladu s humanitárními zásadami;</w:t>
      </w:r>
    </w:p>
    <w:p w:rsidR="00F7251F" w:rsidP="00EC7404" w14:paraId="03132DB2" w14:textId="77777777">
      <w:pPr>
        <w:pStyle w:val="NormalHanging12a"/>
      </w:pPr>
      <w:r w:rsidRPr="00EC7404">
        <w:t>18.</w:t>
      </w:r>
      <w:r w:rsidRPr="00EC7404">
        <w:tab/>
        <w:t>vyzývá Komisi, aby dále podporovala země původu a sousední hostitelské země při řešení zvýšených mezikontinentálních migračních toků;</w:t>
      </w:r>
    </w:p>
    <w:p w:rsidR="0020285E" w:rsidRPr="00EC7404" w:rsidP="00EC7404" w14:paraId="12F97750" w14:textId="37560206">
      <w:pPr>
        <w:pStyle w:val="NormalHanging12a"/>
      </w:pPr>
      <w:r w:rsidRPr="0020285E">
        <w:t>1</w:t>
      </w:r>
      <w:r w:rsidR="00663D53">
        <w:t>9</w:t>
      </w:r>
      <w:r w:rsidRPr="0020285E">
        <w:t>.</w:t>
      </w:r>
      <w:r w:rsidRPr="0020285E">
        <w:tab/>
        <w:t>vyzývá Komisi a členské státy, aby posílily svou schopnost předcházet účelovému využívání migrantů a reagovat na něj; zdůrazňuje, že je třeba posílit spolupráci s</w:t>
      </w:r>
      <w:r w:rsidRPr="00EC7404">
        <w:t> </w:t>
      </w:r>
      <w:r w:rsidRPr="0020285E">
        <w:t>partnerskými zeměmi a příslušnými agenturami s cílem odhalovat tyto akce, předcházet jim a bojovat proti nim;</w:t>
      </w:r>
    </w:p>
    <w:p w:rsidR="00F7251F" w:rsidRPr="00EC7404" w:rsidP="00EC7404" w14:paraId="11CCBE2A" w14:textId="5F87FEBC">
      <w:pPr>
        <w:pStyle w:val="NormalHanging12a"/>
      </w:pPr>
      <w:r>
        <w:t>20</w:t>
      </w:r>
      <w:r w:rsidRPr="00EC7404">
        <w:t>.</w:t>
      </w:r>
      <w:r w:rsidRPr="00EC7404">
        <w:tab/>
        <w:t>zdůrazňuje, že veřejné financování rozvoje má pro partnerské země zásadní význam a že soukromé investice mohou přispět k dosažení cílů rozvojové politiky EU, konstatuje, že investiční záruky od EU povzbuzují společnosti k investicím za předpokladu, že je prováděna důkladná náležitá péče s cílem zajistit dodržování sociálních, environmentálních a správních norem, jakož i soulad s cíli udržitelného rozvoje; připomíná, že dosažení cílů udržitelného rozvoje má zásadní význam pro zlepšení životních podmínek ve třetích zemích;</w:t>
      </w:r>
    </w:p>
    <w:p w:rsidR="00F7251F" w:rsidRPr="00EC7404" w:rsidP="00EC7404" w14:paraId="76A80316" w14:textId="7F445ECA">
      <w:pPr>
        <w:pStyle w:val="NormalHanging12a"/>
      </w:pPr>
      <w:r w:rsidRPr="00EC7404">
        <w:t>2</w:t>
      </w:r>
      <w:r w:rsidR="00663D53">
        <w:t>1</w:t>
      </w:r>
      <w:r w:rsidRPr="00EC7404">
        <w:t>.</w:t>
      </w:r>
      <w:r w:rsidRPr="00EC7404">
        <w:tab/>
        <w:t>vyzývá k tomu, aby se finanční nástroje EU a Evropský fond pro udržitelný rozvoj plus a Evropská investiční banka zaměřily na vytváření místní hospodářské návratnosti s cílem posílit hospodářskou autonomii a dlouhodobou udržitelnost;</w:t>
      </w:r>
    </w:p>
    <w:p w:rsidR="00F7251F" w:rsidRPr="00EC7404" w:rsidP="00EC7404" w14:paraId="268B4BD2" w14:textId="7CF56C2E">
      <w:pPr>
        <w:pStyle w:val="NormalHanging12a"/>
      </w:pPr>
      <w:r w:rsidRPr="00EC7404">
        <w:t>2</w:t>
      </w:r>
      <w:r w:rsidR="00663D53">
        <w:t>2</w:t>
      </w:r>
      <w:r w:rsidRPr="00EC7404">
        <w:t>.</w:t>
      </w:r>
      <w:r w:rsidRPr="00EC7404">
        <w:tab/>
        <w:t>připomíná, že oficiální rozvojová pomoc je i nadále klíčovým nástrojem pro snižování chudoby, řešení nerovností a podporu nejzranitelnějších komunit; ostře kritizuje drastické škrty v oficiální rozvojové pomoci, které provedli přední světoví dárci; vyzývá EU a její členské státy, aby dostály svému závazku vydávat na oficiální rozvojovou pomoc 0,7 % svého hrubého národního důchodu;</w:t>
      </w:r>
    </w:p>
    <w:p w:rsidR="00F7251F" w:rsidRPr="00EC7404" w:rsidP="00EC7404" w14:paraId="48E86F43" w14:textId="6E442A34">
      <w:pPr>
        <w:pStyle w:val="NormalHanging12a"/>
      </w:pPr>
      <w:r w:rsidRPr="00EC7404">
        <w:t>2</w:t>
      </w:r>
      <w:r w:rsidR="00663D53">
        <w:t>3</w:t>
      </w:r>
      <w:r w:rsidRPr="00EC7404">
        <w:t>.</w:t>
      </w:r>
      <w:r w:rsidRPr="00EC7404">
        <w:tab/>
        <w:t>vyzývá Komisi, aby zajistila větší odpovědnost, transparentnost a parlamentní dohled při navrhování a provádění veškerého financování EU, včetně připravovaného nástroje Globální Evropa, který musí upřednostňovat provádění cílů udržitelného rozvoje, a to i s ohledem na řešení problémů nelegální migrace;</w:t>
      </w:r>
    </w:p>
    <w:p w:rsidR="00F7251F" w:rsidRPr="00EC7404" w:rsidP="00EC7404" w14:paraId="18012B1E" w14:textId="4813F2B8">
      <w:pPr>
        <w:pStyle w:val="NormalHanging12a"/>
      </w:pPr>
      <w:r w:rsidRPr="00EC7404">
        <w:t>2</w:t>
      </w:r>
      <w:r w:rsidR="00663D53">
        <w:t>4</w:t>
      </w:r>
      <w:r w:rsidRPr="00EC7404">
        <w:t>.</w:t>
      </w:r>
      <w:r w:rsidRPr="00EC7404">
        <w:tab/>
        <w:t xml:space="preserve">zdůrazňuje, že rozvoj zemědělství a venkova může spolu s politikou v oblasti potravin a výživy přispět k řešení některých základních příčin migrace; připomíná, že přístup k půdě a přírodním zdrojům má zásadní význam pro zajištění potravin a výživy místních komunit, pro zlepšení produktivity drobných zemědělců a zároveň pro přizpůsobení </w:t>
      </w:r>
      <w:r w:rsidRPr="00EC7404">
        <w:t>produkce změně klimatu a pro podporu provádění dobrovolných pokynů Organizace OSN pro výživu a zemědělství týkajících se půdy, které upřednostňují práva a potřeby legitimních držitelů pozemkových práv, zejména žen;</w:t>
      </w:r>
    </w:p>
    <w:p w:rsidR="00F7251F" w:rsidRPr="00EC7404" w:rsidP="00EC7404" w14:paraId="7FDFE633" w14:textId="405350FD">
      <w:pPr>
        <w:pStyle w:val="NormalHanging12a"/>
      </w:pPr>
      <w:r w:rsidRPr="00EC7404">
        <w:t>2</w:t>
      </w:r>
      <w:r w:rsidR="00663D53">
        <w:t>5</w:t>
      </w:r>
      <w:r w:rsidRPr="00EC7404">
        <w:t>.</w:t>
      </w:r>
      <w:r w:rsidRPr="00EC7404">
        <w:tab/>
        <w:t>vyzývá Komisi, aby v rámci své rozvojové strategie zvýšila podporu pro vysokoškolské instituce a technické a odborné vzdělávání a přípravu v partnerských zemích jako prostředek k řešení základních příčin migrace; zdůrazňuje, že je důležité posílit lidský rozvoj prostřednictvím investic do dovedností na místní úrovni; vyzývá Komisi, aby partnerským zemím v tomto ohledu pomáhala při budování kapacit; dále vyzývá k větší podpoře iniciativ vedených mladými lidmi s cílem posílit dovednosti, inovace a výměnu a využít migraci jako hnací sílu udržitelného rozvoje;</w:t>
      </w:r>
    </w:p>
    <w:p w:rsidR="00F7251F" w:rsidRPr="00EC7404" w:rsidP="00EC7404" w14:paraId="4B8F3D98" w14:textId="5756D313">
      <w:pPr>
        <w:pStyle w:val="NormalHanging12a"/>
      </w:pPr>
      <w:r w:rsidRPr="00EC7404">
        <w:t>2</w:t>
      </w:r>
      <w:r w:rsidR="00663D53">
        <w:t>6</w:t>
      </w:r>
      <w:r w:rsidRPr="00EC7404">
        <w:t>.</w:t>
      </w:r>
      <w:r w:rsidRPr="00EC7404">
        <w:tab/>
        <w:t>vyzývá Komisi, aby dále prozkoumala partnerství EU s více třetími zeměmi, zejména se zeměmi s vysokou mírou emigrace;</w:t>
      </w:r>
    </w:p>
    <w:p w:rsidR="00F7251F" w:rsidRPr="00EC7404" w:rsidP="00EC7404" w14:paraId="513ACEDA" w14:textId="38EC5F96">
      <w:pPr>
        <w:pStyle w:val="NormalHanging12a"/>
      </w:pPr>
      <w:r w:rsidRPr="00EC7404">
        <w:t>2</w:t>
      </w:r>
      <w:r w:rsidR="00663D53">
        <w:t>7</w:t>
      </w:r>
      <w:r w:rsidRPr="00EC7404">
        <w:t>.</w:t>
      </w:r>
      <w:r w:rsidRPr="00EC7404">
        <w:tab/>
        <w:t>zdůrazňuje, že posílení hospodářského postavení a vytváření důstojných pracovních míst jsou základními nástroji pro snižování nerovností a že zlepšují životní podmínky v zemích původu, a omezují tak důvody nelegální migrace; vyzývá k tomu, aby finanční prostředky EU podporovaly také místní podnikání a veřejnou infrastrukturu;</w:t>
      </w:r>
    </w:p>
    <w:p w:rsidR="00F7251F" w:rsidRPr="00EC7404" w:rsidP="00EC7404" w14:paraId="581E6AD8" w14:textId="5F1BD59B">
      <w:pPr>
        <w:pStyle w:val="NormalHanging12a"/>
      </w:pPr>
      <w:r w:rsidRPr="00EC7404">
        <w:t>2</w:t>
      </w:r>
      <w:r w:rsidR="00663D53">
        <w:t>8</w:t>
      </w:r>
      <w:r w:rsidRPr="00EC7404">
        <w:t>.</w:t>
      </w:r>
      <w:r w:rsidRPr="00EC7404">
        <w:tab/>
        <w:t>zdůrazňuje, že mladí lidé musí být ústředním prvkem partnerství a mají zásadní význam pro udržitelný rozvoj; zdůrazňuje, že je důležité podporovat výměnné programy, jako je Erasmus+, a další programy mobility a dovedností mládeže, s cílem poskytnout příležitosti v oblasti vzdělávání a pracovní příležitosti a dát mladým lidem možnost prosperovat ve svých zemích původu;</w:t>
      </w:r>
    </w:p>
    <w:p w:rsidR="00F7251F" w:rsidRPr="00EC7404" w:rsidP="00EC7404" w14:paraId="21F5BEA8" w14:textId="49DE8C86">
      <w:pPr>
        <w:pStyle w:val="NormalHanging12a"/>
      </w:pPr>
      <w:r w:rsidRPr="00EC7404">
        <w:t>2</w:t>
      </w:r>
      <w:r w:rsidR="00663D53">
        <w:t>9</w:t>
      </w:r>
      <w:r w:rsidRPr="00EC7404">
        <w:t>.</w:t>
      </w:r>
      <w:r w:rsidRPr="00EC7404">
        <w:tab/>
        <w:t>vyzývá Komisi, aby mezi své priority spolupráce zařadila zemědělství a vodohospodářství a podporovala projekty, které zlepšují soběstačnost a snižují migrační tlak;</w:t>
      </w:r>
    </w:p>
    <w:p w:rsidR="00F7251F" w:rsidRPr="00EC7404" w:rsidP="00EC7404" w14:paraId="6B9FF2DE" w14:textId="79C1DC20">
      <w:pPr>
        <w:pStyle w:val="NormalHanging12a"/>
      </w:pPr>
      <w:r>
        <w:t>30</w:t>
      </w:r>
      <w:r w:rsidRPr="00EC7404">
        <w:t>.</w:t>
      </w:r>
      <w:r w:rsidRPr="00EC7404">
        <w:tab/>
        <w:t>konstatuje, že migrace a odliv mozků mohou být problematické pro rozvoj partnerské země tím, že snižují kvalifikovanou pracovní sílu; připomíná, že rozvojová spolupráce může toto riziko zmírnit prostřednictvím komplexních strategií podporujících kvalitní systémy vzdělávání a odborné přípravy, posilujících místní pracovní příležitosti a podporujících předávání znalostí a dovedností; vyzývá proto Komisi, aby pokračovala ve své práci v této oblasti, včetně řešení problému odlivu mozků, prostřednictvím rámce a financování rozvojové politiky;</w:t>
      </w:r>
    </w:p>
    <w:p w:rsidR="00F7251F" w:rsidRPr="00EC7404" w:rsidP="00EC7404" w14:paraId="7235258F" w14:textId="1D26A399">
      <w:pPr>
        <w:pStyle w:val="NormalHanging12a"/>
      </w:pPr>
      <w:r w:rsidRPr="00EC7404">
        <w:t>3</w:t>
      </w:r>
      <w:r w:rsidR="00663D53">
        <w:t>1</w:t>
      </w:r>
      <w:r w:rsidRPr="00EC7404">
        <w:t>.</w:t>
      </w:r>
      <w:r w:rsidRPr="00EC7404">
        <w:tab/>
        <w:t>je si vědom toho, že diaspory hrají klíčovou úlohu při podpoře udržitelného rozvoje, investic a inovací ve svých zemích původu; zdůrazňuje, že posílení postavení sítí diaspor přináší oboustranné výhody jak partnerským zemím, tak EU; vyzývá EU a její členské státy, aby posílily spolupráci s organizacemi diaspor a vypracovaly inkluzivní programy, které přispějí k vzájemně prospěšným formám cirkulační migrace;</w:t>
      </w:r>
    </w:p>
    <w:p w:rsidR="00F7251F" w:rsidRPr="00EC7404" w:rsidP="00EC7404" w14:paraId="7BEEC2FA" w14:textId="6E5EF4AE">
      <w:pPr>
        <w:pStyle w:val="NormalHanging12a"/>
      </w:pPr>
      <w:r w:rsidRPr="00EC7404">
        <w:t>3</w:t>
      </w:r>
      <w:r w:rsidR="00663D53">
        <w:t>2</w:t>
      </w:r>
      <w:r w:rsidRPr="00EC7404">
        <w:t>.</w:t>
      </w:r>
      <w:r w:rsidRPr="00EC7404">
        <w:tab/>
        <w:t>vyzývá Komisi a členské státy, aby investovaly do osvětových kampaní v EU i ve třetích zemích s cílem bojovat proti dezinformacím a šířit informace o rizicích nelegální migrace a podporovat pochopení pravidel EU týkajících se povinností v oblasti migrace pracovních sil;</w:t>
      </w:r>
    </w:p>
    <w:p w:rsidR="00F7251F" w:rsidRPr="00EC7404" w:rsidP="00EC7404" w14:paraId="11BADD8B" w14:textId="4BDD97B8">
      <w:pPr>
        <w:pStyle w:val="NormalHanging12a"/>
      </w:pPr>
      <w:r w:rsidRPr="00EC7404">
        <w:t>3</w:t>
      </w:r>
      <w:r w:rsidR="00663D53">
        <w:t>3</w:t>
      </w:r>
      <w:r w:rsidRPr="00EC7404">
        <w:t>.</w:t>
      </w:r>
      <w:r w:rsidRPr="00EC7404">
        <w:tab/>
        <w:t>vyzývá Komisi a členské státy, aby navýšily finanční prostředky na zlepšení právního státu, podporu demokracie, budování státu a kapacit a veřejné služby, včetně zdravotnictví, přístupu k čisté vodě a vzdělávání;</w:t>
      </w:r>
    </w:p>
    <w:p w:rsidR="00F7251F" w:rsidRPr="00EC7404" w:rsidP="00EC7404" w14:paraId="48D1E68D" w14:textId="0F1245E3">
      <w:pPr>
        <w:pStyle w:val="NormalHanging12a"/>
      </w:pPr>
      <w:r w:rsidRPr="00EC7404">
        <w:t>3</w:t>
      </w:r>
      <w:r w:rsidR="00663D53">
        <w:t>4</w:t>
      </w:r>
      <w:r w:rsidRPr="00EC7404">
        <w:t>.</w:t>
      </w:r>
      <w:r w:rsidRPr="00EC7404">
        <w:tab/>
        <w:t>znovu potvrzuje, že celostní přístup, který kombinuje rozvojovou spolupráci a řízení migrace, má zásadní význam pro účinné zajištění bezpečnosti a solidarity jak v rámci EU, tak v zemích původu;</w:t>
      </w:r>
    </w:p>
    <w:p w:rsidR="00F7251F" w:rsidRPr="00EC7404" w:rsidP="00EC7404" w14:paraId="37868CE2" w14:textId="4B0FD959">
      <w:pPr>
        <w:pStyle w:val="NormalHanging12a"/>
      </w:pPr>
      <w:r w:rsidRPr="00EC7404">
        <w:t>3</w:t>
      </w:r>
      <w:r w:rsidR="00663D53">
        <w:t>5</w:t>
      </w:r>
      <w:r w:rsidRPr="00EC7404">
        <w:t>.</w:t>
      </w:r>
      <w:r w:rsidRPr="00EC7404">
        <w:tab/>
        <w:t>vítá zásadní práci humanitárních, rozvojových a mírových aktérů, zejména organizací OSN, dalších mezinárodních organizací a místních aktérů, včetně místních orgánů, organizací občanské společnosti, obránců lidských práv, ženských organizací, mládežnických organizací a nevládních organizací a náboženských komunit a organizací;</w:t>
      </w:r>
    </w:p>
    <w:p w:rsidR="00EC7404" w:rsidRPr="00EC7404" w:rsidP="004B32C9" w14:paraId="3A0991D0" w14:textId="77777777">
      <w:pPr>
        <w:pStyle w:val="NormalCenter12a"/>
        <w:ind w:left="566" w:hanging="566"/>
      </w:pPr>
      <w:r w:rsidRPr="00EC7404">
        <w:t>°</w:t>
      </w:r>
    </w:p>
    <w:p w:rsidR="00EC7404" w:rsidRPr="00EC7404" w:rsidP="004B32C9" w14:paraId="4CB9C32B" w14:textId="77777777">
      <w:pPr>
        <w:pStyle w:val="NormalCenter12a"/>
        <w:ind w:left="566" w:hanging="566"/>
      </w:pPr>
      <w:r w:rsidRPr="00EC7404">
        <w:t>°     °</w:t>
      </w:r>
    </w:p>
    <w:p w:rsidR="0063111B" w:rsidRPr="00EC7404" w:rsidP="004B32C9" w14:paraId="67466340" w14:textId="3A121AE7">
      <w:pPr>
        <w:pStyle w:val="NormalCenter12a"/>
        <w:ind w:left="566" w:hanging="566"/>
        <w:jc w:val="both"/>
      </w:pPr>
      <w:r w:rsidRPr="00EC7404">
        <w:t>3</w:t>
      </w:r>
      <w:r w:rsidR="00663D53">
        <w:t>6</w:t>
      </w:r>
      <w:r w:rsidRPr="00EC7404">
        <w:t>.</w:t>
      </w:r>
      <w:r w:rsidRPr="00EC7404">
        <w:tab/>
        <w:t>pověřuje svou předsedkyni, aby předala toto usnesení Radě, Komisi a Evropské službě pro vnější činnost.</w:t>
      </w:r>
    </w:p>
    <w:p w:rsidR="00E365E1" w:rsidRPr="00EC7404" w:rsidP="00EC7404" w14:paraId="59D8C2B0" w14:textId="00AEA11C">
      <w:pPr>
        <w:spacing w:after="240"/>
        <w:ind w:left="566" w:hanging="566"/>
        <w:rPr>
          <w:szCs w:val="24"/>
        </w:rPr>
      </w:pPr>
    </w:p>
    <w:sectPr w:rsidSect="006311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3111B" w14:paraId="04F5A7CC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3111B" w14:paraId="41586FC0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3111B" w14:paraId="2A7FEEE4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D81240" w:rsidRPr="0063111B" w14:paraId="7D0DE5F5" w14:textId="77777777">
      <w:r w:rsidRPr="0063111B">
        <w:separator/>
      </w:r>
    </w:p>
  </w:footnote>
  <w:footnote w:type="continuationSeparator" w:id="1">
    <w:p w:rsidR="00D81240" w:rsidRPr="0063111B" w14:paraId="2C225597" w14:textId="77777777">
      <w:r w:rsidRPr="0063111B">
        <w:continuationSeparator/>
      </w:r>
    </w:p>
  </w:footnote>
  <w:footnote w:id="2">
    <w:p w:rsidR="00F7251F" w:rsidRPr="0063111B" w:rsidP="0063111B" w14:paraId="36CFED0C" w14:textId="4B974231">
      <w:pPr>
        <w:pStyle w:val="FootnoteText"/>
        <w:ind w:left="567" w:hanging="567"/>
        <w:rPr>
          <w:sz w:val="24"/>
          <w:lang w:val="cs-CZ"/>
        </w:rPr>
      </w:pPr>
      <w:r w:rsidRPr="0063111B">
        <w:rPr>
          <w:rStyle w:val="FootnoteReference"/>
          <w:sz w:val="24"/>
          <w:lang w:val="cs-CZ"/>
        </w:rPr>
        <w:t>1</w:t>
      </w:r>
      <w:r w:rsidRPr="0063111B" w:rsidR="0063111B">
        <w:rPr>
          <w:sz w:val="24"/>
          <w:lang w:val="cs-CZ"/>
        </w:rPr>
        <w:t xml:space="preserve"> </w:t>
      </w:r>
      <w:r w:rsidRPr="0063111B" w:rsidR="0063111B">
        <w:rPr>
          <w:sz w:val="24"/>
          <w:lang w:val="cs-CZ"/>
        </w:rPr>
        <w:tab/>
      </w:r>
      <w:r w:rsidRPr="0063111B">
        <w:rPr>
          <w:sz w:val="24"/>
          <w:lang w:val="cs-CZ"/>
        </w:rPr>
        <w:t>Úř</w:t>
      </w:r>
      <w:r w:rsidRPr="0063111B">
        <w:rPr>
          <w:sz w:val="24"/>
          <w:lang w:val="cs-CZ"/>
        </w:rPr>
        <w:t xml:space="preserve">. </w:t>
      </w:r>
      <w:r w:rsidRPr="0063111B">
        <w:rPr>
          <w:sz w:val="24"/>
          <w:lang w:val="cs-CZ"/>
        </w:rPr>
        <w:t>věst</w:t>
      </w:r>
      <w:r w:rsidRPr="0063111B">
        <w:rPr>
          <w:sz w:val="24"/>
          <w:lang w:val="cs-CZ"/>
        </w:rPr>
        <w:t xml:space="preserve">. L 209, 14.6.2021, s. 1, ELI: </w:t>
      </w:r>
      <w:hyperlink r:id="rId1" w:tgtFrame="http://data.europa.eu/eli/reg/2021/947/oj" w:history="1">
        <w:r w:rsidRPr="0063111B">
          <w:rPr>
            <w:rStyle w:val="Hyperlink"/>
            <w:sz w:val="24"/>
            <w:lang w:val="cs-CZ"/>
          </w:rPr>
          <w:t>http://data.europa.eu/eli/reg/2021/947/oj</w:t>
        </w:r>
      </w:hyperlink>
      <w:r w:rsidRPr="0063111B">
        <w:rPr>
          <w:sz w:val="24"/>
          <w:lang w:val="cs-CZ"/>
        </w:rPr>
        <w:t>.</w:t>
      </w:r>
    </w:p>
  </w:footnote>
  <w:footnote w:id="3">
    <w:p w:rsidR="00F7251F" w:rsidRPr="0063111B" w:rsidP="0063111B" w14:paraId="61C5B2AF" w14:textId="03ACE387">
      <w:pPr>
        <w:pStyle w:val="FootnoteText"/>
        <w:ind w:left="567" w:hanging="567"/>
        <w:rPr>
          <w:sz w:val="24"/>
          <w:lang w:val="cs-CZ"/>
        </w:rPr>
      </w:pPr>
      <w:r w:rsidRPr="0063111B">
        <w:rPr>
          <w:rStyle w:val="FootnoteReference"/>
          <w:sz w:val="24"/>
          <w:lang w:val="cs-CZ"/>
        </w:rPr>
        <w:t>2</w:t>
      </w:r>
      <w:r w:rsidRPr="0063111B" w:rsidR="0063111B">
        <w:rPr>
          <w:sz w:val="24"/>
          <w:lang w:val="cs-CZ"/>
        </w:rPr>
        <w:t xml:space="preserve"> </w:t>
      </w:r>
      <w:r w:rsidRPr="0063111B" w:rsidR="0063111B">
        <w:rPr>
          <w:sz w:val="24"/>
          <w:lang w:val="cs-CZ"/>
        </w:rPr>
        <w:tab/>
      </w:r>
      <w:r w:rsidRPr="0063111B">
        <w:rPr>
          <w:sz w:val="24"/>
          <w:lang w:val="cs-CZ"/>
        </w:rPr>
        <w:t>Úř</w:t>
      </w:r>
      <w:r w:rsidRPr="0063111B">
        <w:rPr>
          <w:sz w:val="24"/>
          <w:lang w:val="cs-CZ"/>
        </w:rPr>
        <w:t xml:space="preserve">. </w:t>
      </w:r>
      <w:r w:rsidRPr="0063111B">
        <w:rPr>
          <w:sz w:val="24"/>
          <w:lang w:val="cs-CZ"/>
        </w:rPr>
        <w:t>věst</w:t>
      </w:r>
      <w:r w:rsidRPr="0063111B">
        <w:rPr>
          <w:sz w:val="24"/>
          <w:lang w:val="cs-CZ"/>
        </w:rPr>
        <w:t xml:space="preserve">. L, 2024/1351, 22.5.2024, ELI: </w:t>
      </w:r>
      <w:hyperlink r:id="rId2" w:tgtFrame="http://data.europa.eu/eli/reg/2024/1351/oj" w:history="1">
        <w:r w:rsidRPr="0063111B">
          <w:rPr>
            <w:rStyle w:val="Hyperlink"/>
            <w:sz w:val="24"/>
            <w:lang w:val="cs-CZ"/>
          </w:rPr>
          <w:t>http://data.europa.eu/eli/reg/2024/1351/oj</w:t>
        </w:r>
      </w:hyperlink>
      <w:r w:rsidRPr="0063111B">
        <w:rPr>
          <w:sz w:val="24"/>
          <w:lang w:val="cs-CZ"/>
        </w:rPr>
        <w:t>.</w:t>
      </w:r>
    </w:p>
  </w:footnote>
  <w:footnote w:id="4">
    <w:p w:rsidR="00F7251F" w:rsidRPr="0063111B" w:rsidP="0063111B" w14:paraId="7864CECB" w14:textId="0324A3B2">
      <w:pPr>
        <w:pStyle w:val="FootnoteText"/>
        <w:ind w:left="567" w:hanging="567"/>
        <w:rPr>
          <w:sz w:val="24"/>
          <w:lang w:val="cs-CZ"/>
        </w:rPr>
      </w:pPr>
      <w:r w:rsidRPr="0063111B">
        <w:rPr>
          <w:rStyle w:val="FootnoteReference"/>
          <w:sz w:val="24"/>
          <w:lang w:val="cs-CZ"/>
        </w:rPr>
        <w:t>3</w:t>
      </w:r>
      <w:r w:rsidRPr="0063111B" w:rsidR="0063111B">
        <w:rPr>
          <w:sz w:val="24"/>
          <w:lang w:val="cs-CZ"/>
        </w:rPr>
        <w:t xml:space="preserve"> </w:t>
      </w:r>
      <w:r w:rsidRPr="0063111B" w:rsidR="0063111B">
        <w:rPr>
          <w:sz w:val="24"/>
          <w:lang w:val="cs-CZ"/>
        </w:rPr>
        <w:tab/>
      </w:r>
      <w:r w:rsidRPr="0063111B">
        <w:rPr>
          <w:sz w:val="24"/>
          <w:lang w:val="cs-CZ"/>
        </w:rPr>
        <w:t>Úř</w:t>
      </w:r>
      <w:r w:rsidRPr="0063111B">
        <w:rPr>
          <w:sz w:val="24"/>
          <w:lang w:val="cs-CZ"/>
        </w:rPr>
        <w:t xml:space="preserve">. </w:t>
      </w:r>
      <w:r w:rsidRPr="0063111B">
        <w:rPr>
          <w:sz w:val="24"/>
          <w:lang w:val="cs-CZ"/>
        </w:rPr>
        <w:t>věst</w:t>
      </w:r>
      <w:r w:rsidRPr="0063111B">
        <w:rPr>
          <w:sz w:val="24"/>
          <w:lang w:val="cs-CZ"/>
        </w:rPr>
        <w:t>. L</w:t>
      </w:r>
      <w:r w:rsidR="005D7D7A">
        <w:rPr>
          <w:sz w:val="24"/>
          <w:lang w:val="cs-CZ"/>
        </w:rPr>
        <w:t>,</w:t>
      </w:r>
      <w:r w:rsidRPr="0063111B">
        <w:rPr>
          <w:sz w:val="24"/>
          <w:lang w:val="cs-CZ"/>
        </w:rPr>
        <w:t xml:space="preserve"> 2023/2862, 28.12.2023, ELI: </w:t>
      </w:r>
      <w:hyperlink r:id="rId3" w:tgtFrame="http://data.europa.eu/eli/agree_internation/2023/2862/oj" w:history="1">
        <w:r w:rsidRPr="0063111B">
          <w:rPr>
            <w:rStyle w:val="Hyperlink"/>
            <w:sz w:val="24"/>
            <w:lang w:val="cs-CZ"/>
          </w:rPr>
          <w:t>http://data.europa.eu/eli/agree_internation/2023/2862/oj</w:t>
        </w:r>
      </w:hyperlink>
      <w:r w:rsidRPr="0063111B">
        <w:rPr>
          <w:sz w:val="24"/>
          <w:lang w:val="cs-CZ"/>
        </w:rPr>
        <w:t>.</w:t>
      </w:r>
    </w:p>
  </w:footnote>
  <w:footnote w:id="5">
    <w:p w:rsidR="00F7251F" w:rsidRPr="0063111B" w:rsidP="0063111B" w14:paraId="4E5E3F2D" w14:textId="7E60232D">
      <w:pPr>
        <w:pStyle w:val="FootnoteText"/>
        <w:ind w:left="567" w:hanging="567"/>
        <w:rPr>
          <w:sz w:val="24"/>
          <w:lang w:val="cs-CZ"/>
        </w:rPr>
      </w:pPr>
      <w:r w:rsidRPr="0063111B">
        <w:rPr>
          <w:rStyle w:val="FootnoteReference"/>
          <w:sz w:val="24"/>
          <w:lang w:val="cs-CZ"/>
        </w:rPr>
        <w:t>4</w:t>
      </w:r>
      <w:r w:rsidRPr="0063111B" w:rsidR="0063111B">
        <w:rPr>
          <w:sz w:val="24"/>
          <w:lang w:val="cs-CZ"/>
        </w:rPr>
        <w:t xml:space="preserve"> </w:t>
      </w:r>
      <w:r w:rsidRPr="0063111B" w:rsidR="0063111B">
        <w:rPr>
          <w:sz w:val="24"/>
          <w:lang w:val="cs-CZ"/>
        </w:rPr>
        <w:tab/>
      </w:r>
      <w:r w:rsidRPr="0063111B">
        <w:rPr>
          <w:sz w:val="24"/>
          <w:lang w:val="cs-CZ"/>
        </w:rPr>
        <w:t>Úř</w:t>
      </w:r>
      <w:r w:rsidRPr="0063111B">
        <w:rPr>
          <w:sz w:val="24"/>
          <w:lang w:val="cs-CZ"/>
        </w:rPr>
        <w:t>. </w:t>
      </w:r>
      <w:r w:rsidRPr="0063111B">
        <w:rPr>
          <w:sz w:val="24"/>
          <w:lang w:val="cs-CZ"/>
        </w:rPr>
        <w:t>věst</w:t>
      </w:r>
      <w:r w:rsidRPr="0063111B">
        <w:rPr>
          <w:sz w:val="24"/>
          <w:lang w:val="cs-CZ"/>
        </w:rPr>
        <w:t xml:space="preserve">. C, C/2026/576, 24.2.2026, ELI: </w:t>
      </w:r>
      <w:hyperlink r:id="rId4" w:tgtFrame="http://data.europa.eu/eli/C/2026/576/oj" w:history="1">
        <w:r w:rsidRPr="0063111B">
          <w:rPr>
            <w:rStyle w:val="Hyperlink"/>
            <w:sz w:val="24"/>
            <w:lang w:val="cs-CZ"/>
          </w:rPr>
          <w:t>http://data.europa.eu/eli/C/2026/576/oj</w:t>
        </w:r>
      </w:hyperlink>
      <w:r w:rsidRPr="0063111B">
        <w:rPr>
          <w:sz w:val="24"/>
          <w:lang w:val="cs-CZ"/>
        </w:rPr>
        <w:t>.</w:t>
      </w:r>
    </w:p>
  </w:footnote>
  <w:footnote w:id="6">
    <w:p w:rsidR="00F7251F" w:rsidRPr="0063111B" w:rsidP="0063111B" w14:paraId="10AA7DE3" w14:textId="123E8254">
      <w:pPr>
        <w:pStyle w:val="FootnoteText"/>
        <w:ind w:left="567" w:hanging="567"/>
        <w:rPr>
          <w:sz w:val="24"/>
          <w:lang w:val="cs-CZ"/>
        </w:rPr>
      </w:pPr>
      <w:r w:rsidRPr="0063111B">
        <w:rPr>
          <w:rStyle w:val="FootnoteReference"/>
          <w:sz w:val="24"/>
          <w:lang w:val="cs-CZ"/>
        </w:rPr>
        <w:t>5</w:t>
      </w:r>
      <w:r w:rsidRPr="0063111B" w:rsidR="0063111B">
        <w:rPr>
          <w:sz w:val="24"/>
          <w:lang w:val="cs-CZ"/>
        </w:rPr>
        <w:t xml:space="preserve"> </w:t>
      </w:r>
      <w:r w:rsidRPr="0063111B" w:rsidR="0063111B">
        <w:rPr>
          <w:sz w:val="24"/>
          <w:lang w:val="cs-CZ"/>
        </w:rPr>
        <w:tab/>
      </w:r>
      <w:r w:rsidRPr="0063111B">
        <w:rPr>
          <w:sz w:val="24"/>
          <w:lang w:val="cs-CZ"/>
        </w:rPr>
        <w:t>Talleraas</w:t>
      </w:r>
      <w:r w:rsidRPr="0063111B">
        <w:rPr>
          <w:sz w:val="24"/>
          <w:lang w:val="cs-CZ"/>
        </w:rPr>
        <w:t xml:space="preserve">, C., </w:t>
      </w:r>
      <w:r w:rsidRPr="0063111B">
        <w:rPr>
          <w:i/>
          <w:sz w:val="24"/>
          <w:lang w:val="cs-CZ"/>
        </w:rPr>
        <w:t xml:space="preserve">The role of EU development </w:t>
      </w:r>
      <w:r w:rsidRPr="0063111B">
        <w:rPr>
          <w:i/>
          <w:sz w:val="24"/>
          <w:lang w:val="cs-CZ"/>
        </w:rPr>
        <w:t>cooperation</w:t>
      </w:r>
      <w:r w:rsidRPr="0063111B">
        <w:rPr>
          <w:i/>
          <w:sz w:val="24"/>
          <w:lang w:val="cs-CZ"/>
        </w:rPr>
        <w:t xml:space="preserve"> in </w:t>
      </w:r>
      <w:r w:rsidRPr="0063111B">
        <w:rPr>
          <w:i/>
          <w:sz w:val="24"/>
          <w:lang w:val="cs-CZ"/>
        </w:rPr>
        <w:t>addressing</w:t>
      </w:r>
      <w:r w:rsidRPr="0063111B">
        <w:rPr>
          <w:i/>
          <w:sz w:val="24"/>
          <w:lang w:val="cs-CZ"/>
        </w:rPr>
        <w:t xml:space="preserve"> </w:t>
      </w:r>
      <w:r w:rsidRPr="0063111B">
        <w:rPr>
          <w:i/>
          <w:sz w:val="24"/>
          <w:lang w:val="cs-CZ"/>
        </w:rPr>
        <w:t>irregular</w:t>
      </w:r>
      <w:r w:rsidRPr="0063111B">
        <w:rPr>
          <w:i/>
          <w:sz w:val="24"/>
          <w:lang w:val="cs-CZ"/>
        </w:rPr>
        <w:t xml:space="preserve"> </w:t>
      </w:r>
      <w:r w:rsidRPr="0063111B">
        <w:rPr>
          <w:i/>
          <w:sz w:val="24"/>
          <w:lang w:val="cs-CZ"/>
        </w:rPr>
        <w:t>migration</w:t>
      </w:r>
      <w:r w:rsidRPr="0063111B">
        <w:rPr>
          <w:i/>
          <w:sz w:val="24"/>
          <w:lang w:val="cs-CZ"/>
        </w:rPr>
        <w:t xml:space="preserve"> in </w:t>
      </w:r>
      <w:r w:rsidRPr="0063111B">
        <w:rPr>
          <w:i/>
          <w:sz w:val="24"/>
          <w:lang w:val="cs-CZ"/>
        </w:rPr>
        <w:t>Africa</w:t>
      </w:r>
      <w:r w:rsidRPr="0063111B">
        <w:rPr>
          <w:sz w:val="24"/>
          <w:lang w:val="cs-CZ"/>
        </w:rPr>
        <w:t xml:space="preserve"> ((Úloha rozvojové spolupráce EU při řešení nelegální migrace v Africe), oddělení pro analýzu a podporu vnějších politik, generální ředitelství pro vnější politiky Unie, říjen 2025.</w:t>
      </w:r>
    </w:p>
  </w:footnote>
  <w:footnote w:id="7">
    <w:p w:rsidR="00F7251F" w:rsidRPr="0063111B" w:rsidP="0063111B" w14:paraId="77AC2D73" w14:textId="25AB14A9">
      <w:pPr>
        <w:pStyle w:val="FootnoteText"/>
        <w:ind w:left="567" w:hanging="567"/>
        <w:rPr>
          <w:sz w:val="24"/>
          <w:lang w:val="cs-CZ"/>
        </w:rPr>
      </w:pPr>
      <w:r w:rsidRPr="0063111B">
        <w:rPr>
          <w:rStyle w:val="FootnoteReference"/>
          <w:sz w:val="24"/>
          <w:lang w:val="cs-CZ"/>
        </w:rPr>
        <w:t>6</w:t>
      </w:r>
      <w:r w:rsidRPr="0063111B" w:rsidR="0063111B">
        <w:rPr>
          <w:sz w:val="24"/>
          <w:lang w:val="cs-CZ"/>
        </w:rPr>
        <w:t xml:space="preserve"> </w:t>
      </w:r>
      <w:r w:rsidRPr="0063111B" w:rsidR="0063111B">
        <w:rPr>
          <w:sz w:val="24"/>
          <w:lang w:val="cs-CZ"/>
        </w:rPr>
        <w:tab/>
      </w:r>
      <w:r w:rsidRPr="0063111B">
        <w:rPr>
          <w:sz w:val="24"/>
          <w:lang w:val="cs-CZ"/>
        </w:rPr>
        <w:t>Úř</w:t>
      </w:r>
      <w:r w:rsidRPr="0063111B">
        <w:rPr>
          <w:sz w:val="24"/>
          <w:lang w:val="cs-CZ"/>
        </w:rPr>
        <w:t xml:space="preserve">. </w:t>
      </w:r>
      <w:r w:rsidRPr="0063111B">
        <w:rPr>
          <w:sz w:val="24"/>
          <w:lang w:val="cs-CZ"/>
        </w:rPr>
        <w:t>věst</w:t>
      </w:r>
      <w:r w:rsidRPr="0063111B">
        <w:rPr>
          <w:sz w:val="24"/>
          <w:lang w:val="cs-CZ"/>
        </w:rPr>
        <w:t>. C 494, 8.12.2021, s. 80.</w:t>
      </w:r>
    </w:p>
  </w:footnote>
  <w:footnote w:id="8">
    <w:p w:rsidR="00F7251F" w:rsidRPr="0063111B" w:rsidP="0063111B" w14:paraId="235899A1" w14:textId="41942513">
      <w:pPr>
        <w:pStyle w:val="FootnoteText"/>
        <w:ind w:left="567" w:hanging="567"/>
        <w:rPr>
          <w:sz w:val="24"/>
          <w:lang w:val="cs-CZ"/>
        </w:rPr>
      </w:pPr>
      <w:r w:rsidRPr="0063111B">
        <w:rPr>
          <w:rStyle w:val="FootnoteReference"/>
          <w:sz w:val="24"/>
          <w:lang w:val="cs-CZ"/>
        </w:rPr>
        <w:t>7</w:t>
      </w:r>
      <w:r w:rsidRPr="0063111B" w:rsidR="0063111B">
        <w:rPr>
          <w:sz w:val="24"/>
          <w:lang w:val="cs-CZ"/>
        </w:rPr>
        <w:t xml:space="preserve"> </w:t>
      </w:r>
      <w:r w:rsidRPr="0063111B" w:rsidR="0063111B">
        <w:rPr>
          <w:sz w:val="24"/>
          <w:lang w:val="cs-CZ"/>
        </w:rPr>
        <w:tab/>
      </w:r>
      <w:r w:rsidRPr="0063111B">
        <w:rPr>
          <w:sz w:val="24"/>
          <w:lang w:val="cs-CZ"/>
        </w:rPr>
        <w:t xml:space="preserve">Essentials of </w:t>
      </w:r>
      <w:r w:rsidRPr="0063111B">
        <w:rPr>
          <w:sz w:val="24"/>
          <w:lang w:val="cs-CZ"/>
        </w:rPr>
        <w:t>Migration</w:t>
      </w:r>
      <w:r w:rsidRPr="0063111B">
        <w:rPr>
          <w:sz w:val="24"/>
          <w:lang w:val="cs-CZ"/>
        </w:rPr>
        <w:t xml:space="preserve"> Management, „</w:t>
      </w:r>
      <w:r w:rsidRPr="0063111B">
        <w:rPr>
          <w:sz w:val="24"/>
          <w:lang w:val="cs-CZ"/>
        </w:rPr>
        <w:t>Drivers</w:t>
      </w:r>
      <w:r w:rsidRPr="0063111B">
        <w:rPr>
          <w:sz w:val="24"/>
          <w:lang w:val="cs-CZ"/>
        </w:rPr>
        <w:t xml:space="preserve"> of </w:t>
      </w:r>
      <w:r w:rsidRPr="0063111B">
        <w:rPr>
          <w:sz w:val="24"/>
          <w:lang w:val="cs-CZ"/>
        </w:rPr>
        <w:t>international</w:t>
      </w:r>
      <w:r w:rsidRPr="0063111B">
        <w:rPr>
          <w:sz w:val="24"/>
          <w:lang w:val="cs-CZ"/>
        </w:rPr>
        <w:t xml:space="preserve"> </w:t>
      </w:r>
      <w:r w:rsidRPr="0063111B">
        <w:rPr>
          <w:sz w:val="24"/>
          <w:lang w:val="cs-CZ"/>
        </w:rPr>
        <w:t>migration</w:t>
      </w:r>
      <w:r w:rsidRPr="0063111B">
        <w:rPr>
          <w:sz w:val="24"/>
          <w:lang w:val="cs-CZ"/>
        </w:rPr>
        <w:t xml:space="preserve">“ (Faktory mezinárodní migrace), </w:t>
      </w:r>
      <w:hyperlink r:id="rId5" w:tgtFrame="https://emm.iom.int/handbooks/global-context-international-migration/drivers-international-migration" w:history="1">
        <w:r w:rsidRPr="0063111B">
          <w:rPr>
            <w:rStyle w:val="Hyperlink"/>
            <w:sz w:val="24"/>
            <w:lang w:val="cs-CZ"/>
          </w:rPr>
          <w:t>https://emm.iom.int/handbooks/global-context-international-migration/drivers-international-migration</w:t>
        </w:r>
      </w:hyperlink>
      <w:r w:rsidRPr="0063111B">
        <w:rPr>
          <w:sz w:val="24"/>
          <w:lang w:val="cs-CZ"/>
        </w:rPr>
        <w:t>.</w:t>
      </w:r>
    </w:p>
  </w:footnote>
  <w:footnote w:id="9">
    <w:p w:rsidR="00F7251F" w:rsidRPr="0063111B" w:rsidP="0063111B" w14:paraId="190A6AEA" w14:textId="165FEC85">
      <w:pPr>
        <w:pStyle w:val="FootnoteText"/>
        <w:ind w:left="567" w:hanging="567"/>
        <w:rPr>
          <w:sz w:val="24"/>
          <w:lang w:val="cs-CZ"/>
        </w:rPr>
      </w:pPr>
      <w:r w:rsidRPr="0063111B">
        <w:rPr>
          <w:rStyle w:val="FootnoteReference"/>
          <w:sz w:val="24"/>
          <w:lang w:val="cs-CZ"/>
        </w:rPr>
        <w:t>8</w:t>
      </w:r>
      <w:r w:rsidRPr="0063111B" w:rsidR="0063111B">
        <w:rPr>
          <w:sz w:val="24"/>
          <w:lang w:val="cs-CZ"/>
        </w:rPr>
        <w:t xml:space="preserve"> </w:t>
      </w:r>
      <w:r w:rsidRPr="0063111B" w:rsidR="0063111B">
        <w:rPr>
          <w:sz w:val="24"/>
          <w:lang w:val="cs-CZ"/>
        </w:rPr>
        <w:tab/>
      </w:r>
      <w:r w:rsidRPr="0063111B">
        <w:rPr>
          <w:sz w:val="24"/>
          <w:lang w:val="cs-CZ"/>
        </w:rPr>
        <w:t xml:space="preserve">Agentura EU pro otázky azylu, „3.4. Data on </w:t>
      </w:r>
      <w:r w:rsidRPr="0063111B">
        <w:rPr>
          <w:sz w:val="24"/>
          <w:lang w:val="cs-CZ"/>
        </w:rPr>
        <w:t>applications</w:t>
      </w:r>
      <w:r w:rsidRPr="0063111B">
        <w:rPr>
          <w:sz w:val="24"/>
          <w:lang w:val="cs-CZ"/>
        </w:rPr>
        <w:t xml:space="preserve"> for </w:t>
      </w:r>
      <w:r w:rsidRPr="0063111B">
        <w:rPr>
          <w:sz w:val="24"/>
          <w:lang w:val="cs-CZ"/>
        </w:rPr>
        <w:t>international</w:t>
      </w:r>
      <w:r w:rsidRPr="0063111B">
        <w:rPr>
          <w:sz w:val="24"/>
          <w:lang w:val="cs-CZ"/>
        </w:rPr>
        <w:t xml:space="preserve"> </w:t>
      </w:r>
      <w:r w:rsidRPr="0063111B">
        <w:rPr>
          <w:sz w:val="24"/>
          <w:lang w:val="cs-CZ"/>
        </w:rPr>
        <w:t>protection</w:t>
      </w:r>
      <w:r w:rsidRPr="0063111B">
        <w:rPr>
          <w:sz w:val="24"/>
          <w:lang w:val="cs-CZ"/>
        </w:rPr>
        <w:t xml:space="preserve">“ (Údaje o žádostech o mezinárodní ochranu), </w:t>
      </w:r>
      <w:hyperlink r:id="rId6" w:tgtFrame="https://euaa.europa.eu/asylum-report-2025/34-data-applications-international-protection" w:history="1">
        <w:r w:rsidRPr="0063111B">
          <w:rPr>
            <w:rStyle w:val="Hyperlink"/>
            <w:sz w:val="24"/>
            <w:lang w:val="cs-CZ"/>
          </w:rPr>
          <w:t>https://euaa.europa.eu/asylum-report-2025/34-data-applications-international-protection</w:t>
        </w:r>
      </w:hyperlink>
      <w:r w:rsidRPr="0063111B">
        <w:rPr>
          <w:sz w:val="24"/>
          <w:lang w:val="cs-CZ"/>
        </w:rPr>
        <w:t>.</w:t>
      </w:r>
    </w:p>
  </w:footnote>
  <w:footnote w:id="10">
    <w:p w:rsidR="00F7251F" w:rsidRPr="0063111B" w:rsidP="0063111B" w14:paraId="3FB45A0A" w14:textId="2926F656">
      <w:pPr>
        <w:pStyle w:val="FootnoteText"/>
        <w:ind w:left="567" w:hanging="567"/>
        <w:rPr>
          <w:sz w:val="24"/>
          <w:lang w:val="cs-CZ"/>
        </w:rPr>
      </w:pPr>
      <w:r w:rsidRPr="0063111B">
        <w:rPr>
          <w:rStyle w:val="FootnoteReference"/>
          <w:sz w:val="24"/>
          <w:lang w:val="cs-CZ"/>
        </w:rPr>
        <w:t>9</w:t>
      </w:r>
      <w:r w:rsidRPr="0063111B" w:rsidR="0063111B">
        <w:rPr>
          <w:sz w:val="24"/>
          <w:lang w:val="cs-CZ"/>
        </w:rPr>
        <w:t xml:space="preserve"> </w:t>
      </w:r>
      <w:r w:rsidRPr="0063111B" w:rsidR="0063111B">
        <w:rPr>
          <w:sz w:val="24"/>
          <w:lang w:val="cs-CZ"/>
        </w:rPr>
        <w:tab/>
      </w:r>
      <w:hyperlink r:id="rId7" w:tgtFrame="https://www.frontex.europa.eu/media-centre/news/news-release/frontex-irregular-border-crossings-down-26-in-2025-europe-must-stay-prepared-lyKpVb" w:history="1">
        <w:r w:rsidRPr="0063111B">
          <w:rPr>
            <w:rStyle w:val="Hyperlink"/>
            <w:sz w:val="24"/>
            <w:lang w:val="cs-CZ"/>
          </w:rPr>
          <w:t>https://www.frontex.europa.eu/media-centre/news/news-release/frontex-irregular-border-crossings-down-26-in-2025-europe-must-stay-prepared-lyKpVb</w:t>
        </w:r>
      </w:hyperlink>
    </w:p>
  </w:footnote>
  <w:footnote w:id="11">
    <w:p w:rsidR="00F7251F" w:rsidRPr="0063111B" w:rsidP="0063111B" w14:paraId="04EF12F8" w14:textId="7F3199DA">
      <w:pPr>
        <w:pStyle w:val="FootnoteText"/>
        <w:ind w:left="567" w:hanging="567"/>
        <w:rPr>
          <w:sz w:val="24"/>
          <w:lang w:val="cs-CZ"/>
        </w:rPr>
      </w:pPr>
      <w:r w:rsidRPr="0063111B">
        <w:rPr>
          <w:rStyle w:val="FootnoteReference"/>
          <w:sz w:val="24"/>
          <w:lang w:val="cs-CZ"/>
        </w:rPr>
        <w:t>10</w:t>
      </w:r>
      <w:r w:rsidRPr="0063111B" w:rsidR="0063111B">
        <w:rPr>
          <w:sz w:val="24"/>
          <w:lang w:val="cs-CZ"/>
        </w:rPr>
        <w:t xml:space="preserve"> </w:t>
      </w:r>
      <w:r w:rsidRPr="0063111B" w:rsidR="0063111B">
        <w:rPr>
          <w:sz w:val="24"/>
          <w:lang w:val="cs-CZ"/>
        </w:rPr>
        <w:tab/>
      </w:r>
      <w:r w:rsidRPr="0063111B">
        <w:rPr>
          <w:sz w:val="24"/>
          <w:lang w:val="cs-CZ"/>
        </w:rPr>
        <w:t xml:space="preserve">U některých členských států nezahrnuje žadatele o azyl a uprchlíky z Ukrajiny požívající dočasnou ochranu. </w:t>
      </w:r>
      <w:r w:rsidRPr="0063111B">
        <w:rPr>
          <w:sz w:val="24"/>
          <w:lang w:val="cs-CZ"/>
        </w:rPr>
        <w:t>Eurostat</w:t>
      </w:r>
      <w:r w:rsidRPr="0063111B">
        <w:rPr>
          <w:sz w:val="24"/>
          <w:lang w:val="cs-CZ"/>
        </w:rPr>
        <w:t>, „</w:t>
      </w:r>
      <w:r w:rsidRPr="0063111B">
        <w:rPr>
          <w:sz w:val="24"/>
          <w:lang w:val="cs-CZ"/>
        </w:rPr>
        <w:t>Migration</w:t>
      </w:r>
      <w:r w:rsidRPr="0063111B">
        <w:rPr>
          <w:sz w:val="24"/>
          <w:lang w:val="cs-CZ"/>
        </w:rPr>
        <w:t xml:space="preserve"> to and </w:t>
      </w:r>
      <w:r w:rsidRPr="0063111B">
        <w:rPr>
          <w:sz w:val="24"/>
          <w:lang w:val="cs-CZ"/>
        </w:rPr>
        <w:t>from</w:t>
      </w:r>
      <w:r w:rsidRPr="0063111B">
        <w:rPr>
          <w:sz w:val="24"/>
          <w:lang w:val="cs-CZ"/>
        </w:rPr>
        <w:t xml:space="preserve"> the EU“ (Migrace do a z EU), </w:t>
      </w:r>
      <w:hyperlink r:id="rId8" w:tgtFrame="https://ec.europa.eu/eurostat/statistics-explained/index.php?title=Migration_to_and_from_the_EU" w:history="1">
        <w:r w:rsidRPr="0063111B">
          <w:rPr>
            <w:rStyle w:val="Hyperlink"/>
            <w:sz w:val="24"/>
            <w:lang w:val="cs-CZ"/>
          </w:rPr>
          <w:t>https://ec.europa.eu/eurostat/statistics-explained/index.php?title=Migration_to_and_from_the_EU</w:t>
        </w:r>
      </w:hyperlink>
      <w:r w:rsidRPr="0063111B">
        <w:rPr>
          <w:sz w:val="24"/>
          <w:lang w:val="cs-CZ"/>
        </w:rPr>
        <w:t>.</w:t>
      </w:r>
    </w:p>
  </w:footnote>
  <w:footnote w:id="12">
    <w:p w:rsidR="00F7251F" w:rsidRPr="0063111B" w:rsidP="0063111B" w14:paraId="62B765B2" w14:textId="182EA0FC">
      <w:pPr>
        <w:pStyle w:val="FootnoteText"/>
        <w:ind w:left="567" w:hanging="567"/>
        <w:rPr>
          <w:sz w:val="24"/>
          <w:lang w:val="cs-CZ"/>
        </w:rPr>
      </w:pPr>
      <w:r w:rsidRPr="0063111B">
        <w:rPr>
          <w:rStyle w:val="FootnoteReference"/>
          <w:sz w:val="24"/>
          <w:lang w:val="cs-CZ"/>
        </w:rPr>
        <w:t>11</w:t>
      </w:r>
      <w:r w:rsidRPr="0063111B" w:rsidR="0063111B">
        <w:rPr>
          <w:sz w:val="24"/>
          <w:lang w:val="cs-CZ"/>
        </w:rPr>
        <w:t xml:space="preserve"> </w:t>
      </w:r>
      <w:r w:rsidRPr="0063111B" w:rsidR="0063111B">
        <w:rPr>
          <w:sz w:val="24"/>
          <w:lang w:val="cs-CZ"/>
        </w:rPr>
        <w:tab/>
      </w:r>
      <w:r w:rsidRPr="0063111B">
        <w:rPr>
          <w:sz w:val="24"/>
          <w:lang w:val="cs-CZ"/>
        </w:rPr>
        <w:t>Eurostat</w:t>
      </w:r>
      <w:r w:rsidRPr="0063111B">
        <w:rPr>
          <w:sz w:val="24"/>
          <w:lang w:val="cs-CZ"/>
        </w:rPr>
        <w:t xml:space="preserve">, </w:t>
      </w:r>
      <w:r w:rsidRPr="0063111B">
        <w:rPr>
          <w:sz w:val="24"/>
          <w:lang w:val="cs-CZ"/>
        </w:rPr>
        <w:t>Migration</w:t>
      </w:r>
      <w:r w:rsidRPr="0063111B">
        <w:rPr>
          <w:sz w:val="24"/>
          <w:lang w:val="cs-CZ"/>
        </w:rPr>
        <w:t xml:space="preserve"> and </w:t>
      </w:r>
      <w:r w:rsidRPr="0063111B">
        <w:rPr>
          <w:sz w:val="24"/>
          <w:lang w:val="cs-CZ"/>
        </w:rPr>
        <w:t>asylum</w:t>
      </w:r>
      <w:r w:rsidRPr="0063111B">
        <w:rPr>
          <w:sz w:val="24"/>
          <w:lang w:val="cs-CZ"/>
        </w:rPr>
        <w:t xml:space="preserve"> in Europe – 2025 </w:t>
      </w:r>
      <w:r w:rsidRPr="0063111B">
        <w:rPr>
          <w:sz w:val="24"/>
          <w:lang w:val="cs-CZ"/>
        </w:rPr>
        <w:t>edition</w:t>
      </w:r>
      <w:r w:rsidRPr="0063111B">
        <w:rPr>
          <w:sz w:val="24"/>
          <w:lang w:val="cs-CZ"/>
        </w:rPr>
        <w:t xml:space="preserve">, </w:t>
      </w:r>
      <w:r w:rsidRPr="0063111B">
        <w:rPr>
          <w:sz w:val="24"/>
          <w:lang w:val="cs-CZ"/>
        </w:rPr>
        <w:t>irregular</w:t>
      </w:r>
      <w:r w:rsidRPr="0063111B">
        <w:rPr>
          <w:sz w:val="24"/>
          <w:lang w:val="cs-CZ"/>
        </w:rPr>
        <w:t xml:space="preserve"> </w:t>
      </w:r>
      <w:r w:rsidRPr="0063111B">
        <w:rPr>
          <w:sz w:val="24"/>
          <w:lang w:val="cs-CZ"/>
        </w:rPr>
        <w:t>migration</w:t>
      </w:r>
      <w:r w:rsidRPr="0063111B">
        <w:rPr>
          <w:sz w:val="24"/>
          <w:lang w:val="cs-CZ"/>
        </w:rPr>
        <w:t xml:space="preserve"> and return (Migrace a azyl v Evropě – vydání z roku 2025, nelegální migrace a navracení), </w:t>
      </w:r>
      <w:hyperlink r:id="rId9" w:anchor="irregular-migration-and-return" w:tgtFrame="https://ec.europa.eu/eurostat/web/interactive-publications/migration-2025#irregular-migration-and-return" w:history="1">
        <w:r w:rsidRPr="0063111B">
          <w:rPr>
            <w:rStyle w:val="Hyperlink"/>
            <w:sz w:val="24"/>
            <w:lang w:val="cs-CZ"/>
          </w:rPr>
          <w:t>https://ec.europa.eu/eurostat/web/interactive-publications/migration-2025#irregular-migration-and-return</w:t>
        </w:r>
      </w:hyperlink>
      <w:r w:rsidRPr="0063111B">
        <w:rPr>
          <w:sz w:val="24"/>
          <w:lang w:val="cs-CZ"/>
        </w:rPr>
        <w:t>.</w:t>
      </w:r>
    </w:p>
  </w:footnote>
  <w:footnote w:id="13">
    <w:p w:rsidR="00F7251F" w:rsidRPr="0063111B" w:rsidP="0063111B" w14:paraId="30C540F2" w14:textId="3F4FF056">
      <w:pPr>
        <w:pStyle w:val="FootnoteText"/>
        <w:ind w:left="567" w:hanging="567"/>
        <w:rPr>
          <w:sz w:val="24"/>
          <w:lang w:val="cs-CZ"/>
        </w:rPr>
      </w:pPr>
      <w:r w:rsidRPr="0063111B">
        <w:rPr>
          <w:rStyle w:val="FootnoteReference"/>
          <w:sz w:val="24"/>
          <w:lang w:val="cs-CZ"/>
        </w:rPr>
        <w:t>12</w:t>
      </w:r>
      <w:r w:rsidRPr="0063111B" w:rsidR="0063111B">
        <w:rPr>
          <w:sz w:val="24"/>
          <w:lang w:val="cs-CZ"/>
        </w:rPr>
        <w:t xml:space="preserve"> </w:t>
      </w:r>
      <w:r w:rsidRPr="0063111B" w:rsidR="0063111B">
        <w:rPr>
          <w:sz w:val="24"/>
          <w:lang w:val="cs-CZ"/>
        </w:rPr>
        <w:tab/>
      </w:r>
      <w:r w:rsidRPr="0063111B">
        <w:rPr>
          <w:sz w:val="24"/>
          <w:lang w:val="cs-CZ"/>
        </w:rPr>
        <w:t>Eurostat</w:t>
      </w:r>
      <w:r w:rsidRPr="0063111B">
        <w:rPr>
          <w:sz w:val="24"/>
          <w:lang w:val="cs-CZ"/>
        </w:rPr>
        <w:t xml:space="preserve">, </w:t>
      </w:r>
      <w:r w:rsidRPr="0063111B">
        <w:rPr>
          <w:sz w:val="24"/>
          <w:lang w:val="cs-CZ"/>
        </w:rPr>
        <w:t>Migration</w:t>
      </w:r>
      <w:r w:rsidRPr="0063111B">
        <w:rPr>
          <w:sz w:val="24"/>
          <w:lang w:val="cs-CZ"/>
        </w:rPr>
        <w:t xml:space="preserve"> and </w:t>
      </w:r>
      <w:r w:rsidRPr="0063111B">
        <w:rPr>
          <w:sz w:val="24"/>
          <w:lang w:val="cs-CZ"/>
        </w:rPr>
        <w:t>asylum</w:t>
      </w:r>
      <w:r w:rsidRPr="0063111B">
        <w:rPr>
          <w:sz w:val="24"/>
          <w:lang w:val="cs-CZ"/>
        </w:rPr>
        <w:t xml:space="preserve"> in Europe – 2025 </w:t>
      </w:r>
      <w:r w:rsidRPr="0063111B">
        <w:rPr>
          <w:sz w:val="24"/>
          <w:lang w:val="cs-CZ"/>
        </w:rPr>
        <w:t>edition</w:t>
      </w:r>
      <w:r w:rsidRPr="0063111B">
        <w:rPr>
          <w:sz w:val="24"/>
          <w:lang w:val="cs-CZ"/>
        </w:rPr>
        <w:t xml:space="preserve">, </w:t>
      </w:r>
      <w:r w:rsidRPr="0063111B">
        <w:rPr>
          <w:sz w:val="24"/>
          <w:lang w:val="cs-CZ"/>
        </w:rPr>
        <w:t>Orders</w:t>
      </w:r>
      <w:r w:rsidRPr="0063111B">
        <w:rPr>
          <w:sz w:val="24"/>
          <w:lang w:val="cs-CZ"/>
        </w:rPr>
        <w:t xml:space="preserve"> to </w:t>
      </w:r>
      <w:r w:rsidRPr="0063111B">
        <w:rPr>
          <w:sz w:val="24"/>
          <w:lang w:val="cs-CZ"/>
        </w:rPr>
        <w:t>leave</w:t>
      </w:r>
      <w:r w:rsidRPr="0063111B">
        <w:rPr>
          <w:sz w:val="24"/>
          <w:lang w:val="cs-CZ"/>
        </w:rPr>
        <w:t xml:space="preserve"> and </w:t>
      </w:r>
      <w:r w:rsidRPr="0063111B">
        <w:rPr>
          <w:sz w:val="24"/>
          <w:lang w:val="cs-CZ"/>
        </w:rPr>
        <w:t>returns</w:t>
      </w:r>
      <w:r w:rsidRPr="0063111B">
        <w:rPr>
          <w:sz w:val="24"/>
          <w:lang w:val="cs-CZ"/>
        </w:rPr>
        <w:t xml:space="preserve"> (Migrace a azyl v Evropě – vydání z roku 2025, příkazy k opuštění území a navracení), </w:t>
      </w:r>
      <w:hyperlink r:id="rId9" w:anchor="orders-to-leave-and-returns-of-non-eu-citizens" w:tgtFrame="https://ec.europa.eu/eurostat/web/interactive-publications/migration-2025#orders-to-leave-and-returns-of-non-eu-citizens" w:history="1">
        <w:r w:rsidRPr="0063111B">
          <w:rPr>
            <w:rStyle w:val="Hyperlink"/>
            <w:sz w:val="24"/>
            <w:lang w:val="cs-CZ"/>
          </w:rPr>
          <w:t>https://ec.europa.eu/eurostat/web/interactive-publications/migration-2025#orders-to-leave-and-returns-of-non-eu-citizens</w:t>
        </w:r>
      </w:hyperlink>
      <w:r w:rsidRPr="0063111B">
        <w:rPr>
          <w:sz w:val="24"/>
          <w:lang w:val="cs-CZ"/>
        </w:rPr>
        <w:t>.</w:t>
      </w:r>
    </w:p>
  </w:footnote>
  <w:footnote w:id="14">
    <w:p w:rsidR="00F7251F" w:rsidRPr="0063111B" w:rsidP="0063111B" w14:paraId="1A59513E" w14:textId="5510C824">
      <w:pPr>
        <w:pStyle w:val="FootnoteText"/>
        <w:ind w:left="567" w:hanging="567"/>
        <w:rPr>
          <w:sz w:val="24"/>
          <w:lang w:val="cs-CZ"/>
        </w:rPr>
      </w:pPr>
      <w:r w:rsidRPr="0063111B">
        <w:rPr>
          <w:rStyle w:val="FootnoteReference"/>
          <w:sz w:val="24"/>
          <w:lang w:val="cs-CZ"/>
        </w:rPr>
        <w:t>13</w:t>
      </w:r>
      <w:r w:rsidRPr="0063111B" w:rsidR="0063111B">
        <w:rPr>
          <w:sz w:val="24"/>
          <w:lang w:val="cs-CZ"/>
        </w:rPr>
        <w:t xml:space="preserve"> </w:t>
      </w:r>
      <w:r w:rsidRPr="0063111B" w:rsidR="0063111B">
        <w:rPr>
          <w:sz w:val="24"/>
          <w:lang w:val="cs-CZ"/>
        </w:rPr>
        <w:tab/>
      </w:r>
      <w:hyperlink r:id="rId10" w:tgtFrame="https://www.unhcr.org/about-unhcr/overview/figures-glance" w:history="1">
        <w:r w:rsidRPr="0063111B">
          <w:rPr>
            <w:rStyle w:val="Hyperlink"/>
            <w:sz w:val="24"/>
            <w:lang w:val="cs-CZ"/>
          </w:rPr>
          <w:t>https://www.unhcr.org/about-unhcr/overview/figures-glance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3111B" w14:paraId="611D0910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3111B" w14:paraId="1DF01001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3111B" w14:paraId="0E613200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58238703">
    <w:abstractNumId w:val="9"/>
  </w:num>
  <w:num w:numId="2" w16cid:durableId="490485683">
    <w:abstractNumId w:val="9"/>
  </w:num>
  <w:num w:numId="3" w16cid:durableId="748625224">
    <w:abstractNumId w:val="7"/>
  </w:num>
  <w:num w:numId="4" w16cid:durableId="720708201">
    <w:abstractNumId w:val="7"/>
  </w:num>
  <w:num w:numId="5" w16cid:durableId="390349930">
    <w:abstractNumId w:val="6"/>
  </w:num>
  <w:num w:numId="6" w16cid:durableId="1211651978">
    <w:abstractNumId w:val="6"/>
  </w:num>
  <w:num w:numId="7" w16cid:durableId="1743597621">
    <w:abstractNumId w:val="5"/>
  </w:num>
  <w:num w:numId="8" w16cid:durableId="1335258253">
    <w:abstractNumId w:val="5"/>
  </w:num>
  <w:num w:numId="9" w16cid:durableId="1479150501">
    <w:abstractNumId w:val="4"/>
  </w:num>
  <w:num w:numId="10" w16cid:durableId="495801817">
    <w:abstractNumId w:val="4"/>
  </w:num>
  <w:num w:numId="11" w16cid:durableId="828982251">
    <w:abstractNumId w:val="8"/>
  </w:num>
  <w:num w:numId="12" w16cid:durableId="2082017031">
    <w:abstractNumId w:val="8"/>
  </w:num>
  <w:num w:numId="13" w16cid:durableId="2072271249">
    <w:abstractNumId w:val="3"/>
  </w:num>
  <w:num w:numId="14" w16cid:durableId="779182287">
    <w:abstractNumId w:val="3"/>
  </w:num>
  <w:num w:numId="15" w16cid:durableId="1543595973">
    <w:abstractNumId w:val="2"/>
  </w:num>
  <w:num w:numId="16" w16cid:durableId="1473600981">
    <w:abstractNumId w:val="2"/>
  </w:num>
  <w:num w:numId="17" w16cid:durableId="369569529">
    <w:abstractNumId w:val="1"/>
  </w:num>
  <w:num w:numId="18" w16cid:durableId="71857249">
    <w:abstractNumId w:val="1"/>
  </w:num>
  <w:num w:numId="19" w16cid:durableId="54281609">
    <w:abstractNumId w:val="0"/>
  </w:num>
  <w:num w:numId="20" w16cid:durableId="53361186">
    <w:abstractNumId w:val="0"/>
  </w:num>
  <w:num w:numId="21" w16cid:durableId="87309485">
    <w:abstractNumId w:val="9"/>
  </w:num>
  <w:num w:numId="22" w16cid:durableId="488987820">
    <w:abstractNumId w:val="7"/>
  </w:num>
  <w:num w:numId="23" w16cid:durableId="938299360">
    <w:abstractNumId w:val="6"/>
  </w:num>
  <w:num w:numId="24" w16cid:durableId="773013980">
    <w:abstractNumId w:val="5"/>
  </w:num>
  <w:num w:numId="25" w16cid:durableId="1289122144">
    <w:abstractNumId w:val="4"/>
  </w:num>
  <w:num w:numId="26" w16cid:durableId="1099982395">
    <w:abstractNumId w:val="8"/>
  </w:num>
  <w:num w:numId="27" w16cid:durableId="1177110641">
    <w:abstractNumId w:val="3"/>
  </w:num>
  <w:num w:numId="28" w16cid:durableId="1196046308">
    <w:abstractNumId w:val="2"/>
  </w:num>
  <w:num w:numId="29" w16cid:durableId="983318383">
    <w:abstractNumId w:val="1"/>
  </w:num>
  <w:num w:numId="30" w16cid:durableId="1559126186">
    <w:abstractNumId w:val="0"/>
  </w:num>
  <w:num w:numId="31" w16cid:durableId="387218969">
    <w:abstractNumId w:val="9"/>
  </w:num>
  <w:num w:numId="32" w16cid:durableId="1476487839">
    <w:abstractNumId w:val="7"/>
  </w:num>
  <w:num w:numId="33" w16cid:durableId="1528519736">
    <w:abstractNumId w:val="6"/>
  </w:num>
  <w:num w:numId="34" w16cid:durableId="862864244">
    <w:abstractNumId w:val="5"/>
  </w:num>
  <w:num w:numId="35" w16cid:durableId="1339501328">
    <w:abstractNumId w:val="4"/>
  </w:num>
  <w:num w:numId="36" w16cid:durableId="956370102">
    <w:abstractNumId w:val="8"/>
  </w:num>
  <w:num w:numId="37" w16cid:durableId="329990855">
    <w:abstractNumId w:val="3"/>
  </w:num>
  <w:num w:numId="38" w16cid:durableId="1904828953">
    <w:abstractNumId w:val="2"/>
  </w:num>
  <w:num w:numId="39" w16cid:durableId="1687246813">
    <w:abstractNumId w:val="1"/>
  </w:num>
  <w:num w:numId="40" w16cid:durableId="1829862108">
    <w:abstractNumId w:val="0"/>
  </w:num>
  <w:num w:numId="41" w16cid:durableId="1097142316">
    <w:abstractNumId w:val="10"/>
  </w:num>
  <w:num w:numId="42" w16cid:durableId="243613277">
    <w:abstractNumId w:val="10"/>
  </w:num>
  <w:num w:numId="43" w16cid:durableId="1572278874">
    <w:abstractNumId w:val="10"/>
  </w:num>
  <w:num w:numId="44" w16cid:durableId="193871029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24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285E"/>
    <w:rsid w:val="002767FF"/>
    <w:rsid w:val="002B18FE"/>
    <w:rsid w:val="002B5493"/>
    <w:rsid w:val="00343214"/>
    <w:rsid w:val="0035682E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4E0A"/>
    <w:rsid w:val="004B32C9"/>
    <w:rsid w:val="004C0004"/>
    <w:rsid w:val="004C5D52"/>
    <w:rsid w:val="004D32F0"/>
    <w:rsid w:val="0050519A"/>
    <w:rsid w:val="005072A1"/>
    <w:rsid w:val="00514517"/>
    <w:rsid w:val="00537D63"/>
    <w:rsid w:val="00545827"/>
    <w:rsid w:val="00560270"/>
    <w:rsid w:val="005C2568"/>
    <w:rsid w:val="005D7D7A"/>
    <w:rsid w:val="005F1B17"/>
    <w:rsid w:val="006037C0"/>
    <w:rsid w:val="0063111B"/>
    <w:rsid w:val="006631B6"/>
    <w:rsid w:val="00663D53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45A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1291"/>
    <w:rsid w:val="00B12E95"/>
    <w:rsid w:val="00B22876"/>
    <w:rsid w:val="00B558F0"/>
    <w:rsid w:val="00BD48FE"/>
    <w:rsid w:val="00BD7BD8"/>
    <w:rsid w:val="00BE6ADC"/>
    <w:rsid w:val="00C05BFE"/>
    <w:rsid w:val="00C12008"/>
    <w:rsid w:val="00C23CD4"/>
    <w:rsid w:val="00C61C0C"/>
    <w:rsid w:val="00C941CB"/>
    <w:rsid w:val="00CA278E"/>
    <w:rsid w:val="00CC2357"/>
    <w:rsid w:val="00CF071A"/>
    <w:rsid w:val="00D058B8"/>
    <w:rsid w:val="00D56C11"/>
    <w:rsid w:val="00D81240"/>
    <w:rsid w:val="00D834A0"/>
    <w:rsid w:val="00D872DF"/>
    <w:rsid w:val="00D91E21"/>
    <w:rsid w:val="00DA7FCD"/>
    <w:rsid w:val="00E365E1"/>
    <w:rsid w:val="00E820A4"/>
    <w:rsid w:val="00EB006A"/>
    <w:rsid w:val="00EB4772"/>
    <w:rsid w:val="00EC7404"/>
    <w:rsid w:val="00ED169E"/>
    <w:rsid w:val="00ED4235"/>
    <w:rsid w:val="00EF2B2C"/>
    <w:rsid w:val="00F04346"/>
    <w:rsid w:val="00F075DC"/>
    <w:rsid w:val="00F149E9"/>
    <w:rsid w:val="00F5134D"/>
    <w:rsid w:val="00F7251F"/>
    <w:rsid w:val="00F74202"/>
    <w:rsid w:val="00F84C89"/>
    <w:rsid w:val="00F87713"/>
    <w:rsid w:val="00FB4360"/>
    <w:rsid w:val="00FD0C70"/>
  </w:rsids>
  <w:docVars>
    <w:docVar w:name="dvdocse" w:val="A10-0147/2026"/>
    <w:docVar w:name="dvlangue" w:val="CS"/>
    <w:docVar w:name="dvnumam" w:val="0"/>
    <w:docVar w:name="dvpe" w:val="776.883"/>
    <w:docVar w:name="dvrapporteur" w:val="Zpravodaj: "/>
    <w:docVar w:name="dvtitre" w:val="Usnesení Evropského parlamentu ze dne 16. června 2026 o posílení rozvojové spolupráce s cílem řešit nelegální pohyby obyvatelstva a jejich příčiny v partnerských zemích(2025/2111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937BAF4"/>
  <w15:chartTrackingRefBased/>
  <w15:docId w15:val="{8FD387CE-AC4A-472C-A2F3-967A7AB37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F7251F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F7251F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F7251F"/>
    <w:pPr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F7251F"/>
    <w:pPr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F7251F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F7251F"/>
    <w:rPr>
      <w:color w:val="0000FF"/>
      <w:u w:val="single"/>
    </w:rPr>
  </w:style>
  <w:style w:type="paragraph" w:styleId="Revision">
    <w:name w:val="Revision"/>
    <w:hidden/>
    <w:uiPriority w:val="99"/>
    <w:semiHidden/>
    <w:rsid w:val="00EC7404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reg/2021/947/oj" TargetMode="External" /><Relationship Id="rId10" Type="http://schemas.openxmlformats.org/officeDocument/2006/relationships/hyperlink" Target="https://www.unhcr.org/about-unhcr/overview/figures-glance" TargetMode="External" /><Relationship Id="rId2" Type="http://schemas.openxmlformats.org/officeDocument/2006/relationships/hyperlink" Target="http://data.europa.eu/eli/reg/2024/1351/oj" TargetMode="External" /><Relationship Id="rId3" Type="http://schemas.openxmlformats.org/officeDocument/2006/relationships/hyperlink" Target="http://data.europa.eu/eli/agree_internation/2023/2862/oj" TargetMode="External" /><Relationship Id="rId4" Type="http://schemas.openxmlformats.org/officeDocument/2006/relationships/hyperlink" Target="http://data.europa.eu/eli/C/2026/576/oj" TargetMode="External" /><Relationship Id="rId5" Type="http://schemas.openxmlformats.org/officeDocument/2006/relationships/hyperlink" Target="https://emm.iom.int/handbooks/global-context-international-migration/drivers-international-migration" TargetMode="External" /><Relationship Id="rId6" Type="http://schemas.openxmlformats.org/officeDocument/2006/relationships/hyperlink" Target="https://euaa.europa.eu/asylum-report-2025/34-data-applications-international-protection" TargetMode="External" /><Relationship Id="rId7" Type="http://schemas.openxmlformats.org/officeDocument/2006/relationships/hyperlink" Target="https://www.frontex.europa.eu/media-centre/news/news-release/frontex-irregular-border-crossings-down-26-in-2025-europe-must-stay-prepared-lyKpVb" TargetMode="External" /><Relationship Id="rId8" Type="http://schemas.openxmlformats.org/officeDocument/2006/relationships/hyperlink" Target="https://ec.europa.eu/eurostat/statistics-explained/index.php?title=Migration_to_and_from_the_EU" TargetMode="External" /><Relationship Id="rId9" Type="http://schemas.openxmlformats.org/officeDocument/2006/relationships/hyperlink" Target="https://ec.europa.eu/eurostat/web/interactive-publications/migration-202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4583</Words>
  <Characters>27027</Characters>
  <Application>Microsoft Office Word</Application>
  <DocSecurity>0</DocSecurity>
  <Lines>614</Lines>
  <Paragraphs>245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2026-07-15T14:50:00Z</dcterms:created>
  <dcterms:modified xsi:type="dcterms:W3CDTF">2026-07-15T14:50:00Z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A10-0147/2026</vt:lpwstr>
  </property>
  <property fmtid="{D5CDD505-2E9C-101B-9397-08002B2CF9AE}" pid="4" name="&lt;Type&gt;">
    <vt:lpwstr>RR</vt:lpwstr>
  </property>
</Properties>
</file>