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FD571BC" w14:textId="77777777" w:rsidTr="0010095E">
        <w:tblPrEx>
          <w:tblW w:w="9072" w:type="dxa"/>
          <w:tblLook w:val="01E0"/>
        </w:tblPrEx>
        <w:trPr>
          <w:trHeight w:hRule="exact" w:val="1418"/>
        </w:trPr>
        <w:tc>
          <w:tcPr>
            <w:tcW w:w="6804" w:type="dxa"/>
            <w:shd w:val="clear" w:color="auto" w:fill="auto"/>
            <w:vAlign w:val="center"/>
          </w:tcPr>
          <w:p w:rsidR="00751A4A" w:rsidRPr="007E621E" w:rsidP="0010095E" w14:paraId="7814E616" w14:textId="77777777">
            <w:pPr>
              <w:pStyle w:val="EPName"/>
            </w:pPr>
            <w:r w:rsidRPr="007E621E">
              <w:t>Europa-Parlamentet</w:t>
            </w:r>
          </w:p>
          <w:p w:rsidR="00751A4A" w:rsidRPr="007E621E" w:rsidP="005F1B17" w14:paraId="54CBE283" w14:textId="77777777">
            <w:pPr>
              <w:pStyle w:val="EPTerm"/>
              <w:rPr>
                <w:rStyle w:val="HideTWBExt"/>
                <w:noProof w:val="0"/>
                <w:vanish w:val="0"/>
                <w:color w:val="auto"/>
              </w:rPr>
            </w:pPr>
            <w:r w:rsidRPr="007E621E">
              <w:t>2024</w:t>
            </w:r>
            <w:r w:rsidRPr="007E621E" w:rsidR="00817416">
              <w:t>-202</w:t>
            </w:r>
            <w:r w:rsidRPr="007E621E">
              <w:t>9</w:t>
            </w:r>
          </w:p>
        </w:tc>
        <w:tc>
          <w:tcPr>
            <w:tcW w:w="2268" w:type="dxa"/>
            <w:shd w:val="clear" w:color="auto" w:fill="auto"/>
          </w:tcPr>
          <w:p w:rsidR="00751A4A" w:rsidRPr="007E621E" w:rsidP="0010095E" w14:paraId="2CBD93A2" w14:textId="77777777">
            <w:pPr>
              <w:pStyle w:val="EPLogo"/>
            </w:pPr>
            <w:r w:rsidRPr="007E621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E621E" w:rsidP="004C5D52" w14:paraId="3A7928DE" w14:textId="77777777">
      <w:pPr>
        <w:pStyle w:val="LineTop"/>
      </w:pPr>
    </w:p>
    <w:p w:rsidR="00680577" w:rsidRPr="007E621E" w:rsidP="00680577" w14:paraId="552191F5" w14:textId="77777777">
      <w:pPr>
        <w:pStyle w:val="EPBodyTA1"/>
      </w:pPr>
      <w:r w:rsidRPr="007E621E">
        <w:t>VEDTAGNE TEKSTER</w:t>
      </w:r>
    </w:p>
    <w:p w:rsidR="00D058B8" w:rsidRPr="007E621E" w:rsidP="00D058B8" w14:paraId="03E93E85" w14:textId="77777777">
      <w:pPr>
        <w:pStyle w:val="LineBottom"/>
      </w:pPr>
    </w:p>
    <w:p w:rsidR="00AC6C62" w:rsidRPr="007E621E" w:rsidP="00AC6C62" w14:paraId="261037FB" w14:textId="427E7DF3">
      <w:pPr>
        <w:pStyle w:val="ATHeading1"/>
      </w:pPr>
      <w:bookmarkStart w:id="0" w:name="TANumber"/>
      <w:r w:rsidRPr="007E621E">
        <w:t>P10_TA(2026)0</w:t>
      </w:r>
      <w:bookmarkEnd w:id="0"/>
      <w:r w:rsidR="00694939">
        <w:t>205</w:t>
      </w:r>
    </w:p>
    <w:p w:rsidR="00AC6C62" w:rsidRPr="009203BE" w:rsidP="001A091A" w14:paraId="57404C7C" w14:textId="7D8D36A4">
      <w:pPr>
        <w:pStyle w:val="ATHeading2"/>
      </w:pPr>
      <w:r>
        <w:t>Styrkelse af udviklingssamarbejdet for at imødegå irregulære befolkningsbevægelser og de grundlæggende årsager hertil i partnerlandene</w:t>
      </w:r>
    </w:p>
    <w:p w:rsidR="00AC6C62" w:rsidRPr="007E621E" w:rsidP="00AC6C62" w14:paraId="58C302A5" w14:textId="77777777">
      <w:pPr>
        <w:rPr>
          <w:i/>
          <w:vanish/>
        </w:rPr>
      </w:pPr>
      <w:r>
        <w:rPr>
          <w:i/>
        </w:rPr>
        <w:fldChar w:fldCharType="begin"/>
      </w:r>
      <w:r w:rsidRPr="007E621E">
        <w:rPr>
          <w:i/>
        </w:rPr>
        <w:instrText xml:space="preserve"> TC"(</w:instrText>
      </w:r>
      <w:bookmarkStart w:id="1" w:name="DocNumber"/>
      <w:r w:rsidRPr="007E621E">
        <w:rPr>
          <w:i/>
        </w:rPr>
        <w:instrText>A10-0147/2026</w:instrText>
      </w:r>
      <w:bookmarkEnd w:id="1"/>
      <w:r w:rsidRPr="007E621E">
        <w:rPr>
          <w:i/>
        </w:rPr>
        <w:instrText xml:space="preserve"> - Ordfører: Lukas Mandl)"\l3 \n&gt; \* MERGEFORMAT </w:instrText>
      </w:r>
      <w:r>
        <w:rPr>
          <w:i/>
        </w:rPr>
        <w:fldChar w:fldCharType="end"/>
      </w:r>
    </w:p>
    <w:p w:rsidR="00AC6C62" w:rsidRPr="007E621E" w:rsidP="00AC6C62" w14:paraId="4C49465D" w14:textId="77777777">
      <w:pPr>
        <w:rPr>
          <w:vanish/>
        </w:rPr>
      </w:pPr>
      <w:bookmarkStart w:id="2" w:name="Commission"/>
      <w:r w:rsidRPr="007E621E">
        <w:rPr>
          <w:vanish/>
        </w:rPr>
        <w:t>Udviklingsudvalget</w:t>
      </w:r>
      <w:bookmarkEnd w:id="2"/>
    </w:p>
    <w:p w:rsidR="00AC6C62" w:rsidRPr="007E621E" w:rsidP="00AC6C62" w14:paraId="321D3022" w14:textId="77777777">
      <w:pPr>
        <w:rPr>
          <w:vanish/>
        </w:rPr>
      </w:pPr>
      <w:bookmarkStart w:id="3" w:name="PE"/>
      <w:r w:rsidRPr="007E621E">
        <w:rPr>
          <w:vanish/>
        </w:rPr>
        <w:t>PE776.883</w:t>
      </w:r>
      <w:bookmarkEnd w:id="3"/>
    </w:p>
    <w:p w:rsidR="00AC6C62" w:rsidRPr="007E621E" w:rsidP="00AC6C62" w14:paraId="24CC53BB" w14:textId="2333B0B4">
      <w:pPr>
        <w:pStyle w:val="ATHeading3"/>
      </w:pPr>
      <w:bookmarkStart w:id="4" w:name="Sujet"/>
      <w:r w:rsidRPr="007E621E">
        <w:t xml:space="preserve">Europa-Parlamentets beslutning af </w:t>
      </w:r>
      <w:r w:rsidR="001A091A">
        <w:t>16</w:t>
      </w:r>
      <w:r w:rsidRPr="007E621E">
        <w:t>.</w:t>
      </w:r>
      <w:r w:rsidR="00964748">
        <w:t xml:space="preserve"> juni</w:t>
      </w:r>
      <w:r w:rsidRPr="007E621E">
        <w:t xml:space="preserve"> 2026 om styrkelse af udviklingssamarbejdet for at imødegå irregulære befolkningsbevægelser og de grundlæggende årsager hertil i partnerlandene</w:t>
      </w:r>
      <w:bookmarkEnd w:id="4"/>
      <w:r w:rsidRPr="007E621E">
        <w:t xml:space="preserve"> </w:t>
      </w:r>
      <w:bookmarkStart w:id="5" w:name="References"/>
      <w:r w:rsidRPr="007E621E">
        <w:t>(2025/2111(INI))</w:t>
      </w:r>
      <w:bookmarkEnd w:id="5"/>
    </w:p>
    <w:p w:rsidR="000059BC" w:rsidRPr="00610DDF" w:rsidP="000059BC" w14:paraId="651C33F3" w14:textId="77777777">
      <w:pPr>
        <w:pStyle w:val="Normal12"/>
        <w:rPr>
          <w:i/>
          <w:iCs/>
        </w:rPr>
      </w:pPr>
      <w:r w:rsidRPr="00610DDF">
        <w:rPr>
          <w:i/>
          <w:iCs/>
        </w:rPr>
        <w:t>Europa-Parlamentet,</w:t>
      </w:r>
    </w:p>
    <w:p w:rsidR="000059BC" w:rsidRPr="007E621E" w:rsidP="000059BC" w14:paraId="0601D144" w14:textId="77777777">
      <w:pPr>
        <w:pStyle w:val="NormalHanging"/>
      </w:pPr>
      <w:r w:rsidRPr="007E621E">
        <w:t>–</w:t>
      </w:r>
      <w:r w:rsidRPr="007E621E">
        <w:tab/>
        <w:t>der henviser til artikel 79 og 208 i traktaten om Den Europæiske Unions funktionsmåde (TEUF),</w:t>
      </w:r>
    </w:p>
    <w:p w:rsidR="000059BC" w:rsidRPr="007E621E" w:rsidP="000059BC" w14:paraId="0EC5C4F8" w14:textId="77777777">
      <w:pPr>
        <w:pStyle w:val="NormalHanging"/>
      </w:pPr>
      <w:r w:rsidRPr="007E621E">
        <w:t>–</w:t>
      </w:r>
      <w:r w:rsidRPr="007E621E">
        <w:tab/>
        <w:t>der henviser til artikel 3, stk. 5, og 21 i traktaten om Den Europæiske Union (TEU),</w:t>
      </w:r>
    </w:p>
    <w:p w:rsidR="000059BC" w:rsidRPr="00964748" w:rsidP="000059BC" w14:paraId="54221876" w14:textId="54F63432">
      <w:pPr>
        <w:pStyle w:val="NormalHanging"/>
        <w:rPr>
          <w:lang w:val="en-GB"/>
        </w:rPr>
      </w:pPr>
      <w:r w:rsidRPr="00964748">
        <w:rPr>
          <w:lang w:val="en-GB"/>
        </w:rPr>
        <w:t>–</w:t>
      </w:r>
      <w:r w:rsidRPr="00964748">
        <w:rPr>
          <w:lang w:val="en-GB"/>
        </w:rPr>
        <w:tab/>
        <w:t xml:space="preserve">der </w:t>
      </w:r>
      <w:r w:rsidRPr="00964748">
        <w:rPr>
          <w:lang w:val="en-GB"/>
        </w:rPr>
        <w:t>henviser</w:t>
      </w:r>
      <w:r w:rsidRPr="00964748">
        <w:rPr>
          <w:lang w:val="en-GB"/>
        </w:rPr>
        <w:t xml:space="preserve"> </w:t>
      </w:r>
      <w:r w:rsidRPr="00964748">
        <w:rPr>
          <w:lang w:val="en-GB"/>
        </w:rPr>
        <w:t>til</w:t>
      </w:r>
      <w:r w:rsidRPr="00964748">
        <w:rPr>
          <w:lang w:val="en-GB"/>
        </w:rPr>
        <w:t xml:space="preserve"> </w:t>
      </w:r>
      <w:r w:rsidRPr="00964748">
        <w:rPr>
          <w:lang w:val="en-GB"/>
        </w:rPr>
        <w:t>arbejdsdokument</w:t>
      </w:r>
      <w:r w:rsidRPr="00964748">
        <w:rPr>
          <w:lang w:val="en-GB"/>
        </w:rPr>
        <w:t xml:space="preserve"> </w:t>
      </w:r>
      <w:r w:rsidRPr="00964748">
        <w:rPr>
          <w:lang w:val="en-GB"/>
        </w:rPr>
        <w:t>fra</w:t>
      </w:r>
      <w:r w:rsidRPr="00964748">
        <w:rPr>
          <w:lang w:val="en-GB"/>
        </w:rPr>
        <w:t xml:space="preserve"> </w:t>
      </w:r>
      <w:r w:rsidRPr="00964748">
        <w:rPr>
          <w:lang w:val="en-GB"/>
        </w:rPr>
        <w:t>Kommissionens</w:t>
      </w:r>
      <w:r w:rsidRPr="00964748">
        <w:rPr>
          <w:lang w:val="en-GB"/>
        </w:rPr>
        <w:t xml:space="preserve"> </w:t>
      </w:r>
      <w:r w:rsidRPr="00964748">
        <w:rPr>
          <w:lang w:val="en-GB"/>
        </w:rPr>
        <w:t>tjenestegrene</w:t>
      </w:r>
      <w:r w:rsidRPr="00964748">
        <w:rPr>
          <w:lang w:val="en-GB"/>
        </w:rPr>
        <w:t xml:space="preserve"> </w:t>
      </w:r>
      <w:r w:rsidRPr="00964748">
        <w:rPr>
          <w:lang w:val="en-GB"/>
        </w:rPr>
        <w:t>af</w:t>
      </w:r>
      <w:r w:rsidRPr="00964748">
        <w:rPr>
          <w:lang w:val="en-GB"/>
        </w:rPr>
        <w:t xml:space="preserve"> 30. </w:t>
      </w:r>
      <w:r w:rsidRPr="00964748">
        <w:rPr>
          <w:lang w:val="en-GB"/>
        </w:rPr>
        <w:t>juni</w:t>
      </w:r>
      <w:r w:rsidRPr="00964748">
        <w:rPr>
          <w:lang w:val="en-GB"/>
        </w:rPr>
        <w:t xml:space="preserve"> 2021 med </w:t>
      </w:r>
      <w:r w:rsidRPr="00964748">
        <w:rPr>
          <w:lang w:val="en-GB"/>
        </w:rPr>
        <w:t>titlen</w:t>
      </w:r>
      <w:r w:rsidRPr="00964748">
        <w:rPr>
          <w:lang w:val="en-GB"/>
        </w:rPr>
        <w:t xml:space="preserve"> "Applying the Human Rights Based Approach to International Partnerships – An updated Toolbox for placing rights holders at the centre of EU's Neighbourhood, Development and International Cooperation" (SWD(2021)0179),</w:t>
      </w:r>
    </w:p>
    <w:p w:rsidR="000059BC" w:rsidRPr="007E621E" w:rsidP="000059BC" w14:paraId="3B1153D0" w14:textId="3D6B0633">
      <w:pPr>
        <w:pStyle w:val="NormalHanging"/>
      </w:pPr>
      <w:r w:rsidRPr="007E621E">
        <w:t>–</w:t>
      </w:r>
      <w:r w:rsidRPr="007E621E">
        <w:tab/>
        <w:t>der henviser til Europa-Parlamentets og Rådets forordning (EU) 2021/947 af 9. juni 2021 om oprettelse af instrumentet for naboskab, udviklingssamarbejde og internationalt samarbejde – et globalt Europa</w:t>
      </w:r>
      <w:r>
        <w:rPr>
          <w:rStyle w:val="FootnoteReference"/>
        </w:rPr>
        <w:footnoteReference w:id="2"/>
      </w:r>
      <w:r w:rsidRPr="007E621E">
        <w:t>,</w:t>
      </w:r>
    </w:p>
    <w:p w:rsidR="000059BC" w:rsidRPr="007E621E" w:rsidP="000059BC" w14:paraId="22C93073" w14:textId="77777777">
      <w:pPr>
        <w:pStyle w:val="NormalHanging"/>
      </w:pPr>
      <w:r w:rsidRPr="007E621E">
        <w:t>–</w:t>
      </w:r>
      <w:r w:rsidRPr="007E621E">
        <w:tab/>
        <w:t>der henviser til Kommissionens forslag af 16. juli 2025 til Europa-Parlamentets og Rådets forordning om oprettelse af et globalt Europa (COM(2025)0551),</w:t>
      </w:r>
    </w:p>
    <w:p w:rsidR="000059BC" w:rsidRPr="007E621E" w:rsidP="000059BC" w14:paraId="1B54761C" w14:textId="114B6179">
      <w:pPr>
        <w:pStyle w:val="NormalHanging"/>
      </w:pPr>
      <w:r w:rsidRPr="007E621E">
        <w:t>–</w:t>
      </w:r>
      <w:r w:rsidRPr="007E621E">
        <w:tab/>
        <w:t>der henviser til Europa-Parlamentets og Rådets forordning (EU) 2024/1351 af 14. maj 2024 om asylforvaltning og migrationsstyring, om ændring af forordning (EU) 2021/1147 og (EU) 2021/1060 og om ophævelse af forordning (EU) nr. 604/2013</w:t>
      </w:r>
      <w:r>
        <w:rPr>
          <w:rStyle w:val="FootnoteReference"/>
        </w:rPr>
        <w:footnoteReference w:id="3"/>
      </w:r>
      <w:r w:rsidRPr="007E621E">
        <w:t>,</w:t>
      </w:r>
    </w:p>
    <w:p w:rsidR="000059BC" w:rsidRPr="007E621E" w:rsidP="000059BC" w14:paraId="1243CAD8" w14:textId="77777777">
      <w:pPr>
        <w:pStyle w:val="NormalHanging"/>
      </w:pPr>
      <w:r w:rsidRPr="007E621E">
        <w:t>–</w:t>
      </w:r>
      <w:r w:rsidRPr="007E621E">
        <w:tab/>
        <w:t xml:space="preserve">der henviser til Kommissionens forslag af 11. marts 2025 til Europa-Parlamentets og Rådets forordning om et fælles system for </w:t>
      </w:r>
      <w:r w:rsidRPr="007E621E">
        <w:t>tilbagesendelse</w:t>
      </w:r>
      <w:r w:rsidRPr="007E621E">
        <w:t xml:space="preserve"> af tredjelandsstatsborgere med ulovligt ophold i Unionen og om ophævelse af Europa-Parlamentets og Rådets direktiv 2008/115/EF, Rådets direktiv 2001/40/EF og Rådets afgørelse 2004/191/EF (COM(2025)0101),</w:t>
      </w:r>
    </w:p>
    <w:p w:rsidR="000059BC" w:rsidRPr="007E621E" w:rsidP="000059BC" w14:paraId="4DC97C90" w14:textId="0171004C">
      <w:pPr>
        <w:pStyle w:val="NormalHanging"/>
      </w:pPr>
      <w:r w:rsidRPr="007E621E">
        <w:t>–</w:t>
      </w:r>
      <w:r w:rsidRPr="007E621E">
        <w:tab/>
        <w:t xml:space="preserve">der henviser til partnerskabsaftalen mellem Den Europæiske Union og dens medlemsstater på den ene side og medlemmerne af organisationen af Stater i Afrika, </w:t>
      </w:r>
      <w:r w:rsidRPr="007E621E">
        <w:t>Caribien og Stillehavet på den anden side (Samoaaftalen)</w:t>
      </w:r>
      <w:r>
        <w:rPr>
          <w:rStyle w:val="FootnoteReference"/>
        </w:rPr>
        <w:footnoteReference w:id="4"/>
      </w:r>
      <w:r w:rsidRPr="007E621E">
        <w:t>,</w:t>
      </w:r>
    </w:p>
    <w:p w:rsidR="000059BC" w:rsidRPr="007E621E" w:rsidP="000059BC" w14:paraId="45BC6DB7" w14:textId="77777777">
      <w:pPr>
        <w:pStyle w:val="NormalHanging"/>
      </w:pPr>
      <w:r w:rsidRPr="007E621E">
        <w:t>–</w:t>
      </w:r>
      <w:r w:rsidRPr="007E621E">
        <w:tab/>
        <w:t>der henviser til Kommissionens meddelelse af 27. april 2022 med titlen "Tiltrækning af færdigheder og talent til EU" (COM(2022)0657),</w:t>
      </w:r>
    </w:p>
    <w:p w:rsidR="000059BC" w:rsidRPr="007E621E" w:rsidP="000059BC" w14:paraId="68C9D14E" w14:textId="77777777">
      <w:pPr>
        <w:pStyle w:val="NormalHanging"/>
      </w:pPr>
      <w:r w:rsidRPr="007E621E">
        <w:t>–</w:t>
      </w:r>
      <w:r w:rsidRPr="007E621E">
        <w:tab/>
        <w:t>der henviser til pagten for Middelhavsområdet,</w:t>
      </w:r>
    </w:p>
    <w:p w:rsidR="000059BC" w:rsidRPr="007E621E" w:rsidP="000059BC" w14:paraId="216F96A6" w14:textId="77777777">
      <w:pPr>
        <w:pStyle w:val="NormalHanging"/>
      </w:pPr>
      <w:r w:rsidRPr="007E621E">
        <w:t>–</w:t>
      </w:r>
      <w:r w:rsidRPr="007E621E">
        <w:tab/>
        <w:t>der henviser til den fælles erklæring af 7. juni 2017 fra Rådet og repræsentanterne for medlemsstaternes regeringer, forsamlet i Rådet, Europa-Parlamentet og Kommissionen, om den nye europæiske konsensus om udvikling "Vores verden, vores værdighed, vores fremtid",</w:t>
      </w:r>
    </w:p>
    <w:p w:rsidR="000059BC" w:rsidRPr="007E621E" w:rsidP="000059BC" w14:paraId="50F314B4" w14:textId="77777777">
      <w:pPr>
        <w:pStyle w:val="NormalHanging"/>
      </w:pPr>
      <w:r w:rsidRPr="007E621E">
        <w:t>–</w:t>
      </w:r>
      <w:r w:rsidRPr="007E621E">
        <w:tab/>
        <w:t>der henviser til EU's Nødtrustfond for Afrika (EUTF) og Den Europæiske Revisionsrets særberetning 17/2024 af 25. september 2024 med titlen "EU's trustfond for Afrika – Støtten er stadig ufokuseret trods nye tilgange",</w:t>
      </w:r>
    </w:p>
    <w:p w:rsidR="000059BC" w:rsidRPr="007E621E" w:rsidP="000059BC" w14:paraId="186E124A" w14:textId="77777777">
      <w:pPr>
        <w:pStyle w:val="NormalHanging"/>
      </w:pPr>
      <w:r w:rsidRPr="007E621E">
        <w:t>–</w:t>
      </w:r>
      <w:r w:rsidRPr="007E621E">
        <w:tab/>
        <w:t>der henviser til Kommissionens meddelelse af 4. juni 2025 med titlen "EU-strategi for vandresiliens" (COM(2025)0280),</w:t>
      </w:r>
    </w:p>
    <w:p w:rsidR="000059BC" w:rsidRPr="007E621E" w:rsidP="000059BC" w14:paraId="51C04CA4" w14:textId="3B1D1A0D">
      <w:pPr>
        <w:pStyle w:val="NormalHanging"/>
      </w:pPr>
      <w:r w:rsidRPr="007E621E">
        <w:t>–</w:t>
      </w:r>
      <w:r w:rsidRPr="007E621E">
        <w:tab/>
        <w:t>der henviser til sin beslutning af 7. maj 2025 om den europæiske strategi for vandresiliens</w:t>
      </w:r>
      <w:r>
        <w:rPr>
          <w:rStyle w:val="FootnoteReference"/>
        </w:rPr>
        <w:footnoteReference w:id="5"/>
      </w:r>
      <w:r w:rsidRPr="007E621E">
        <w:t>,</w:t>
      </w:r>
    </w:p>
    <w:p w:rsidR="000059BC" w:rsidRPr="007E621E" w:rsidP="000059BC" w14:paraId="59490C6A" w14:textId="77777777">
      <w:pPr>
        <w:pStyle w:val="NormalHanging"/>
      </w:pPr>
      <w:r w:rsidRPr="007E621E">
        <w:t>–</w:t>
      </w:r>
      <w:r w:rsidRPr="007E621E">
        <w:tab/>
        <w:t>der henviser til den fælles meddelelse af 1. december 2021 fra Kommissionen og Unionens højtstående repræsentant for udenrigsanliggender og sikkerhedspolitik med titlen "Global Gateway" (</w:t>
      </w:r>
      <w:hyperlink r:id="rId7" w:tgtFrame="https://eur-lex.europa.eu/legal-content/DA/ALL/?uri=CELEX:52021JC0030" w:history="1">
        <w:r w:rsidRPr="007E621E">
          <w:rPr>
            <w:rStyle w:val="Hyperlink"/>
          </w:rPr>
          <w:t>JOIN(2021)0030</w:t>
        </w:r>
      </w:hyperlink>
      <w:r w:rsidRPr="007E621E">
        <w:t>),</w:t>
      </w:r>
    </w:p>
    <w:p w:rsidR="000059BC" w:rsidRPr="007E621E" w:rsidP="000059BC" w14:paraId="626E1A5E" w14:textId="77777777">
      <w:pPr>
        <w:pStyle w:val="NormalHanging"/>
      </w:pPr>
      <w:r w:rsidRPr="007E621E">
        <w:t>–</w:t>
      </w:r>
      <w:r w:rsidRPr="007E621E">
        <w:tab/>
        <w:t>der henviser til den fælles meddelelse af 2. oktober 2024 fra Kommissionen og Unionens højtstående repræsentant for udenrigsanliggender og sikkerhedspolitik med titlen "Opbygning af bæredygtige internationale partnerskaber som et Team Europe-initiativ" (JOIN(2024)0025),</w:t>
      </w:r>
    </w:p>
    <w:p w:rsidR="000059BC" w:rsidRPr="007E621E" w:rsidP="000059BC" w14:paraId="34F67C83" w14:textId="77777777">
      <w:pPr>
        <w:pStyle w:val="NormalHanging"/>
      </w:pPr>
      <w:r w:rsidRPr="007E621E">
        <w:t>–</w:t>
      </w:r>
      <w:r w:rsidRPr="007E621E">
        <w:tab/>
        <w:t>der henviser til Det Europæiske Råds konklusioner af 17. oktober 2024 om migration,</w:t>
      </w:r>
    </w:p>
    <w:p w:rsidR="000059BC" w:rsidRPr="007E621E" w:rsidP="000059BC" w14:paraId="6F138ACC" w14:textId="77777777">
      <w:pPr>
        <w:pStyle w:val="NormalHanging"/>
      </w:pPr>
      <w:r w:rsidRPr="007E621E">
        <w:t>–</w:t>
      </w:r>
      <w:r w:rsidRPr="007E621E">
        <w:tab/>
        <w:t>der henviser til FN's Generalforsamlings resolution 73/195 af 19. december 2018 om den globale aftale om sikker, velordnet og regulær migration,</w:t>
      </w:r>
    </w:p>
    <w:p w:rsidR="000059BC" w:rsidRPr="007E621E" w:rsidP="000059BC" w14:paraId="5BC0B2D0" w14:textId="77777777">
      <w:pPr>
        <w:pStyle w:val="NormalHanging"/>
      </w:pPr>
      <w:r w:rsidRPr="007E621E">
        <w:t>–</w:t>
      </w:r>
      <w:r w:rsidRPr="007E621E">
        <w:tab/>
        <w:t>der henviser til FN's Generalforsamlings resolution 71/1 af 19. september 2016 om New York-erklæringen om flygtninge og migranter,</w:t>
      </w:r>
    </w:p>
    <w:p w:rsidR="000059BC" w:rsidRPr="007E621E" w:rsidP="000059BC" w14:paraId="0A98B566" w14:textId="77777777">
      <w:pPr>
        <w:pStyle w:val="NormalHanging"/>
      </w:pPr>
      <w:r w:rsidRPr="007E621E">
        <w:t>–</w:t>
      </w:r>
      <w:r w:rsidRPr="007E621E">
        <w:tab/>
        <w:t>der henviser til FN's Generalforsamlings resolution 70/1 om ændring af vores samfund: 2030-dagsordenen for bæredygtig udvikling, vedtaget på topmødet om bæredygtig udvikling den 25. september 2015 i New York, som opstiller verdensmålene for bæredygtig udvikling, og henviser navnlig til mål 10.7,</w:t>
      </w:r>
    </w:p>
    <w:p w:rsidR="000059BC" w:rsidRPr="007E621E" w:rsidP="000059BC" w14:paraId="1F73C9BF" w14:textId="77777777">
      <w:pPr>
        <w:pStyle w:val="NormalHanging"/>
      </w:pPr>
      <w:r w:rsidRPr="007E621E">
        <w:t>–</w:t>
      </w:r>
      <w:r w:rsidRPr="007E621E">
        <w:tab/>
        <w:t>der henviser til Genevekonventionen om flygtninges retsstilling af 1951 og New York-protokollen hertil af 1967,</w:t>
      </w:r>
    </w:p>
    <w:p w:rsidR="000059BC" w:rsidRPr="007E621E" w:rsidP="000059BC" w14:paraId="380F6700" w14:textId="77777777">
      <w:pPr>
        <w:pStyle w:val="NormalHanging"/>
      </w:pPr>
      <w:r w:rsidRPr="007E621E">
        <w:t>–</w:t>
      </w:r>
      <w:r w:rsidRPr="007E621E">
        <w:tab/>
        <w:t xml:space="preserve">der henviser til retningslinjerne fra Organisationen for Økonomisk Samarbejde og Udviklings Komité for Udviklingsbistand om migrationsrelaterede aktiviteter inden for </w:t>
      </w:r>
      <w:r w:rsidRPr="007E621E">
        <w:t>officiel udviklingsbistand (ODA) og den tilhørende værktøjskasse,</w:t>
      </w:r>
    </w:p>
    <w:p w:rsidR="000059BC" w:rsidRPr="007E621E" w:rsidP="000059BC" w14:paraId="41EF30D5" w14:textId="77777777">
      <w:pPr>
        <w:pStyle w:val="NormalHanging"/>
      </w:pPr>
      <w:r w:rsidRPr="007E621E">
        <w:t>–</w:t>
      </w:r>
      <w:r w:rsidRPr="007E621E">
        <w:tab/>
        <w:t>der henviser til den europæiske menneskerettighedskonvention fra 1950,</w:t>
      </w:r>
    </w:p>
    <w:p w:rsidR="000059BC" w:rsidRPr="007E621E" w:rsidP="000059BC" w14:paraId="10314050" w14:textId="224C4CAE">
      <w:pPr>
        <w:pStyle w:val="NormalHanging"/>
      </w:pPr>
      <w:r w:rsidRPr="007E621E">
        <w:t>–</w:t>
      </w:r>
      <w:r w:rsidRPr="007E621E">
        <w:tab/>
        <w:t>der henviser til undersøgelsen udarbejdet for Parlamentets Udviklingsudvalg om EU-udviklingsbistandens rolle i at imødegå irregulær migration i Afrika</w:t>
      </w:r>
      <w:r>
        <w:rPr>
          <w:rStyle w:val="FootnoteReference"/>
        </w:rPr>
        <w:footnoteReference w:id="6"/>
      </w:r>
      <w:r w:rsidRPr="007E621E">
        <w:t>,</w:t>
      </w:r>
    </w:p>
    <w:p w:rsidR="000059BC" w:rsidRPr="007E621E" w:rsidP="000059BC" w14:paraId="4C7CE3E0" w14:textId="50C59219">
      <w:pPr>
        <w:pStyle w:val="NormalHanging"/>
      </w:pPr>
      <w:r w:rsidRPr="007E621E">
        <w:t>–</w:t>
      </w:r>
      <w:r w:rsidRPr="007E621E">
        <w:tab/>
        <w:t>der henviser til sin beslutning af 25. marts 2021 om en ny EU-Afrika-strategi – et partnerskab for bæredygtig og inklusiv udvikling</w:t>
      </w:r>
      <w:r>
        <w:rPr>
          <w:rStyle w:val="FootnoteReference"/>
        </w:rPr>
        <w:footnoteReference w:id="7"/>
      </w:r>
      <w:r w:rsidRPr="007E621E">
        <w:t>,</w:t>
      </w:r>
    </w:p>
    <w:p w:rsidR="000059BC" w:rsidRPr="007E621E" w:rsidP="000059BC" w14:paraId="6E3EE5A9" w14:textId="77777777">
      <w:pPr>
        <w:pStyle w:val="NormalHanging"/>
      </w:pPr>
      <w:r w:rsidRPr="007E621E">
        <w:t>–</w:t>
      </w:r>
      <w:r w:rsidRPr="007E621E">
        <w:tab/>
        <w:t>der henviser til forretningsordenens artikel 55,</w:t>
      </w:r>
    </w:p>
    <w:p w:rsidR="000059BC" w:rsidRPr="007E621E" w:rsidP="000059BC" w14:paraId="7DFD63B3" w14:textId="77777777">
      <w:pPr>
        <w:pStyle w:val="NormalHanging"/>
      </w:pPr>
      <w:r w:rsidRPr="007E621E">
        <w:t>–</w:t>
      </w:r>
      <w:r w:rsidRPr="007E621E">
        <w:tab/>
        <w:t>der henviser til betænkning fra Udviklingsudvalget (A10-0147/2026),</w:t>
      </w:r>
    </w:p>
    <w:p w:rsidR="000059BC" w:rsidRPr="007E621E" w:rsidP="000059BC" w14:paraId="7CE6CC06" w14:textId="5EE8DDC6">
      <w:pPr>
        <w:pStyle w:val="NormalHanging"/>
      </w:pPr>
      <w:r w:rsidRPr="007E621E">
        <w:t>A.</w:t>
      </w:r>
      <w:r w:rsidRPr="007E621E">
        <w:tab/>
        <w:t>der henviser til, at migration og mobilitet, fred, god forvaltning, stabilitet, inklusiv vækst og bæredygtig udvikling er tæt forbundet med hinanden; der henviser til, at migration drives af faktorer på både makro- og mikroniveau såsom væbnet konflikt, politisk ustabilitet, økonomiske vanskeligheder, manglende muligheder og fattigdom, begrænset adgang til sociale beskyttelsesmekanismer, utilstrækkelige tjenesteydelser, marginalisering, forskelsbehandling eller forfølgelse af sårbare personer, herunder med hensyn til deres religions- og trosfrihed, fødevareusikkerhed og begrænset adgang til rent vand samt miljøforringelse og klimaforandringer</w:t>
      </w:r>
      <w:r>
        <w:rPr>
          <w:rStyle w:val="FootnoteReference"/>
        </w:rPr>
        <w:footnoteReference w:id="8"/>
      </w:r>
      <w:r w:rsidRPr="007E621E">
        <w:t>;</w:t>
      </w:r>
    </w:p>
    <w:p w:rsidR="000059BC" w:rsidRPr="007E621E" w:rsidP="000059BC" w14:paraId="3D2E0814" w14:textId="77777777">
      <w:pPr>
        <w:pStyle w:val="NormalHanging"/>
      </w:pPr>
      <w:r w:rsidRPr="007E621E">
        <w:t>B.</w:t>
      </w:r>
      <w:r w:rsidRPr="007E621E">
        <w:tab/>
        <w:t>der henviser til, at irregulære befolkningsbevægelser omfatter forskellige kategorier af migranter såsom flygtninge og asylansøgere, der søger international beskyttelse; der henviser til, at ansøgere om international beskyttelse kan forblive i de ansvarlige medlemsstater, indtil der er truffet afgørelse om deres ansøgning;</w:t>
      </w:r>
    </w:p>
    <w:p w:rsidR="000059BC" w:rsidRPr="007E621E" w:rsidP="000059BC" w14:paraId="29F8B185" w14:textId="77777777">
      <w:pPr>
        <w:pStyle w:val="NormalHanging"/>
      </w:pPr>
      <w:r w:rsidRPr="007E621E">
        <w:t>C.</w:t>
      </w:r>
      <w:r w:rsidRPr="007E621E">
        <w:tab/>
        <w:t>der henviser til, at udviklingssamarbejde spiller en grundlæggende rolle i at udrydde fattigdom, løse op for sårbarheder, fremme menneskelig udvikling og bæredygtighed i alle deres facetter, håndtere globale udfordringer gennem internationale partnerskaber, der opretholder og fremmer europæiske værdier og interesser og bidrager til fred og velstand i verden;</w:t>
      </w:r>
    </w:p>
    <w:p w:rsidR="000059BC" w:rsidRPr="007E621E" w:rsidP="000059BC" w14:paraId="44BF1561" w14:textId="77777777">
      <w:pPr>
        <w:pStyle w:val="NormalHanging"/>
      </w:pPr>
      <w:r w:rsidRPr="007E621E">
        <w:t>D.</w:t>
      </w:r>
      <w:r w:rsidRPr="007E621E">
        <w:tab/>
        <w:t>der henviser til, at EU's udviklingspolitik fremmer bæredygtig udvikling og stabilitet i udviklingslandene med det endelige mål at udrydde ekstrem fattigdom i overensstemmelse med 2030-dagsordenen og målene for bæredygtig udvikling, jf. artikel 208 i TEUF, samtidig med at princippet om udviklingsvenlig politikkohærens opretholdes;</w:t>
      </w:r>
    </w:p>
    <w:p w:rsidR="000059BC" w:rsidRPr="007E621E" w:rsidP="000059BC" w14:paraId="71A410D0" w14:textId="77777777">
      <w:pPr>
        <w:pStyle w:val="NormalHanging"/>
      </w:pPr>
      <w:r w:rsidRPr="007E621E">
        <w:t>E.</w:t>
      </w:r>
      <w:r w:rsidRPr="007E621E">
        <w:tab/>
        <w:t>der henviser til, at udviklingssamarbejde skal være baseret på kontrollerbare resultater og på et konkret, fælles engagement i bæredygtig udvikling;</w:t>
      </w:r>
    </w:p>
    <w:p w:rsidR="000059BC" w:rsidRPr="007E621E" w:rsidP="000059BC" w14:paraId="3E25EEF4" w14:textId="77777777">
      <w:pPr>
        <w:pStyle w:val="NormalHanging"/>
      </w:pPr>
      <w:r w:rsidRPr="007E621E">
        <w:t>F.</w:t>
      </w:r>
      <w:r w:rsidRPr="007E621E">
        <w:tab/>
        <w:t xml:space="preserve">der henviser til, at EU's Nødtrustfond for Afrika (EUTF) blev oprettet til at håndtere de underliggende årsager til tvangsfordrivelser og irregulær migration og bidrage til en </w:t>
      </w:r>
      <w:r w:rsidRPr="007E621E">
        <w:t>bedre migrationsstyring; der henviser til, at Den Europæiske Revisionsret i sin særberetning konstaterede, at der var mange af trustfondens mål, som fonden ikke formåede at indfri, fordi der ikke var fastlagt nogen klar strategi;</w:t>
      </w:r>
    </w:p>
    <w:p w:rsidR="000059BC" w:rsidRPr="007E621E" w:rsidP="000059BC" w14:paraId="504CD5FD" w14:textId="6A3000F9">
      <w:pPr>
        <w:pStyle w:val="NormalHanging"/>
      </w:pPr>
      <w:r w:rsidRPr="007E621E">
        <w:t>G.</w:t>
      </w:r>
      <w:r w:rsidRPr="007E621E">
        <w:tab/>
        <w:t>der henviser til, at EU siden 2015 har stået over for migrationsstrømme i en hidtil uset skala, og at forvaltningen heraf har krævet en vedvarende indsats fra medlemsstaternes side, hvorfor det er nødvendigt at styrke EU's udviklingspolitiske tiltag med henblik på at imødegå de grundlæggende årsager til irregulær migration og tvangsfordrivelse, eftersom der blev indgivet over 8,5 mio. asylansøgninger i EU's medlemsstater mellem 2015 og 2024</w:t>
      </w:r>
      <w:r>
        <w:rPr>
          <w:rStyle w:val="FootnoteReference"/>
        </w:rPr>
        <w:footnoteReference w:id="9"/>
      </w:r>
      <w:r w:rsidRPr="007E621E">
        <w:t>; der henviser til, at irregulære grænsepassager ved EU's ydre grænser faldt med over en fjerdedel (26 %) i 2025 til næsten 178 000</w:t>
      </w:r>
      <w:r>
        <w:rPr>
          <w:rStyle w:val="FootnoteReference"/>
        </w:rPr>
        <w:footnoteReference w:id="10"/>
      </w:r>
      <w:r w:rsidRPr="007E621E">
        <w:t>; der henviser til, at det store flertal af migranter, der kommer til Europa, ankommer på lovlig vis; der henviser til, at verdensmål 10.7 opfordrer landene til at fremme velordnet, sikker, regulær og ansvarlig migration og mobilitet for mennesker ved hjælp af planlagte og velforvaltede migrationspolitikker;</w:t>
      </w:r>
    </w:p>
    <w:p w:rsidR="000059BC" w:rsidRPr="007E621E" w:rsidP="000059BC" w14:paraId="2EBA3276" w14:textId="70368256">
      <w:pPr>
        <w:pStyle w:val="NormalHanging"/>
      </w:pPr>
      <w:r w:rsidRPr="007E621E">
        <w:t>H.</w:t>
      </w:r>
      <w:r w:rsidRPr="007E621E">
        <w:tab/>
        <w:t>der henviser til, at 4,2 millioner mennesker migrerede til EU fra lande udenfor i 2024</w:t>
      </w:r>
      <w:r>
        <w:rPr>
          <w:rStyle w:val="FootnoteReference"/>
        </w:rPr>
        <w:footnoteReference w:id="11"/>
      </w:r>
      <w:r w:rsidRPr="007E621E">
        <w:t>;</w:t>
      </w:r>
    </w:p>
    <w:p w:rsidR="000059BC" w:rsidRPr="007E621E" w:rsidP="000059BC" w14:paraId="382EB3C2" w14:textId="77777777">
      <w:pPr>
        <w:pStyle w:val="NormalHanging"/>
      </w:pPr>
      <w:r w:rsidRPr="007E621E">
        <w:t>I.</w:t>
      </w:r>
      <w:r w:rsidRPr="007E621E">
        <w:tab/>
        <w:t xml:space="preserve">der henviser til, at mange af asylansøgerne stammer fra lande, der er lav- og </w:t>
      </w:r>
      <w:r w:rsidRPr="007E621E">
        <w:t>mellemindkomstlande</w:t>
      </w:r>
      <w:r w:rsidRPr="007E621E">
        <w:t>; der henviser til, at godkendelsesraten for asylansøgere fra disse lande varierer betragteligt;</w:t>
      </w:r>
    </w:p>
    <w:p w:rsidR="000059BC" w:rsidRPr="007E621E" w:rsidP="000059BC" w14:paraId="72B2D99D" w14:textId="77777777">
      <w:pPr>
        <w:pStyle w:val="NormalHanging"/>
      </w:pPr>
      <w:r w:rsidRPr="007E621E">
        <w:t>J.</w:t>
      </w:r>
      <w:r w:rsidRPr="007E621E">
        <w:tab/>
        <w:t>der henviser til, at EU-landene i 2024 tildelte beskyttelsesstatus til 437 900 asylansøgere, hvilket er en stigning på 6,9 % i forhold til 2023 (409 530); der henviser til, at dette var det højeste antal siden de rekordtal, der blev registreret under flygtningekrisen i forbindelse med krigen i Syrien i 2016 og 2017; der henviser til, at asyltilkendelsesraten på EU-plan, som er andelen af alle positive afgørelser blandt det samlede antal asylafgørelser, var 51,4 % for afgørelser truffet i første instans i 2024;</w:t>
      </w:r>
    </w:p>
    <w:p w:rsidR="000059BC" w:rsidRPr="007E621E" w:rsidP="000059BC" w14:paraId="52534875" w14:textId="662E394A">
      <w:pPr>
        <w:pStyle w:val="NormalHanging"/>
      </w:pPr>
      <w:r w:rsidRPr="007E621E">
        <w:t>K.</w:t>
      </w:r>
      <w:r w:rsidRPr="007E621E">
        <w:tab/>
        <w:t xml:space="preserve">der henviser til, at 124 000 ikke-EU-borgere i 2024 blev nægtet indrejse i EU, at 919 000 blev fundet uden status, at 453 000 modtog afgørelse om </w:t>
      </w:r>
      <w:r w:rsidRPr="007E621E">
        <w:t>tilbagesendelse</w:t>
      </w:r>
      <w:r w:rsidRPr="007E621E">
        <w:t>, og at ca. 110 000 reelt blev sendt tilbage til et land uden for EU</w:t>
      </w:r>
      <w:r>
        <w:rPr>
          <w:rStyle w:val="FootnoteReference"/>
        </w:rPr>
        <w:footnoteReference w:id="12"/>
      </w:r>
      <w:r w:rsidRPr="007E621E">
        <w:t xml:space="preserve">; der henviser til, at ca. 20 % af dem, modtog afgørelse om </w:t>
      </w:r>
      <w:r w:rsidRPr="007E621E">
        <w:t>tilbagesendelse</w:t>
      </w:r>
      <w:r w:rsidRPr="007E621E">
        <w:t>, rent faktisk blev sendt tilbage</w:t>
      </w:r>
      <w:r>
        <w:rPr>
          <w:rStyle w:val="FootnoteReference"/>
        </w:rPr>
        <w:footnoteReference w:id="13"/>
      </w:r>
      <w:r w:rsidRPr="007E621E">
        <w:t>;</w:t>
      </w:r>
    </w:p>
    <w:p w:rsidR="000059BC" w:rsidRPr="007E621E" w:rsidP="000059BC" w14:paraId="600F840C" w14:textId="77777777">
      <w:pPr>
        <w:pStyle w:val="NormalHanging"/>
      </w:pPr>
      <w:r w:rsidRPr="007E621E">
        <w:t>L.</w:t>
      </w:r>
      <w:r w:rsidRPr="007E621E">
        <w:tab/>
        <w:t xml:space="preserve">der henviser til, at rejser med henblik på international migration hyppigst finder sted mellem nabolande; der henviser til, at langt de fleste flygtninge, personer med behov for international beskyttelse og internt fordrevne opholder sig i lav- og </w:t>
      </w:r>
      <w:r w:rsidRPr="007E621E">
        <w:t>mellemindkomstlande</w:t>
      </w:r>
      <w:r w:rsidRPr="007E621E">
        <w:t>; der henviser til, at den økonomiske byrde herved er tung at bære for de berørte lande og påvirker deres egen sociale og økonomiske samhørighed og udvikling; der henviser til, at udviklingssamarbejde derfor spiller en afgørende rolle med hensyn til at støtte fordrevne befolkningsgrupper og værtssamfund;</w:t>
      </w:r>
    </w:p>
    <w:p w:rsidR="000059BC" w:rsidRPr="007E621E" w:rsidP="000059BC" w14:paraId="4E49AE81" w14:textId="77777777">
      <w:pPr>
        <w:pStyle w:val="NormalHanging"/>
      </w:pPr>
      <w:r w:rsidRPr="007E621E">
        <w:t>M.</w:t>
      </w:r>
      <w:r w:rsidRPr="007E621E">
        <w:tab/>
        <w:t>der henviser til, at Afrika også står over for en intern migrationskrise, idet omkring 80 % af afrikansk migration finder sted internt på kontinentet; der henviser til, at Afrika syd for Sahara i 2024 registrerede 19,3 millioner nye interne fordrivelser, hvoraf 11,5 millioner var forårsaget af konflikt og 7,8 millioner af katastrofer; der henviser til, at det samlede antal internt fordrevne i Afrika nåede op på 38,8 millioner fra 2015 til 2024, hvilket svarer til 46 % af det samlede antal på verdensplan, hvoraf 68 % har oprindelse i DR Congo, Etiopien, Nigeria, Somalia og Sudan;</w:t>
      </w:r>
    </w:p>
    <w:p w:rsidR="000059BC" w:rsidRPr="007E621E" w:rsidP="000059BC" w14:paraId="7BB86526" w14:textId="70679333">
      <w:pPr>
        <w:pStyle w:val="NormalHanging"/>
      </w:pPr>
      <w:r w:rsidRPr="007E621E">
        <w:t>N.</w:t>
      </w:r>
      <w:r w:rsidRPr="007E621E">
        <w:tab/>
        <w:t>der henviser til, at 117,3 millioner mennesker på verdensplan pr. juni 2025 var blevet tvunget på flugt fra deres hjem på grund af forfølgelse, konflikt, vold, menneskerettighedskrænkelser eller forhold, der i alvorlig grad undergraver den offentlige orden; der henviser til, at 42,5 millioner af disse var flygtninge, 67,8 millioner var internt fordrevne, og 8,42 millioner var asylansøgere</w:t>
      </w:r>
      <w:r>
        <w:rPr>
          <w:rStyle w:val="FootnoteReference"/>
        </w:rPr>
        <w:footnoteReference w:id="14"/>
      </w:r>
      <w:r w:rsidRPr="007E621E">
        <w:t>;</w:t>
      </w:r>
    </w:p>
    <w:p w:rsidR="000059BC" w:rsidRPr="007E621E" w:rsidP="000059BC" w14:paraId="6C0D5E49" w14:textId="77777777">
      <w:pPr>
        <w:pStyle w:val="NormalHanging"/>
      </w:pPr>
      <w:r w:rsidRPr="007E621E">
        <w:t>O.</w:t>
      </w:r>
      <w:r w:rsidRPr="007E621E">
        <w:tab/>
        <w:t>der henviser til, at UNHCR i sin Global Trends Report og andre undersøgelser viser, at de fleste flygtninge og fordrevne ikke ønsker at forlade deres hjemland, men er tvunget af omstændigheder såsom konflikt, forfølgelse, vold eller ekstremt ringe levevilkår; der henviser til UNHCR-undersøgelse fra 2023, som viste, at langt de fleste flygtninge ville foretrække at forblive i deres lokalsamfund, hvis de var garanteret sikkerhed og levebrød;</w:t>
      </w:r>
    </w:p>
    <w:p w:rsidR="000059BC" w:rsidRPr="007E621E" w:rsidP="000059BC" w14:paraId="57E6FD8B" w14:textId="77777777">
      <w:pPr>
        <w:pStyle w:val="NormalHanging"/>
      </w:pPr>
      <w:r w:rsidRPr="007E621E">
        <w:t>P.</w:t>
      </w:r>
      <w:r w:rsidRPr="007E621E">
        <w:tab/>
        <w:t>der henviser til, at udviklingssamarbejde spiller en grundlæggende rolle i fattigdomsbekæmpelse og håndtering af udsatte situationer ved at støtte menneskelig udvikling, fremme og støtte principperne om demokrati, retsstatsprincippet, ligestilling mellem kønnene, menneskerettigheder og grundlæggende rettigheder og ved at styrke retshåndhævelsen samt skabe bæredygtige økonomiske muligheder, forbedre regeringsførelsen og fremme fred og stabilitet og dermed tackle de grundlæggende årsager til irregulær migration;</w:t>
      </w:r>
    </w:p>
    <w:p w:rsidR="000059BC" w:rsidRPr="007E621E" w:rsidP="000059BC" w14:paraId="5399B468" w14:textId="77777777">
      <w:pPr>
        <w:pStyle w:val="NormalHanging"/>
      </w:pPr>
      <w:r w:rsidRPr="007E621E">
        <w:t>Q.</w:t>
      </w:r>
      <w:r w:rsidRPr="007E621E">
        <w:tab/>
        <w:t>der henviser til, at forbedringer af levevilkår, uddannelse og jobmuligheder i oprindelseslandene er afgørende for at sikre, at folk kan skabe sig en fremtid i deres egne samfund i stedet for at blive nødt til at migrere; der henviser til, at et målrettet og effektivt samarbejde derfor kan reducere incitamenterne til irregulær migration ved at fremme stabilitet, sikkerhed og selvstændighed i partnerlandene;</w:t>
      </w:r>
    </w:p>
    <w:p w:rsidR="000059BC" w:rsidRPr="007E621E" w:rsidP="000059BC" w14:paraId="4AAADDBC" w14:textId="77777777">
      <w:pPr>
        <w:pStyle w:val="NormalHanging"/>
      </w:pPr>
      <w:r w:rsidRPr="007E621E">
        <w:t>R.</w:t>
      </w:r>
      <w:r w:rsidRPr="007E621E">
        <w:tab/>
        <w:t>der henviser til, at øget skrøbelighed, også under indtryk af klimaforandringer og miljøforringelser, samt udtømning og overudnyttelse af naturressourcer kan have en indvirkning på migration; der henviser til, at 90 % af alle naturkatastrofer er vandrelaterede og kan have følgevirkninger vedrørende fødevareusikkerhed, skærpet samfundskonflikt og migration;</w:t>
      </w:r>
    </w:p>
    <w:p w:rsidR="000059BC" w:rsidRPr="007E621E" w:rsidP="000059BC" w14:paraId="18095AFA" w14:textId="77777777">
      <w:pPr>
        <w:pStyle w:val="NormalHanging"/>
      </w:pPr>
      <w:r w:rsidRPr="007E621E">
        <w:t>S.</w:t>
      </w:r>
      <w:r w:rsidRPr="007E621E">
        <w:tab/>
        <w:t xml:space="preserve">der henviser til, at et højt niveau af fødevareusikkerhed fører til et højere niveau af migration på tværs af grænserne, idet en 1 %-stigning i fødevareusikkerhed inden for en given befolkning tvinger 1,9 % flere mennesker til at migrere; der henviser til, at selv om økonomiske og miljømæssige faktorer ikke i sig selv udgør grunde til at tilkende </w:t>
      </w:r>
      <w:r w:rsidRPr="007E621E">
        <w:t>asyl, bidrager de i væsentlig grad til sårbarhedsfaktorer, der kan kræve en omfattende international beskyttelsesorienteret reaktion;</w:t>
      </w:r>
    </w:p>
    <w:p w:rsidR="000059BC" w:rsidRPr="007E621E" w:rsidP="000059BC" w14:paraId="39F3EEF4" w14:textId="77777777">
      <w:pPr>
        <w:pStyle w:val="NormalHanging"/>
      </w:pPr>
      <w:r w:rsidRPr="007E621E">
        <w:t>T.</w:t>
      </w:r>
      <w:r w:rsidRPr="007E621E">
        <w:tab/>
        <w:t>der henviser til, at migrationsstrømmene ofte er forbundet med knaphed på naturressourcer, herunder vand; der henviser til, at 2,2 milliarder mennesker på verdensplan stadig ikke har adgang til vand, der er sikkert at drikke; der henviser til, at den europæiske strategi for vandresiliens har til formål at fremme vandresiliens og sikre adgang til bedre drikkevand og sanitet for mindst 70 millioner mennesker gennem et styrket nationalt og regionalt engagement under Global Gateway;</w:t>
      </w:r>
    </w:p>
    <w:p w:rsidR="000059BC" w:rsidRPr="007E621E" w:rsidP="000059BC" w14:paraId="5E22E114" w14:textId="77777777">
      <w:pPr>
        <w:pStyle w:val="NormalHanging"/>
      </w:pPr>
      <w:r w:rsidRPr="007E621E">
        <w:t>U.</w:t>
      </w:r>
      <w:r w:rsidRPr="007E621E">
        <w:tab/>
        <w:t>der henviser til, at EU's pagt om migration og asyl fremhæver betydningen af den eksterne dimension af migration ved, at der udvikles altomfattende partnerskaber baseret på politisk dialog, gensidigt engagement og en helhedsorienteret migrationsrutetilgang;</w:t>
      </w:r>
    </w:p>
    <w:p w:rsidR="000059BC" w:rsidRPr="007E621E" w:rsidP="000059BC" w14:paraId="7B219F51" w14:textId="77777777">
      <w:pPr>
        <w:pStyle w:val="NormalHanging"/>
      </w:pPr>
      <w:r w:rsidRPr="007E621E">
        <w:t>V.</w:t>
      </w:r>
      <w:r w:rsidRPr="007E621E">
        <w:tab/>
        <w:t>der henviser til, at pagten for Middelhavsområdet lægger op til at udvide Erasmus+ til flere lande i Mellemøsten og Afrika for at knytte forbindelser mellem unge og understøtte et mere integreret og inklusivt miljø for videregående uddannelse og udvikling af færdigheder; der henviser til, at pagten også opfordrer til udvidelse af talentpartnerskaber, herunder gennem lanceringen af EU's talentpulje, for at lette forbindelserne mellem EU-baserede arbejdsgivere og jobsøgende fra partnerlande;</w:t>
      </w:r>
    </w:p>
    <w:p w:rsidR="000059BC" w:rsidRPr="007E621E" w:rsidP="000059BC" w14:paraId="53E9EB93" w14:textId="77777777">
      <w:pPr>
        <w:pStyle w:val="NormalHanging"/>
      </w:pPr>
      <w:r w:rsidRPr="007E621E">
        <w:t>W.</w:t>
      </w:r>
      <w:r w:rsidRPr="007E621E">
        <w:tab/>
        <w:t>der henviser til, at Global Gateway-strategien og investeringerne i menneskelig udvikling bør skabe mulighed for at tilpasse udviklingssamarbejdet til partnerlandenes prioriteter, inklusive migration, ved at fremme jobskabelse, akademisk uddannelse og erhvervsuddannelse, demokratiske værdier og høje standarder, styrke god regeringsførelse, gennemsigtighed og bæredygtige investeringer, herunder i vandforsyningssikkerhed, i oprindelses- og transitlande;</w:t>
      </w:r>
    </w:p>
    <w:p w:rsidR="000059BC" w:rsidRPr="007E621E" w:rsidP="000059BC" w14:paraId="4FFF37B3" w14:textId="77777777">
      <w:pPr>
        <w:pStyle w:val="NormalHanging"/>
      </w:pPr>
      <w:r w:rsidRPr="007E621E">
        <w:t>X.</w:t>
      </w:r>
      <w:r w:rsidRPr="007E621E">
        <w:tab/>
        <w:t>der henviser til, at Global Gateway-strategien også bør sigte mod at fremme bæredygtige og pålidelige partnerskaber inden for grøn energi og infrastruktur; der henviser til, at klimatilpasning og investeringer i vedvarende energi er afgørende for at tackle de socioøkonomiske drivkræfter bag migration;</w:t>
      </w:r>
    </w:p>
    <w:p w:rsidR="000059BC" w:rsidRPr="007E621E" w:rsidP="000059BC" w14:paraId="0D08AAF1" w14:textId="77777777">
      <w:pPr>
        <w:pStyle w:val="NormalHanging"/>
      </w:pPr>
      <w:r w:rsidRPr="007E621E">
        <w:t>Y.</w:t>
      </w:r>
      <w:r w:rsidRPr="007E621E">
        <w:tab/>
        <w:t>der henviser til, at det økonomiske samarbejde og de private investeringer udgør væsentlige instrumenter til at reducere fattigdom og øge selvforsyning ved, at de fremmer bæredygtig lokal vækst i partnerlandene;</w:t>
      </w:r>
    </w:p>
    <w:p w:rsidR="000059BC" w:rsidRPr="007E621E" w:rsidP="000059BC" w14:paraId="20929C05" w14:textId="77777777">
      <w:pPr>
        <w:pStyle w:val="NormalHanging"/>
      </w:pPr>
      <w:r w:rsidRPr="007E621E">
        <w:t>Z.</w:t>
      </w:r>
      <w:r w:rsidRPr="007E621E">
        <w:tab/>
        <w:t>der henviser til, at industriel udvikling har vist sig at være en af de mest effektive måder at løfte folk ud af fattigdom på; der henviser til, at socialt ansvarlige og bæredygtige investeringer i produktivitetsanlæg vil kunne skabe jobmuligheder og have en multiplikatoreffekt;</w:t>
      </w:r>
    </w:p>
    <w:p w:rsidR="000059BC" w:rsidRPr="007E621E" w:rsidP="000059BC" w14:paraId="337835B2" w14:textId="77777777">
      <w:pPr>
        <w:pStyle w:val="NormalHanging"/>
      </w:pPr>
      <w:r w:rsidRPr="007E621E">
        <w:t>AA.</w:t>
      </w:r>
      <w:r w:rsidRPr="007E621E">
        <w:tab/>
        <w:t>der henviser til, at menneskehandel og -smugling er grove krænkelser af de grundlæggende rettigheder og berøver folk deres værdighed, frihed og grundlæggende rettigheder; der henviser til, at menneskesmugler- og menneskehandelsnetværk udnytter migranter ved at profitere på farlige rejser;</w:t>
      </w:r>
    </w:p>
    <w:p w:rsidR="000059BC" w:rsidRPr="007E621E" w:rsidP="000059BC" w14:paraId="25B0CB40" w14:textId="77777777">
      <w:pPr>
        <w:pStyle w:val="NormalHanging"/>
      </w:pPr>
      <w:r w:rsidRPr="007E621E">
        <w:t>AB.</w:t>
      </w:r>
      <w:r w:rsidRPr="007E621E">
        <w:tab/>
        <w:t>der henviser til, at nogle lande mangler værktøjerne og ressourcerne til at forebygge og bekæmpe disse forbrydelser; der henviser til, at internationale partnerskaber kan bidrage virkningsfuldt til bekæmpelsen af menneskehandel og -smugling;</w:t>
      </w:r>
    </w:p>
    <w:p w:rsidR="000059BC" w:rsidRPr="007E621E" w:rsidP="000059BC" w14:paraId="0A722B13" w14:textId="77777777">
      <w:pPr>
        <w:pStyle w:val="NormalHanging"/>
      </w:pPr>
      <w:r w:rsidRPr="007E621E">
        <w:t>AC.</w:t>
      </w:r>
      <w:r w:rsidRPr="007E621E">
        <w:tab/>
        <w:t xml:space="preserve">der henviser til, at udviklingssamarbejde spiller en afgørende rolle med hensyn til at </w:t>
      </w:r>
      <w:r w:rsidRPr="007E621E">
        <w:t>bidrage til at tackle de grundlæggende årsager til irregulær migration og tvangsfordrivelse samt til at bekæmpe menneskesmugling, beskytte flygtninge og nødlidende personer med behov for international beskyttelse, støtte flygtningemodtagende lande og udvikle lovlige migrationsadgangsveje;</w:t>
      </w:r>
    </w:p>
    <w:p w:rsidR="000059BC" w:rsidRPr="007E621E" w:rsidP="000059BC" w14:paraId="58EB1CB1" w14:textId="77777777">
      <w:pPr>
        <w:pStyle w:val="NormalHanging"/>
      </w:pPr>
      <w:r w:rsidRPr="007E621E">
        <w:t>AD.</w:t>
      </w:r>
      <w:r w:rsidRPr="007E621E">
        <w:tab/>
        <w:t>der henviser til, at sikkerhed, stabilitet, territorial suverænitet og god regeringsførelse er forudsætninger for enhver bæredygtig udviklingsindsats, og til, at EU også bør støtte partnerlandene i at styrke retshåndhævelseskapaciteten inden for grænsebevogtning og bekæmpelse af organiseret kriminalitet;</w:t>
      </w:r>
    </w:p>
    <w:p w:rsidR="000059BC" w:rsidRPr="007E621E" w:rsidP="000059BC" w14:paraId="4EB89342" w14:textId="77777777">
      <w:pPr>
        <w:pStyle w:val="NormalHanging"/>
      </w:pPr>
      <w:r w:rsidRPr="007E621E">
        <w:t>AE.</w:t>
      </w:r>
      <w:r w:rsidRPr="007E621E">
        <w:tab/>
        <w:t>der henviser til, at en effektiv migrationsstyring også kræver styrket samarbejdet med oprindelses- og transitlandene og optrævling af de kriminelle netværk, der udnytter sårbare personer; der henviser til, at støtten til lokal udvikling og stabilitet i partnerlandene bidrager til en bæredygtig afhjælpning af de dybere migrationsårsager;</w:t>
      </w:r>
    </w:p>
    <w:p w:rsidR="000059BC" w:rsidRPr="007E621E" w:rsidP="000059BC" w14:paraId="19F62677" w14:textId="77777777">
      <w:pPr>
        <w:pStyle w:val="NormalHanging"/>
      </w:pPr>
      <w:r w:rsidRPr="007E621E">
        <w:t>AF.</w:t>
      </w:r>
      <w:r w:rsidRPr="007E621E">
        <w:tab/>
        <w:t>der henviser til, at EU-støtte til velfungerende asylsystemer i tredjelande som en del af udviklingssamarbejdet er af vital betydning for den internationale beskyttelse af asylansøgere;</w:t>
      </w:r>
    </w:p>
    <w:p w:rsidR="000059BC" w:rsidRPr="007E621E" w:rsidP="000059BC" w14:paraId="132E74C1" w14:textId="77777777">
      <w:pPr>
        <w:pStyle w:val="NormalHanging"/>
      </w:pPr>
      <w:r w:rsidRPr="007E621E">
        <w:t>AG.</w:t>
      </w:r>
      <w:r w:rsidRPr="007E621E">
        <w:tab/>
        <w:t xml:space="preserve">der henviser til, at </w:t>
      </w:r>
      <w:r w:rsidRPr="007E621E">
        <w:t>tilbagesendelses</w:t>
      </w:r>
      <w:r w:rsidRPr="007E621E">
        <w:t xml:space="preserve">- og reintegrationspolitikker helt og fuldt skal efterleve menneskerettighederne; der henviser til, at samarbejde om </w:t>
      </w:r>
      <w:r w:rsidRPr="007E621E">
        <w:t>tilbagesendelse</w:t>
      </w:r>
      <w:r w:rsidRPr="007E621E">
        <w:t xml:space="preserve"> og reintegration kan give gensidige fordele, når der tages hensyn til frivillig, værdig og bæredygtig tilbagevenden til oprindelseslandene;</w:t>
      </w:r>
    </w:p>
    <w:p w:rsidR="000059BC" w:rsidRPr="007E621E" w:rsidP="000059BC" w14:paraId="7841DB90" w14:textId="77777777">
      <w:pPr>
        <w:pStyle w:val="NormalHanging"/>
      </w:pPr>
      <w:r w:rsidRPr="007E621E">
        <w:t>AH.</w:t>
      </w:r>
      <w:r w:rsidRPr="007E621E">
        <w:tab/>
        <w:t xml:space="preserve">der henviser til, at </w:t>
      </w:r>
      <w:r w:rsidRPr="007E621E">
        <w:t>tilbagetagelsesaftaler</w:t>
      </w:r>
      <w:r w:rsidRPr="007E621E">
        <w:t xml:space="preserve"> og innovative skræddersyede projekter, der har til formål at reintegrere migranter i deres oprindelseslande, udgør en integreret del af et effektivt samarbejde med partnerlande;</w:t>
      </w:r>
    </w:p>
    <w:p w:rsidR="000059BC" w:rsidRPr="007E621E" w:rsidP="000059BC" w14:paraId="11912025" w14:textId="77777777">
      <w:pPr>
        <w:pStyle w:val="NormalHanging"/>
      </w:pPr>
      <w:r w:rsidRPr="007E621E">
        <w:t>AI.</w:t>
      </w:r>
      <w:r w:rsidRPr="007E621E">
        <w:tab/>
        <w:t>der henviser til, at udviklingssamarbejde spiller en afgørende rolle i at støtte socioøkonomisk integration af fordrevne befolkningsgrupper og værtssamfund og beskyttelsen af mennesker i sårbare situationer, herunder kvinder, børn og personer med handicap;</w:t>
      </w:r>
    </w:p>
    <w:p w:rsidR="000059BC" w:rsidRPr="007E621E" w:rsidP="000059BC" w14:paraId="078AF699" w14:textId="77777777">
      <w:pPr>
        <w:pStyle w:val="NormalHanging"/>
      </w:pPr>
      <w:r w:rsidRPr="007E621E">
        <w:t>AJ.</w:t>
      </w:r>
      <w:r w:rsidRPr="007E621E">
        <w:tab/>
        <w:t>der henviser til, at migration kan bidrage til bæredygtig udvikling og inklusiv vækst både i oprindelseslandene og i bestemmelseslandene samt inden for og på tværs af regionerne; der henviser til, at migration har en økonomisk indvirkning på både bestemmelseslandet og på oprindelseslandet; der henviser til, at denne indvirkning fremgår af migranters bidrag til de offentlige finanser, til beskæftigelse og jobskabelse samt den rolle, som diasporasamfund kan have på den økonomiske udvikling i deres oprindelseslande;</w:t>
      </w:r>
    </w:p>
    <w:p w:rsidR="000059BC" w:rsidRPr="007E621E" w:rsidP="000059BC" w14:paraId="7923062C" w14:textId="77777777">
      <w:pPr>
        <w:pStyle w:val="NormalHanging"/>
      </w:pPr>
      <w:r w:rsidRPr="007E621E">
        <w:t>AK.</w:t>
      </w:r>
      <w:r w:rsidRPr="007E621E">
        <w:tab/>
        <w:t>der henviser til, at diasporasamfund kan spille en vigtig rolle i udviklingen af partnerlande, navnlig med hensyn til at fremme handel og økonomisk udvikling samt med hensyn til at tackle en række migrations- og mobilitetsrelaterede spørgsmål; der henviser til, at EU's globale diasporafacilitet spiller en central rolle i den forbindelse;</w:t>
      </w:r>
    </w:p>
    <w:p w:rsidR="000059BC" w:rsidRPr="007E621E" w:rsidP="000059BC" w14:paraId="4FB0C7D6" w14:textId="77777777">
      <w:pPr>
        <w:pStyle w:val="NormalHanging"/>
      </w:pPr>
      <w:r w:rsidRPr="007E621E">
        <w:t>AL.</w:t>
      </w:r>
      <w:r w:rsidRPr="007E621E">
        <w:tab/>
        <w:t>der henviser til, at hjerneflugt kan udgøre en udfordring for tredjelandes indfrielse af deres politikmål vedrørende både udvikling og migration;</w:t>
      </w:r>
    </w:p>
    <w:p w:rsidR="000059BC" w:rsidRPr="007E621E" w:rsidP="000059BC" w14:paraId="4BEF2E57" w14:textId="77777777">
      <w:pPr>
        <w:pStyle w:val="Normal12a"/>
      </w:pPr>
      <w:r w:rsidRPr="007E621E">
        <w:rPr>
          <w:b/>
          <w:i/>
        </w:rPr>
        <w:t>De indbyrdes sammenhænge mellem migration og udviklingssamarbejde</w:t>
      </w:r>
    </w:p>
    <w:p w:rsidR="000059BC" w:rsidRPr="007E621E" w:rsidP="000059BC" w14:paraId="31D19207" w14:textId="77777777">
      <w:pPr>
        <w:pStyle w:val="NormalHanging12a"/>
      </w:pPr>
      <w:r w:rsidRPr="007E621E">
        <w:t>1.</w:t>
      </w:r>
      <w:r w:rsidRPr="007E621E">
        <w:tab/>
        <w:t xml:space="preserve">fremhæver de indbyrdes sammenhænge, der består mellem migration og udviklingssamarbejde, og opfordrer Kommissionen og medlemsstaterne til fortsat at </w:t>
      </w:r>
      <w:r w:rsidRPr="007E621E">
        <w:t>sørge for udviklingsorienteret politiksammenhæng i deres migrationspolitikker, under nøje overholdelse af menneskerettighederne og FN's 2030-dagsorden;</w:t>
      </w:r>
    </w:p>
    <w:p w:rsidR="000059BC" w:rsidRPr="007E621E" w:rsidP="000059BC" w14:paraId="4FDBE8E3" w14:textId="77777777">
      <w:pPr>
        <w:pStyle w:val="NormalHanging12a"/>
      </w:pPr>
      <w:r w:rsidRPr="007E621E">
        <w:t>2.</w:t>
      </w:r>
      <w:r w:rsidRPr="007E621E">
        <w:tab/>
        <w:t>understreger, at udviklingssamarbejdet og Unionens udenrigs- og sikkerhedspolitik altid skal udformes og implementeres på fuldstændig sammenhængende vis, ved en pragmatisk og gensidigt nyttig, resultatorienteret tilgang, der har sigte på at sikre stabilitet og økonomiske muligheder i partnerlandene, inklusive migrationsstrømmenes oprindelses- og transitlande;</w:t>
      </w:r>
    </w:p>
    <w:p w:rsidR="000059BC" w:rsidRPr="007E621E" w:rsidP="000059BC" w14:paraId="42823E35" w14:textId="77777777">
      <w:pPr>
        <w:pStyle w:val="NormalHanging12a"/>
      </w:pPr>
      <w:r w:rsidRPr="007E621E">
        <w:t>3.</w:t>
      </w:r>
      <w:r w:rsidRPr="007E621E">
        <w:tab/>
        <w:t>fremhæver, at udviklingssamarbejdet bør prioritere udryddelse af fattigdom, udjævning af uligheder og bæredygtig udvikling i tråd med verdensmålene for bæredygtig udvikling, konfliktforebyggelse og fredsopbygning gennem økonomisk selvstændiggørelse, forvaltningsreformer og fremme af menneskerettighederne i partnerlandene, samtidig med at man prioriterer langsigtede investeringer med udgangspunkt i partnerlandenes udviklingsprioriteter og -behov, herunder også når man tager fat på de grundlæggende årsager til irregulær migration og fordrivelser, blandt andre mål;</w:t>
      </w:r>
    </w:p>
    <w:p w:rsidR="000059BC" w:rsidRPr="007E621E" w:rsidP="000059BC" w14:paraId="199946C1" w14:textId="77777777">
      <w:pPr>
        <w:pStyle w:val="NormalHanging12a"/>
      </w:pPr>
      <w:r w:rsidRPr="007E621E">
        <w:t>4.</w:t>
      </w:r>
      <w:r w:rsidRPr="007E621E">
        <w:tab/>
        <w:t>minder om, at kvinder og piger ofte rammes uforholdsmæssigt hårdt af kriser og fattigdom; opfordrer derfor Kommissionen til at anvende en menneskerettighedsbaseret, kønsreagerende og sårbarhedsorienteret tilgang i udviklingsprogrammer, der understreger betydningen af at indkredse menneskerettighedsrisici, at træffe afbødende foranstaltninger og at sikre, at der rettes et særligt fokus mod alle mennesker i sårbare situationer – herunder personer med handicap, ældre, marginaliserede samfund og kvinder, piger og unge – navnlig da kvinders rolle i skrøbelige sammenhænge og fredsopbygning, konfliktforebyggelse og bæredygtig udvikling er afgørende, da de ofte er aktive i forreste linje og kan være afgørende katalysatorer for forandring, modstandsdygtighed og genopretning; fremhæver, at kvinders/inkluderende deltagelse i beslutningstagning, mægling, klimaindsats og samfundsudvikling fører til mere effektive og bæredygtige resultater;</w:t>
      </w:r>
    </w:p>
    <w:p w:rsidR="000059BC" w:rsidRPr="007E621E" w:rsidP="000059BC" w14:paraId="283C293D" w14:textId="77777777">
      <w:pPr>
        <w:pStyle w:val="NormalHanging12a"/>
      </w:pPr>
      <w:r w:rsidRPr="007E621E">
        <w:t>5.</w:t>
      </w:r>
      <w:r w:rsidRPr="007E621E">
        <w:tab/>
        <w:t>fremhæver betydningen af en Team Europe-tilgang, der sikrer sammenhæng mellem de EU-institutioner og de medlemsstater, der er beskæftiget med den eksterne dimension af migration; fremhæver, at Team Europe bør samordne de politiske, diplomatiske, finansielle og tekniske bestræbelser på at udvikle og udbygge de altomfattende partnerskaber, der bistår partnerlandene med at forvalte migration på sikker, ordnet, regulær og ansvarlig vis ved at anlægge en formålstjenlig, menneskerettighedsbaseret og menneskecentreret tilgang, der samtidig tager hånd om flygtninges og internt fordrevnes behov;</w:t>
      </w:r>
    </w:p>
    <w:p w:rsidR="000059BC" w:rsidRPr="007E621E" w:rsidP="000059BC" w14:paraId="2706DBCF" w14:textId="77777777">
      <w:pPr>
        <w:pStyle w:val="NormalHanging12a"/>
      </w:pPr>
      <w:r w:rsidRPr="007E621E">
        <w:t>6.</w:t>
      </w:r>
      <w:r w:rsidRPr="007E621E">
        <w:tab/>
        <w:t>understreger, at Kommissionen med henblik på at forebygge korruption og modvirke dårlig forvaltning bør sikre, at der er opstillet klare overvågnings- og evalueringsmekanismer, der kan tilsikre reel ansvarlighed og gennemsigtighed i gennemførelsen af EU-budgettet, herunder i forbindelse med håndteringen af sammenhængen mellem udvikling og de grundlæggende årsager til migration;</w:t>
      </w:r>
    </w:p>
    <w:p w:rsidR="000059BC" w:rsidRPr="007E621E" w:rsidP="000059BC" w14:paraId="4D2B5516" w14:textId="77777777">
      <w:pPr>
        <w:pStyle w:val="NormalHanging12a"/>
      </w:pPr>
      <w:r w:rsidRPr="007E621E">
        <w:t>7.</w:t>
      </w:r>
      <w:r w:rsidRPr="007E621E">
        <w:tab/>
        <w:t xml:space="preserve">opfordrer Kommissionen og medlemsstaterne til at styrke den politiske dialog med tredjelande, styrke og udvikle omfattende og gensidigt fordelagtige, landespecifikke tilgange, der tager hensyn til de specifikke forhold og udviklings- og migrationsbehov i oprindelses- og transitlande, navnlig med hensyn til menneskelig udvikling, anstændigt arbejde, social inklusion og beskyttelse af migranter, flygtninge og internt fordrevne; </w:t>
      </w:r>
      <w:r w:rsidRPr="007E621E">
        <w:t>understreger, at et sådant samarbejde bør være baseret på solidaritet, fælles ansvar og respekt for menneskerettighederne;</w:t>
      </w:r>
    </w:p>
    <w:p w:rsidR="000059BC" w:rsidRPr="007E621E" w:rsidP="000059BC" w14:paraId="126C1260" w14:textId="77777777">
      <w:pPr>
        <w:pStyle w:val="NormalHanging12a"/>
      </w:pPr>
      <w:r w:rsidRPr="007E621E">
        <w:t>8.</w:t>
      </w:r>
      <w:r w:rsidRPr="007E621E">
        <w:tab/>
        <w:t>understreger behovet for en klar forståelse af husning og bosætning af migranter og virkningerne heraf i lokalmiljøet; opfordrer Kommissionen og medlemsstaterne til at udforme en strategi, der fremhæver behovet for et lokalt perspektiv, for at styrke lokalt ejerskab og for bygge videre på eksisterende regionale prioriteter, navnlig ved at støtte intrakontinentale migrationssystemer;</w:t>
      </w:r>
    </w:p>
    <w:p w:rsidR="000059BC" w:rsidRPr="007E621E" w:rsidP="000059BC" w14:paraId="57099722" w14:textId="77777777">
      <w:pPr>
        <w:pStyle w:val="NormalHanging12a"/>
      </w:pPr>
      <w:r w:rsidRPr="007E621E">
        <w:t>9.</w:t>
      </w:r>
      <w:r w:rsidRPr="007E621E">
        <w:tab/>
        <w:t>opfordrer Kommissionen til at prioritere skrøbelige geografiske situationer ved også at tage hensyn til migrationsspecifikke data og forskningsbaserede oplysninger for bedre at kunne indkredse partnerlandenes behov og målrette deres prioriteter, herunder om irregulær migration og tvangsfordrivelse;</w:t>
      </w:r>
    </w:p>
    <w:p w:rsidR="000059BC" w:rsidRPr="007E621E" w:rsidP="000059BC" w14:paraId="25F7DE47" w14:textId="77777777">
      <w:pPr>
        <w:pStyle w:val="NormalHanging12a"/>
      </w:pPr>
      <w:r w:rsidRPr="007E621E">
        <w:t>10.</w:t>
      </w:r>
      <w:r w:rsidRPr="007E621E">
        <w:tab/>
        <w:t>understreger, at Global Gateway kan spille en central rolle med hensyn til at fostre bæredygtig økonomisk udvikling og jobskabelse i partnerlandene og dermed styrke lokalsamfundene og sætte enkeltpersoner i stand til aktivt at bidrage til udviklingen af både deres oprindelseslande og værtssamfund og dermed afbøde de grundlæggende årsager til irregulær migration;</w:t>
      </w:r>
    </w:p>
    <w:p w:rsidR="000059BC" w:rsidRPr="007E621E" w:rsidP="000059BC" w14:paraId="311704FD" w14:textId="77777777">
      <w:pPr>
        <w:pStyle w:val="NormalHanging12a"/>
      </w:pPr>
      <w:r w:rsidRPr="007E621E">
        <w:t>11.</w:t>
      </w:r>
      <w:r w:rsidRPr="007E621E">
        <w:tab/>
        <w:t>understreger nødvendigheden af i større grad at inddrage den private sektor, diversificere og gennemføre lovlige adgangsveje, anerkende færdigheder, involvere EU-udviklingsbanker og udvikle innovative tilgange til at blande midler inden for Team Europe-rammen, samtidig med at man bidrager til Global Gateway; opfordrer til at fremme deltagelsen af den europæiske private sektor i udviklingsprojekter i partnerlandene, således at der garanteres en sikker og gennemsigtig investeringsramme, der fremmer inddragelsen af små og mellemstore virksomheder og udvikling af lokale produktionskæder;</w:t>
      </w:r>
    </w:p>
    <w:p w:rsidR="000059BC" w:rsidRPr="007E621E" w:rsidP="000059BC" w14:paraId="5B27246B" w14:textId="77777777">
      <w:pPr>
        <w:pStyle w:val="NormalHanging12a"/>
      </w:pPr>
      <w:r w:rsidRPr="007E621E">
        <w:t>12.</w:t>
      </w:r>
      <w:r w:rsidRPr="007E621E">
        <w:tab/>
        <w:t>understreger, at vandknaphed, miljø- og jordforringelser, skovrydning og andre klimarelaterede katastrofer udgør faktorer bag migrationsstrømme, herunder tvangsfordrivelse; understreger, at personer, der er fordrevet på grund af miljøforringelser og klimaskabte katastrofer, har brug for passende støtte; opfordrer Kommissionen og medlemsstaterne til at prioritere investeringer i bæredygtig forvaltning af naturressourcer inden for udviklingsprogrammer, herunder vand- og jordbundsbevaring, genplantning af skov, klimaresistent landbrug og vedvarende energi, med henblik på at styrke den sociale samhørighed og lokalsamfundenes genopretningsevne, forebygge spændinger på grund af naturressourcer og øge folks muligheder for at opbygge en bæredygtigt tilværelse i deres oprindelseslande;</w:t>
      </w:r>
    </w:p>
    <w:p w:rsidR="000059BC" w:rsidRPr="007E621E" w:rsidP="000059BC" w14:paraId="07ACF3CB" w14:textId="77777777">
      <w:pPr>
        <w:pStyle w:val="NormalHanging12a"/>
      </w:pPr>
      <w:r w:rsidRPr="007E621E">
        <w:t>13.</w:t>
      </w:r>
      <w:r w:rsidRPr="007E621E">
        <w:tab/>
        <w:t>understreger, at EU skal anlægge en holistisk tilgang med fokus på det lokale plan med det mål at yde udviklingsbistand, der bidrager til strukturel udvikling gennem støtte til demokratiet, retsstatsprincippet, den regelbaserede verdensorden og de regelbaserede institutioner med henblik på at opnå en bæredygtig virkning;</w:t>
      </w:r>
    </w:p>
    <w:p w:rsidR="000059BC" w:rsidRPr="007E621E" w:rsidP="000059BC" w14:paraId="11115AD6" w14:textId="77777777">
      <w:pPr>
        <w:pStyle w:val="NormalHanging12a"/>
      </w:pPr>
      <w:r w:rsidRPr="007E621E">
        <w:t>14.</w:t>
      </w:r>
      <w:r w:rsidRPr="007E621E">
        <w:tab/>
        <w:t>understreger betydningen af at gennemføre udviklingsprogrammer i tæt samarbejde med lokale myndigheder, civilsamfundet og den private sektor;</w:t>
      </w:r>
    </w:p>
    <w:p w:rsidR="000059BC" w:rsidRPr="007E621E" w:rsidP="000059BC" w14:paraId="61D67E09" w14:textId="77777777">
      <w:pPr>
        <w:pStyle w:val="NormalHanging12a"/>
      </w:pPr>
      <w:r w:rsidRPr="007E621E">
        <w:t>15.</w:t>
      </w:r>
      <w:r w:rsidRPr="007E621E">
        <w:tab/>
        <w:t xml:space="preserve">understreger behovet for at bekæmpe menneskesmugling og menneskehandel gennem et styrket internationalt og multilateralt samarbejde med partnerlande, herunder, hvor det er hensigtsmæssigt, med lokale myndigheder, sikkerhedsstyrker og civilsamfundsorganisationer, om kriminalitetsforebyggelse, beskyttelse af ofre, styrket </w:t>
      </w:r>
      <w:r w:rsidRPr="007E621E">
        <w:t>retshåndhævelse, oplysningskampagner til at modvirke desinformation, retsforfølgning af gerningsmænd og forebyggelse af kriminelle netværks og migrantsmugleres udnyttelse af migranter samt ved at tilvejebringe sikrere alternativer gennem oprettelse af lovlige adgangsveje for sikker og regulær migration og arbejdskraftmobilitet; understreger, at skærpet grænsebevogtning uden alternative lovlige migrationsadgangsveje fører til en omlæggelse af migrationsruterne, således at der opstår nye etaper og nye transitlande, hvilket øger usikkerhedsmomenterne ved rejsen og gør migranterne sårbare over for smuglernetværks udnyttelse, afpresning og vold;</w:t>
      </w:r>
    </w:p>
    <w:p w:rsidR="000059BC" w:rsidRPr="007E621E" w:rsidP="000059BC" w14:paraId="7CAE053E" w14:textId="77777777">
      <w:pPr>
        <w:pStyle w:val="NormalHanging12a"/>
      </w:pPr>
      <w:r w:rsidRPr="007E621E">
        <w:t>16.</w:t>
      </w:r>
      <w:r w:rsidRPr="007E621E">
        <w:tab/>
        <w:t>opfordrer Kommissionen og medlemsstaterne til at fremme samarbejdet med partnerlande om migration;</w:t>
      </w:r>
    </w:p>
    <w:p w:rsidR="000059BC" w:rsidRPr="007E621E" w:rsidP="000059BC" w14:paraId="3B0C23E5" w14:textId="77777777">
      <w:pPr>
        <w:pStyle w:val="NormalHanging12a"/>
      </w:pPr>
      <w:r w:rsidRPr="007E621E">
        <w:t>17.</w:t>
      </w:r>
      <w:r w:rsidRPr="007E621E">
        <w:tab/>
        <w:t>minder om, at humanitær bistand altid bør ydes i overensstemmelse med humanitære principper;</w:t>
      </w:r>
    </w:p>
    <w:p w:rsidR="000059BC" w:rsidP="000059BC" w14:paraId="5BC9D225" w14:textId="77777777">
      <w:pPr>
        <w:pStyle w:val="NormalHanging12a"/>
      </w:pPr>
      <w:r w:rsidRPr="007E621E">
        <w:t>18.</w:t>
      </w:r>
      <w:r w:rsidRPr="007E621E">
        <w:tab/>
        <w:t>opfordrer Kommissionen til yderligere at støtte oprindelseslandene og de tilgrænsende værtslande i håndteringen af øgede interkontinentale migrationsstrømme;</w:t>
      </w:r>
    </w:p>
    <w:p w:rsidR="00694939" w:rsidRPr="007E621E" w:rsidP="000059BC" w14:paraId="5BEEE1E8" w14:textId="27887C2C">
      <w:pPr>
        <w:pStyle w:val="NormalHanging12a"/>
      </w:pPr>
      <w:r>
        <w:t>19.</w:t>
      </w:r>
      <w:r>
        <w:tab/>
      </w:r>
      <w:r w:rsidRPr="00694939">
        <w:t>opfordrer Kommissionen og medlemsstaterne til at styrke deres kapacitet til at forebygge og reagere på instrumentalisering af migranter; understreger behovet for øget samarbejde med partnerlande og relevante agenturer for at afsløre, forebygge og imødegå sådanne handlinger;</w:t>
      </w:r>
    </w:p>
    <w:p w:rsidR="000059BC" w:rsidRPr="007E621E" w:rsidP="000059BC" w14:paraId="688FB9FE" w14:textId="476A7FF3">
      <w:pPr>
        <w:pStyle w:val="NormalHanging12a"/>
      </w:pPr>
      <w:r>
        <w:t>20</w:t>
      </w:r>
      <w:r w:rsidRPr="007E621E">
        <w:t>.</w:t>
      </w:r>
      <w:r w:rsidRPr="007E621E">
        <w:tab/>
        <w:t>understreger, at offentlig udviklingsfinansiering er afgørende for partnerlandene, og at private investeringer kan bidrage til at nå målene for EU's udviklingspolitik; bemærker, at investeringsgarantier fra EU tilskynder virksomheder til at foretage investeringer, forudsat at der nøje udvises rettidig omhu for at sikre overholdelse af sociale, miljømæssige og forvaltningsmæssige standarder samt tilpasning til verdensmålene for bæredygtig udvikling; minder om, at opfyldelsen af disse verdensmål er afgørende for at kunne forbedre levevilkårene i tredjelande;</w:t>
      </w:r>
    </w:p>
    <w:p w:rsidR="000059BC" w:rsidRPr="007E621E" w:rsidP="000059BC" w14:paraId="6CDF3C55" w14:textId="5BBB6491">
      <w:pPr>
        <w:pStyle w:val="NormalHanging12a"/>
      </w:pPr>
      <w:r>
        <w:t>21</w:t>
      </w:r>
      <w:r w:rsidRPr="007E621E">
        <w:t>.</w:t>
      </w:r>
      <w:r w:rsidRPr="007E621E">
        <w:tab/>
        <w:t>opfordrer til, at EU's finansielle instrumenter og Den Europæiske Fond for Bæredygtig Udvikling Plus og Den Europæiske Investeringsbank tager sigte på at skabe lokale økonomiske afkast med henblik på at styrke den økonomiske autonomi og langsigtede bæredygtighed;</w:t>
      </w:r>
    </w:p>
    <w:p w:rsidR="000059BC" w:rsidRPr="007E621E" w:rsidP="000059BC" w14:paraId="4B1A7AC5" w14:textId="3F0DFFF8">
      <w:pPr>
        <w:pStyle w:val="NormalHanging12a"/>
      </w:pPr>
      <w:r>
        <w:t>22</w:t>
      </w:r>
      <w:r w:rsidRPr="007E621E">
        <w:t>.</w:t>
      </w:r>
      <w:r w:rsidRPr="007E621E">
        <w:tab/>
        <w:t>minder om, at officiel udviklingsbistand (ODA) fortsat er et vigtigt redskab til fattigdomsnedbringelse og til at tackle uligheder og støtte de mest sårbare samfund; kritiserer på det kraftigste de drastiske nedskæringer i ODA, som førende globale donorer har foretaget; opfordrer EU og dets medlemsstater til at overholde deres tilsagn om at bruge 0,7 % af BNI på ODA;</w:t>
      </w:r>
    </w:p>
    <w:p w:rsidR="000059BC" w:rsidRPr="007E621E" w:rsidP="000059BC" w14:paraId="51E4B500" w14:textId="17219926">
      <w:pPr>
        <w:pStyle w:val="NormalHanging12a"/>
      </w:pPr>
      <w:r>
        <w:t>23</w:t>
      </w:r>
      <w:r w:rsidRPr="007E621E">
        <w:t>.</w:t>
      </w:r>
      <w:r w:rsidRPr="007E621E">
        <w:tab/>
        <w:t>opfordrer Kommissionen til at sikre større ansvarlighed, gennemsigtighed og parlamentarisk tilsyn i udformningen og gennemførelsen af al EU-finansiering, herunder det kommende instrument for et globalt Europa, som skal prioritere gennemførelsen af verdensmålene for bæredygtig udvikling, herunder med hensyn til at imødegå udfordringerne i forbindelse med irregulær migration;</w:t>
      </w:r>
    </w:p>
    <w:p w:rsidR="000059BC" w:rsidRPr="007E621E" w:rsidP="000059BC" w14:paraId="4E00AE3F" w14:textId="7EFD084A">
      <w:pPr>
        <w:pStyle w:val="NormalHanging12a"/>
      </w:pPr>
      <w:r>
        <w:t>24</w:t>
      </w:r>
      <w:r w:rsidRPr="007E621E">
        <w:t>.</w:t>
      </w:r>
      <w:r w:rsidRPr="007E621E">
        <w:tab/>
        <w:t xml:space="preserve">fremhæver, at udviklingen af landbrug og landdistrikter tillige med fødevare- og ernæringspolitik kan bidrage til at tage hånd om nogle af de grundlæggende årsager til migration; minder om, at adgang til jord og naturressourcer er afgørende for at kunne opnå fødevare- og ernæringssikkerhed i lokalsamfundene, højne produktiviteten blandt </w:t>
      </w:r>
      <w:r w:rsidRPr="007E621E">
        <w:t>mindre landbrug og samtidig tilpasse produktionen til klimaforandringerne og at fremme implementeringen af de frivillige retningslinjer om ejendomsret til jord fra FN’s Fødevare- og Landbrugsorganisation (FAO), der prioriterer rettigheder og behov for legitime indehavere af jordrettigheder, især kvinder;</w:t>
      </w:r>
    </w:p>
    <w:p w:rsidR="000059BC" w:rsidRPr="007E621E" w:rsidP="000059BC" w14:paraId="0B297A49" w14:textId="4C33F5A5">
      <w:pPr>
        <w:pStyle w:val="NormalHanging12a"/>
      </w:pPr>
      <w:r>
        <w:t>25</w:t>
      </w:r>
      <w:r w:rsidRPr="007E621E">
        <w:t>.</w:t>
      </w:r>
      <w:r w:rsidRPr="007E621E">
        <w:tab/>
        <w:t>anmoder Kommissionen om at øge støtten til højere læreanstalter, tekniske skoler og erhvervsrettede uddannelses- og læringsinstitutioner i partnerlandene som led i sin udviklingsstrategi med henblik på at tackle de grundlæggende årsager til migration; fremhæver betydningen af at styrke den menneskelige udvikling ved at investere i færdigheder lokalt; opfordrer Kommissionen til at bistå partnerlandene med kapacitetsopbygningen i den henseende; opfordrer endvidere til øget støtte til ungdomsledede initiativer til at styrke færdigheder, innovation og udveksling og til at udnytte migration som en drivkraft for bæredygtig udvikling;</w:t>
      </w:r>
    </w:p>
    <w:p w:rsidR="000059BC" w:rsidRPr="007E621E" w:rsidP="000059BC" w14:paraId="5144FC5D" w14:textId="0063910A">
      <w:pPr>
        <w:pStyle w:val="NormalHanging12a"/>
      </w:pPr>
      <w:r>
        <w:t>26</w:t>
      </w:r>
      <w:r w:rsidRPr="007E621E">
        <w:t>.</w:t>
      </w:r>
      <w:r w:rsidRPr="007E621E">
        <w:tab/>
        <w:t>opfordrer Kommissionen til yderligere at undersøge EU's talentpartnerskaber med yderligere tredjelande, navnlig lande med et højt niveau af udvandring;</w:t>
      </w:r>
    </w:p>
    <w:p w:rsidR="000059BC" w:rsidRPr="007E621E" w:rsidP="000059BC" w14:paraId="5E925E50" w14:textId="06BFD4CC">
      <w:pPr>
        <w:pStyle w:val="NormalHanging12a"/>
      </w:pPr>
      <w:r>
        <w:t>27</w:t>
      </w:r>
      <w:r w:rsidRPr="007E621E">
        <w:t>.</w:t>
      </w:r>
      <w:r w:rsidRPr="007E621E">
        <w:tab/>
        <w:t>understreger, at økonomisk selvstændiggørelse og skabelse af anstændige job er de primære redskaber til at mindske uligheder, og at de forbedrer eksistensgrundlaget i oprindelseslandene og dermed begrænser årsagerne til irregulær migration; opfordrer til, at EU-finansiering også bruges til at støtte iværksætterånd på lokalt plan og offentlig infrastruktur;</w:t>
      </w:r>
    </w:p>
    <w:p w:rsidR="000059BC" w:rsidRPr="007E621E" w:rsidP="000059BC" w14:paraId="30391DCC" w14:textId="08535761">
      <w:pPr>
        <w:pStyle w:val="NormalHanging12a"/>
      </w:pPr>
      <w:r>
        <w:t>28</w:t>
      </w:r>
      <w:r w:rsidRPr="007E621E">
        <w:t>.</w:t>
      </w:r>
      <w:r w:rsidRPr="007E621E">
        <w:tab/>
        <w:t>understreger, at unge skal stå i centrum for partnerskaberne og er afgørende for at opnå en bæredygtig udvikling; fremhæver betydningen af at støtte udvekslingsprogrammer såsom Erasmus+ og andre programmer for unges mobilitet og kompetencer for at tilbyde uddannelses- og beskæftigelsesmuligheder og give unge mulighed for at trives i deres oprindelseslande;</w:t>
      </w:r>
    </w:p>
    <w:p w:rsidR="000059BC" w:rsidRPr="007E621E" w:rsidP="000059BC" w14:paraId="1A38E2D2" w14:textId="004BC7C0">
      <w:pPr>
        <w:pStyle w:val="NormalHanging12a"/>
      </w:pPr>
      <w:r>
        <w:t>29</w:t>
      </w:r>
      <w:r w:rsidRPr="007E621E">
        <w:t>.</w:t>
      </w:r>
      <w:r w:rsidRPr="007E621E">
        <w:tab/>
        <w:t>opfordrer Kommissionen til at indarbejde landbrug og forvaltning af vandressourcer blandt prioriteterne for samarbejdet ved at fremme projekter, der styrker selvforsyning og lemper migrationspresset;</w:t>
      </w:r>
    </w:p>
    <w:p w:rsidR="000059BC" w:rsidRPr="007E621E" w:rsidP="000059BC" w14:paraId="13623F40" w14:textId="763AB8B6">
      <w:pPr>
        <w:pStyle w:val="NormalHanging12a"/>
      </w:pPr>
      <w:r>
        <w:t>30</w:t>
      </w:r>
      <w:r w:rsidRPr="007E621E">
        <w:t>.</w:t>
      </w:r>
      <w:r w:rsidRPr="007E621E">
        <w:tab/>
        <w:t>bemærker, at migration og hjerneflugt kan udgøre udfordringer for et lands udvikling, idet det reducerer den disponible kvalificerede arbejdsstyrke; minder om, at udviklingssamarbejde kan afbøde denne risiko gennem omfattende strategier til støtte for kvalitetssikrede uddannelses- og læringssystemer, styrker lokale beskæftigelsesmuligheder og fremmer overførsel af viden og færdigheder; opfordrer derfor Kommissionen til at fortsætte sin indsats på dette område, herunder at behandle spørgsmålet om hjerneflugt gennem den udviklingspolitiske ramme og finansiering;</w:t>
      </w:r>
    </w:p>
    <w:p w:rsidR="000059BC" w:rsidRPr="007E621E" w:rsidP="000059BC" w14:paraId="3B212D20" w14:textId="45CD1E9C">
      <w:pPr>
        <w:pStyle w:val="NormalHanging12a"/>
      </w:pPr>
      <w:r>
        <w:t>31</w:t>
      </w:r>
      <w:r w:rsidRPr="007E621E">
        <w:t>.</w:t>
      </w:r>
      <w:r w:rsidRPr="007E621E">
        <w:tab/>
        <w:t>anerkender diasporasamfunds afgørende rolle med hensyn til at fremme bæredygtig udvikling, investeringer og innovation i deres oprindelseslande; understreger, at styrkelse af diasporanetværk skaber gensidige fordele for både partnerlande og EU; opfordrer EU og dets medlemsstater til at styrke engagementet med diasporaorganisationer og til at udvikle inklusive programmer, der bidrager til gensidigt fordelagtige former for cirkulær migration;</w:t>
      </w:r>
    </w:p>
    <w:p w:rsidR="000059BC" w:rsidRPr="007E621E" w:rsidP="000059BC" w14:paraId="02CD0B48" w14:textId="691C3364">
      <w:pPr>
        <w:pStyle w:val="NormalHanging12a"/>
      </w:pPr>
      <w:r>
        <w:t>32</w:t>
      </w:r>
      <w:r w:rsidRPr="007E621E">
        <w:t>.</w:t>
      </w:r>
      <w:r w:rsidRPr="007E621E">
        <w:tab/>
        <w:t>opfordrer Kommissionen og medlemsstaterne til at investere i oplysningskampagner både i EU og i tredjelande for at bekæmpe desinformation og udbrede information om risiciene ved irregulær migration og for at fremme forståelsen af EU's regler om forpligtelserne i forbindelse med arbejdskraftmigration;</w:t>
      </w:r>
    </w:p>
    <w:p w:rsidR="000059BC" w:rsidRPr="007E621E" w:rsidP="000059BC" w14:paraId="0F3676CA" w14:textId="79EC72AB">
      <w:pPr>
        <w:pStyle w:val="NormalHanging12a"/>
      </w:pPr>
      <w:r>
        <w:t>33</w:t>
      </w:r>
      <w:r w:rsidRPr="007E621E">
        <w:t>.</w:t>
      </w:r>
      <w:r w:rsidRPr="007E621E">
        <w:tab/>
        <w:t>opfordrer Kommissionen og medlemsstaterne til at øge finansieringen til forbedring af retsstatsprincippet, demokratistøtte, stats- og kapacitetsopbygning og offentlige tjenesteydelser, herunder sundhed, adgang til rent vand og uddannelse;</w:t>
      </w:r>
    </w:p>
    <w:p w:rsidR="000059BC" w:rsidRPr="007E621E" w:rsidP="000059BC" w14:paraId="3777EE9D" w14:textId="7EF8072C">
      <w:pPr>
        <w:pStyle w:val="NormalHanging12a"/>
      </w:pPr>
      <w:r>
        <w:t>34</w:t>
      </w:r>
      <w:r w:rsidRPr="007E621E">
        <w:t>.</w:t>
      </w:r>
      <w:r w:rsidRPr="007E621E">
        <w:tab/>
        <w:t>fastslår atter, at en holistisk tilgang, der kombinerer udviklingssamarbejde og migrationsstyring, er afgørende for reelt at opnå sikkerhed og solidaritet både inden for EU og i oprindelses- og transitlandene;</w:t>
      </w:r>
    </w:p>
    <w:p w:rsidR="000059BC" w:rsidRPr="007E621E" w:rsidP="000059BC" w14:paraId="0F09D59B" w14:textId="0C382956">
      <w:pPr>
        <w:pStyle w:val="NormalHanging12a"/>
      </w:pPr>
      <w:r>
        <w:t>35</w:t>
      </w:r>
      <w:r w:rsidRPr="007E621E">
        <w:t>.</w:t>
      </w:r>
      <w:r w:rsidRPr="007E621E">
        <w:tab/>
        <w:t>glæder sig over det afgørende arbejde inden for humanitær bistand, udvikling og fred, først og fremmest af FN-organisationer, andre internationale organisationer og lokale aktører, herunder lokale myndigheder, civilsamfundsorganisationer, menneskerettighedsforkæmpere, kvindeorganisationer, ungdomsorganisationer samt trossamfund og religiøse organisationer;</w:t>
      </w:r>
    </w:p>
    <w:p w:rsidR="000059BC" w:rsidRPr="007E621E" w:rsidP="000059BC" w14:paraId="07544340" w14:textId="77777777">
      <w:pPr>
        <w:pStyle w:val="NormalCenter12a"/>
      </w:pPr>
      <w:r w:rsidRPr="007E621E">
        <w:t>°</w:t>
      </w:r>
    </w:p>
    <w:p w:rsidR="000059BC" w:rsidRPr="007E621E" w:rsidP="000059BC" w14:paraId="46A49A9C" w14:textId="77777777">
      <w:pPr>
        <w:pStyle w:val="NormalCenter12a"/>
      </w:pPr>
      <w:r w:rsidRPr="007E621E">
        <w:t>°</w:t>
      </w:r>
      <w:r w:rsidRPr="007E621E">
        <w:tab/>
        <w:t>°</w:t>
      </w:r>
    </w:p>
    <w:p w:rsidR="007E621E" w:rsidRPr="007E621E" w:rsidP="007E621E" w14:paraId="33CC1A87" w14:textId="61966F94">
      <w:pPr>
        <w:pStyle w:val="NormalHanging12a"/>
      </w:pPr>
      <w:r>
        <w:t>36</w:t>
      </w:r>
      <w:r w:rsidRPr="007E621E" w:rsidR="000059BC">
        <w:t>.</w:t>
      </w:r>
      <w:r w:rsidRPr="007E621E" w:rsidR="000059BC">
        <w:tab/>
        <w:t>pålægger sin formand at sende denne beslutning til Rådet, Kommissionen og Tjenesten for EU's Optræden Udadtil.</w:t>
      </w:r>
    </w:p>
    <w:p w:rsidR="00E365E1" w:rsidRPr="007E621E" w:rsidP="00AC6C62" w14:paraId="78BBF76C" w14:textId="10816B0A"/>
    <w:sectPr w:rsidSect="007E621E">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C6C62" w:rsidRPr="007E621E" w14:paraId="682B7EC0" w14:textId="77777777">
      <w:r w:rsidRPr="007E621E">
        <w:separator/>
      </w:r>
    </w:p>
  </w:footnote>
  <w:footnote w:type="continuationSeparator" w:id="1">
    <w:p w:rsidR="00AC6C62" w:rsidRPr="007E621E" w14:paraId="116F47DB" w14:textId="77777777">
      <w:r w:rsidRPr="007E621E">
        <w:continuationSeparator/>
      </w:r>
    </w:p>
  </w:footnote>
  <w:footnote w:id="2">
    <w:p w:rsidR="00DF4786" w:rsidRPr="007E621E" w:rsidP="007E621E" w14:paraId="563FC80E" w14:textId="30AE1B3B">
      <w:pPr>
        <w:pStyle w:val="FootnoteText"/>
        <w:ind w:left="567" w:hanging="567"/>
        <w:rPr>
          <w:sz w:val="24"/>
          <w:lang w:val="da-DK"/>
        </w:rPr>
      </w:pPr>
      <w:r>
        <w:rPr>
          <w:rStyle w:val="FootnoteReference"/>
        </w:rPr>
        <w:footnoteRef/>
      </w:r>
      <w:r w:rsidRPr="007E621E">
        <w:rPr>
          <w:sz w:val="24"/>
          <w:lang w:val="da-DK"/>
        </w:rPr>
        <w:t xml:space="preserve"> </w:t>
      </w:r>
      <w:r w:rsidRPr="007E621E">
        <w:rPr>
          <w:sz w:val="24"/>
          <w:lang w:val="da-DK"/>
        </w:rPr>
        <w:tab/>
        <w:t xml:space="preserve">EUT L 209 af 14.6.2021, s. 1, ELI: </w:t>
      </w:r>
      <w:hyperlink r:id="rId1" w:tgtFrame="http://data.europa.eu/eli/reg/2021/947/oj" w:history="1">
        <w:r w:rsidRPr="007E621E">
          <w:rPr>
            <w:rStyle w:val="Hyperlink"/>
            <w:sz w:val="24"/>
            <w:lang w:val="da-DK"/>
          </w:rPr>
          <w:t>http://data.europa.eu/eli/reg/2021/947/oj</w:t>
        </w:r>
      </w:hyperlink>
      <w:r w:rsidRPr="007E621E">
        <w:rPr>
          <w:sz w:val="24"/>
          <w:lang w:val="da-DK"/>
        </w:rPr>
        <w:t>.</w:t>
      </w:r>
    </w:p>
  </w:footnote>
  <w:footnote w:id="3">
    <w:p w:rsidR="00DF4786" w:rsidRPr="00610DDF" w:rsidP="007E621E" w14:paraId="200C41F7" w14:textId="225F0223">
      <w:pPr>
        <w:pStyle w:val="FootnoteText"/>
        <w:ind w:left="567" w:hanging="567"/>
        <w:rPr>
          <w:sz w:val="24"/>
          <w:lang w:val="fi-FI"/>
        </w:rPr>
      </w:pPr>
      <w:r>
        <w:rPr>
          <w:rStyle w:val="FootnoteReference"/>
        </w:rPr>
        <w:footnoteRef/>
      </w:r>
      <w:r w:rsidRPr="00610DDF">
        <w:rPr>
          <w:sz w:val="24"/>
          <w:lang w:val="fi-FI"/>
        </w:rPr>
        <w:t xml:space="preserve"> </w:t>
      </w:r>
      <w:r w:rsidRPr="00610DDF">
        <w:rPr>
          <w:sz w:val="24"/>
          <w:lang w:val="fi-FI"/>
        </w:rPr>
        <w:tab/>
        <w:t xml:space="preserve">EUT L, 2024/1351, 22.5.2024, ELI: </w:t>
      </w:r>
      <w:hyperlink r:id="rId2" w:tgtFrame="http://data.europa.eu/eli/reg/2024/1351/oj" w:history="1">
        <w:r w:rsidRPr="00610DDF">
          <w:rPr>
            <w:rStyle w:val="Hyperlink"/>
            <w:sz w:val="24"/>
            <w:lang w:val="fi-FI"/>
          </w:rPr>
          <w:t>http://data.europa.eu/eli/reg/2024/1351/oj</w:t>
        </w:r>
      </w:hyperlink>
      <w:r w:rsidRPr="00610DDF">
        <w:rPr>
          <w:sz w:val="24"/>
          <w:lang w:val="fi-FI"/>
        </w:rPr>
        <w:t>.</w:t>
      </w:r>
    </w:p>
  </w:footnote>
  <w:footnote w:id="4">
    <w:p w:rsidR="00DF4786" w:rsidRPr="00610DDF" w:rsidP="007E621E" w14:paraId="257B2CC3" w14:textId="14721E7D">
      <w:pPr>
        <w:pStyle w:val="FootnoteText"/>
        <w:ind w:left="567" w:hanging="567"/>
        <w:rPr>
          <w:sz w:val="24"/>
          <w:lang w:val="fi-FI"/>
        </w:rPr>
      </w:pPr>
      <w:r>
        <w:rPr>
          <w:rStyle w:val="FootnoteReference"/>
        </w:rPr>
        <w:footnoteRef/>
      </w:r>
      <w:r w:rsidRPr="00610DDF">
        <w:rPr>
          <w:sz w:val="24"/>
          <w:lang w:val="fi-FI"/>
        </w:rPr>
        <w:t xml:space="preserve"> </w:t>
      </w:r>
      <w:r w:rsidRPr="00610DDF">
        <w:rPr>
          <w:sz w:val="24"/>
          <w:lang w:val="fi-FI"/>
        </w:rPr>
        <w:tab/>
        <w:t xml:space="preserve">EUT L, 2023/2862, 28.12.2023, ELI: </w:t>
      </w:r>
      <w:hyperlink r:id="rId3" w:tgtFrame="http://data.europa.eu/eli/agree_internation/2023/2862/oj" w:history="1">
        <w:r w:rsidRPr="00610DDF">
          <w:rPr>
            <w:rStyle w:val="Hyperlink"/>
            <w:sz w:val="24"/>
            <w:lang w:val="fi-FI"/>
          </w:rPr>
          <w:t>http://data.europa.eu/eli/agree_internation/2023/2862/oj</w:t>
        </w:r>
      </w:hyperlink>
      <w:r w:rsidRPr="00610DDF">
        <w:rPr>
          <w:sz w:val="24"/>
          <w:lang w:val="fi-FI"/>
        </w:rPr>
        <w:t>.</w:t>
      </w:r>
    </w:p>
  </w:footnote>
  <w:footnote w:id="5">
    <w:p w:rsidR="00DF4786" w:rsidRPr="00610DDF" w:rsidP="007E621E" w14:paraId="1D3CA89C" w14:textId="6C1E1FC5">
      <w:pPr>
        <w:pStyle w:val="FootnoteText"/>
        <w:ind w:left="567" w:hanging="567"/>
        <w:rPr>
          <w:sz w:val="24"/>
          <w:lang w:val="fi-FI"/>
        </w:rPr>
      </w:pPr>
      <w:r>
        <w:rPr>
          <w:rStyle w:val="FootnoteReference"/>
        </w:rPr>
        <w:footnoteRef/>
      </w:r>
      <w:r w:rsidRPr="00610DDF">
        <w:rPr>
          <w:sz w:val="24"/>
          <w:lang w:val="fi-FI"/>
        </w:rPr>
        <w:t xml:space="preserve"> </w:t>
      </w:r>
      <w:r w:rsidRPr="00610DDF">
        <w:rPr>
          <w:sz w:val="24"/>
          <w:lang w:val="fi-FI"/>
        </w:rPr>
        <w:tab/>
        <w:t xml:space="preserve">EUT C, C/2026/576, 24.2.2026, ELI: </w:t>
      </w:r>
      <w:hyperlink r:id="rId4" w:tgtFrame="http://data.europa.eu/eli/C/2026/576/oj" w:history="1">
        <w:r w:rsidRPr="00610DDF">
          <w:rPr>
            <w:rStyle w:val="Hyperlink"/>
            <w:sz w:val="24"/>
            <w:lang w:val="fi-FI"/>
          </w:rPr>
          <w:t>http://data.europa.eu/eli/C/2026/576/oj</w:t>
        </w:r>
      </w:hyperlink>
      <w:r w:rsidRPr="00610DDF">
        <w:rPr>
          <w:sz w:val="24"/>
          <w:lang w:val="fi-FI"/>
        </w:rPr>
        <w:t>.</w:t>
      </w:r>
    </w:p>
  </w:footnote>
  <w:footnote w:id="6">
    <w:p w:rsidR="00DF4786" w:rsidRPr="007E621E" w:rsidP="007E621E" w14:paraId="0A02A3A3" w14:textId="302345EC">
      <w:pPr>
        <w:pStyle w:val="FootnoteText"/>
        <w:ind w:left="567" w:hanging="567"/>
        <w:rPr>
          <w:sz w:val="24"/>
          <w:lang w:val="da-DK"/>
        </w:rPr>
      </w:pPr>
      <w:r>
        <w:rPr>
          <w:rStyle w:val="FootnoteReference"/>
        </w:rPr>
        <w:footnoteRef/>
      </w:r>
      <w:r w:rsidRPr="007E621E">
        <w:rPr>
          <w:sz w:val="24"/>
          <w:lang w:val="da-DK"/>
        </w:rPr>
        <w:t xml:space="preserve"> </w:t>
      </w:r>
      <w:r w:rsidRPr="007E621E">
        <w:rPr>
          <w:sz w:val="24"/>
          <w:lang w:val="da-DK"/>
        </w:rPr>
        <w:tab/>
      </w:r>
      <w:r w:rsidRPr="007E621E">
        <w:rPr>
          <w:sz w:val="24"/>
          <w:lang w:val="da-DK"/>
        </w:rPr>
        <w:t>Talleraas</w:t>
      </w:r>
      <w:r w:rsidRPr="007E621E">
        <w:rPr>
          <w:sz w:val="24"/>
          <w:lang w:val="da-DK"/>
        </w:rPr>
        <w:t xml:space="preserve">, C., </w:t>
      </w:r>
      <w:r w:rsidRPr="007E621E">
        <w:rPr>
          <w:i/>
          <w:sz w:val="24"/>
          <w:lang w:val="da-DK"/>
        </w:rPr>
        <w:t xml:space="preserve">The </w:t>
      </w:r>
      <w:r w:rsidRPr="007E621E">
        <w:rPr>
          <w:i/>
          <w:sz w:val="24"/>
          <w:lang w:val="da-DK"/>
        </w:rPr>
        <w:t>role</w:t>
      </w:r>
      <w:r w:rsidRPr="007E621E">
        <w:rPr>
          <w:i/>
          <w:sz w:val="24"/>
          <w:lang w:val="da-DK"/>
        </w:rPr>
        <w:t xml:space="preserve"> of EU </w:t>
      </w:r>
      <w:r w:rsidRPr="007E621E">
        <w:rPr>
          <w:i/>
          <w:sz w:val="24"/>
          <w:lang w:val="da-DK"/>
        </w:rPr>
        <w:t>development</w:t>
      </w:r>
      <w:r w:rsidRPr="007E621E">
        <w:rPr>
          <w:i/>
          <w:sz w:val="24"/>
          <w:lang w:val="da-DK"/>
        </w:rPr>
        <w:t xml:space="preserve"> </w:t>
      </w:r>
      <w:r w:rsidRPr="007E621E">
        <w:rPr>
          <w:i/>
          <w:sz w:val="24"/>
          <w:lang w:val="da-DK"/>
        </w:rPr>
        <w:t>cooperation</w:t>
      </w:r>
      <w:r w:rsidRPr="007E621E">
        <w:rPr>
          <w:i/>
          <w:sz w:val="24"/>
          <w:lang w:val="da-DK"/>
        </w:rPr>
        <w:t xml:space="preserve"> in </w:t>
      </w:r>
      <w:r w:rsidRPr="007E621E">
        <w:rPr>
          <w:i/>
          <w:sz w:val="24"/>
          <w:lang w:val="da-DK"/>
        </w:rPr>
        <w:t>addressing</w:t>
      </w:r>
      <w:r w:rsidRPr="007E621E">
        <w:rPr>
          <w:i/>
          <w:sz w:val="24"/>
          <w:lang w:val="da-DK"/>
        </w:rPr>
        <w:t xml:space="preserve"> </w:t>
      </w:r>
      <w:r w:rsidRPr="007E621E">
        <w:rPr>
          <w:i/>
          <w:sz w:val="24"/>
          <w:lang w:val="da-DK"/>
        </w:rPr>
        <w:t>irregular</w:t>
      </w:r>
      <w:r w:rsidRPr="007E621E">
        <w:rPr>
          <w:i/>
          <w:sz w:val="24"/>
          <w:lang w:val="da-DK"/>
        </w:rPr>
        <w:t xml:space="preserve"> migration in </w:t>
      </w:r>
      <w:r w:rsidRPr="007E621E">
        <w:rPr>
          <w:i/>
          <w:sz w:val="24"/>
          <w:lang w:val="da-DK"/>
        </w:rPr>
        <w:t>Africa</w:t>
      </w:r>
      <w:r w:rsidRPr="007E621E">
        <w:rPr>
          <w:sz w:val="24"/>
          <w:lang w:val="da-DK"/>
        </w:rPr>
        <w:t>, Enheden for Analyse af og Støtte til Eksterne Politikker, Generaldirektoratet for Unionens Eksterne Politikker, oktober 2025.</w:t>
      </w:r>
    </w:p>
  </w:footnote>
  <w:footnote w:id="7">
    <w:p w:rsidR="00DF4786" w:rsidRPr="00610DDF" w:rsidP="007E621E" w14:paraId="7A9211E6" w14:textId="1FECE42A">
      <w:pPr>
        <w:pStyle w:val="FootnoteText"/>
        <w:ind w:left="567" w:hanging="567"/>
        <w:rPr>
          <w:sz w:val="24"/>
          <w:lang w:val="en-GB"/>
        </w:rPr>
      </w:pPr>
      <w:r>
        <w:rPr>
          <w:rStyle w:val="FootnoteReference"/>
        </w:rPr>
        <w:footnoteRef/>
      </w:r>
      <w:r w:rsidRPr="00610DDF">
        <w:rPr>
          <w:sz w:val="24"/>
          <w:lang w:val="en-GB"/>
        </w:rPr>
        <w:t xml:space="preserve"> </w:t>
      </w:r>
      <w:r w:rsidRPr="00610DDF">
        <w:rPr>
          <w:sz w:val="24"/>
          <w:lang w:val="en-GB"/>
        </w:rPr>
        <w:tab/>
        <w:t xml:space="preserve">EUT C 494 </w:t>
      </w:r>
      <w:r w:rsidRPr="00610DDF">
        <w:rPr>
          <w:sz w:val="24"/>
          <w:lang w:val="en-GB"/>
        </w:rPr>
        <w:t>af</w:t>
      </w:r>
      <w:r w:rsidRPr="00610DDF">
        <w:rPr>
          <w:sz w:val="24"/>
          <w:lang w:val="en-GB"/>
        </w:rPr>
        <w:t xml:space="preserve"> 8.12.2021, s. 80.</w:t>
      </w:r>
    </w:p>
  </w:footnote>
  <w:footnote w:id="8">
    <w:p w:rsidR="00DF4786" w:rsidRPr="00610DDF" w:rsidP="007E621E" w14:paraId="2F655E8C" w14:textId="2038E0A0">
      <w:pPr>
        <w:pStyle w:val="FootnoteText"/>
        <w:ind w:left="567" w:hanging="567"/>
        <w:rPr>
          <w:sz w:val="24"/>
          <w:lang w:val="en-GB"/>
        </w:rPr>
      </w:pPr>
      <w:r>
        <w:rPr>
          <w:rStyle w:val="FootnoteReference"/>
        </w:rPr>
        <w:footnoteRef/>
      </w:r>
      <w:r w:rsidRPr="00610DDF">
        <w:rPr>
          <w:sz w:val="24"/>
          <w:lang w:val="en-GB"/>
        </w:rPr>
        <w:t xml:space="preserve"> </w:t>
      </w:r>
      <w:r w:rsidRPr="00610DDF">
        <w:rPr>
          <w:sz w:val="24"/>
          <w:lang w:val="en-GB"/>
        </w:rPr>
        <w:tab/>
        <w:t xml:space="preserve">Essentials of Migration Management, ‘Drivers of international migration’, </w:t>
      </w:r>
      <w:hyperlink r:id="rId5" w:tgtFrame="https://emm.iom.int/handbooks/global-context-international-migration/drivers-international-migration" w:history="1">
        <w:r w:rsidRPr="00610DDF">
          <w:rPr>
            <w:rStyle w:val="Hyperlink"/>
            <w:sz w:val="24"/>
            <w:lang w:val="en-GB"/>
          </w:rPr>
          <w:t>https://emm.iom.int/handbooks/global-context-international-migration/drivers-international-migration</w:t>
        </w:r>
      </w:hyperlink>
      <w:r w:rsidRPr="00610DDF">
        <w:rPr>
          <w:sz w:val="24"/>
          <w:lang w:val="en-GB"/>
        </w:rPr>
        <w:t>.</w:t>
      </w:r>
    </w:p>
  </w:footnote>
  <w:footnote w:id="9">
    <w:p w:rsidR="00DF4786" w:rsidRPr="00610DDF" w:rsidP="007E621E" w14:paraId="09FA381C" w14:textId="71FAF2C1">
      <w:pPr>
        <w:pStyle w:val="FootnoteText"/>
        <w:ind w:left="567" w:hanging="567"/>
        <w:rPr>
          <w:sz w:val="24"/>
          <w:lang w:val="en-GB"/>
        </w:rPr>
      </w:pPr>
      <w:r>
        <w:rPr>
          <w:rStyle w:val="FootnoteReference"/>
        </w:rPr>
        <w:footnoteRef/>
      </w:r>
      <w:r w:rsidRPr="00610DDF">
        <w:rPr>
          <w:sz w:val="24"/>
          <w:lang w:val="en-GB"/>
        </w:rPr>
        <w:t xml:space="preserve"> </w:t>
      </w:r>
      <w:r w:rsidRPr="00610DDF">
        <w:rPr>
          <w:sz w:val="24"/>
          <w:lang w:val="en-GB"/>
        </w:rPr>
        <w:tab/>
        <w:t xml:space="preserve">EU's </w:t>
      </w:r>
      <w:r w:rsidRPr="00610DDF">
        <w:rPr>
          <w:sz w:val="24"/>
          <w:lang w:val="en-GB"/>
        </w:rPr>
        <w:t>Asylagentur</w:t>
      </w:r>
      <w:r w:rsidRPr="00610DDF">
        <w:rPr>
          <w:sz w:val="24"/>
          <w:lang w:val="en-GB"/>
        </w:rPr>
        <w:t xml:space="preserve">, "3.4. Data on applications for international protection", </w:t>
      </w:r>
      <w:hyperlink r:id="rId6" w:tgtFrame="https://euaa.europa.eu/asylum-report-2025/34-data-applications-international-protection" w:history="1">
        <w:r w:rsidRPr="00610DDF">
          <w:rPr>
            <w:rStyle w:val="Hyperlink"/>
            <w:sz w:val="24"/>
            <w:lang w:val="en-GB"/>
          </w:rPr>
          <w:t>https://euaa.europa.eu/asylum-report-2025/34-data-applications-international-protection</w:t>
        </w:r>
      </w:hyperlink>
      <w:r w:rsidRPr="00610DDF">
        <w:rPr>
          <w:sz w:val="24"/>
          <w:lang w:val="en-GB"/>
        </w:rPr>
        <w:t>.</w:t>
      </w:r>
    </w:p>
  </w:footnote>
  <w:footnote w:id="10">
    <w:p w:rsidR="00DF4786" w:rsidRPr="00610DDF" w:rsidP="007E621E" w14:paraId="3C3C23A3" w14:textId="433F7D9A">
      <w:pPr>
        <w:pStyle w:val="FootnoteText"/>
        <w:ind w:left="567" w:hanging="567"/>
        <w:rPr>
          <w:sz w:val="24"/>
          <w:lang w:val="en-GB"/>
        </w:rPr>
      </w:pPr>
      <w:r>
        <w:rPr>
          <w:rStyle w:val="FootnoteReference"/>
        </w:rPr>
        <w:footnoteRef/>
      </w:r>
      <w:r w:rsidRPr="00610DDF">
        <w:rPr>
          <w:sz w:val="24"/>
          <w:lang w:val="en-GB"/>
        </w:rPr>
        <w:t xml:space="preserve"> </w:t>
      </w:r>
      <w:r w:rsidRPr="00610DDF">
        <w:rPr>
          <w:sz w:val="24"/>
          <w:lang w:val="en-GB"/>
        </w:rPr>
        <w:tab/>
      </w:r>
      <w:hyperlink r:id="rId7" w:tgtFrame="https://www.frontex.europa.eu/media-centre/news/news-release/frontex-irregular-border-crossings-down-26-in-2025-europe-must-stay-prepared-lyKpVb" w:history="1">
        <w:r w:rsidRPr="00610DDF">
          <w:rPr>
            <w:rStyle w:val="Hyperlink"/>
            <w:sz w:val="24"/>
            <w:lang w:val="en-GB"/>
          </w:rPr>
          <w:t>https://www.frontex.europa.eu/media-centre/news/news-release/frontex-irregular-border-crossings-down-26-in-2025-europe-must-stay-prepared-lyKpVb</w:t>
        </w:r>
      </w:hyperlink>
      <w:r w:rsidRPr="00610DDF">
        <w:rPr>
          <w:sz w:val="24"/>
          <w:lang w:val="en-GB"/>
        </w:rPr>
        <w:t>.</w:t>
      </w:r>
    </w:p>
  </w:footnote>
  <w:footnote w:id="11">
    <w:p w:rsidR="00DF4786" w:rsidRPr="00610DDF" w:rsidP="007E621E" w14:paraId="6E633D60" w14:textId="1D4066BD">
      <w:pPr>
        <w:pStyle w:val="FootnoteText"/>
        <w:ind w:left="567" w:hanging="567"/>
        <w:rPr>
          <w:sz w:val="24"/>
          <w:lang w:val="en-GB"/>
        </w:rPr>
      </w:pPr>
      <w:r>
        <w:rPr>
          <w:rStyle w:val="FootnoteReference"/>
        </w:rPr>
        <w:footnoteRef/>
      </w:r>
      <w:r w:rsidRPr="007E621E">
        <w:rPr>
          <w:sz w:val="24"/>
          <w:lang w:val="da-DK"/>
        </w:rPr>
        <w:t xml:space="preserve"> </w:t>
      </w:r>
      <w:r w:rsidRPr="007E621E">
        <w:rPr>
          <w:sz w:val="24"/>
          <w:lang w:val="da-DK"/>
        </w:rPr>
        <w:tab/>
        <w:t xml:space="preserve">Tallet indbefatter ikke asylansøgere og flygtninge fra Ukraine, der er under midlertidig beskyttelse i nogle medlemsstater. </w:t>
      </w:r>
      <w:r w:rsidRPr="00610DDF">
        <w:rPr>
          <w:sz w:val="24"/>
          <w:lang w:val="en-GB"/>
        </w:rPr>
        <w:t xml:space="preserve">Eurostat, "Migration to and from the EU", </w:t>
      </w:r>
      <w:hyperlink r:id="rId8" w:tgtFrame="https://ec.europa.eu/eurostat/statistics-explained/index.php?title=Migration_to_and_from_the_EU" w:history="1">
        <w:r w:rsidRPr="00610DDF">
          <w:rPr>
            <w:rStyle w:val="Hyperlink"/>
            <w:sz w:val="24"/>
            <w:lang w:val="en-GB"/>
          </w:rPr>
          <w:t>https://ec.europa.eu/eurostat/statistics-explained/index.php?title=Migration_to_and_from_the_EU</w:t>
        </w:r>
      </w:hyperlink>
      <w:r w:rsidRPr="00610DDF">
        <w:rPr>
          <w:sz w:val="24"/>
          <w:lang w:val="en-GB"/>
        </w:rPr>
        <w:t>.</w:t>
      </w:r>
    </w:p>
  </w:footnote>
  <w:footnote w:id="12">
    <w:p w:rsidR="00DF4786" w:rsidRPr="00610DDF" w:rsidP="007E621E" w14:paraId="7B24CC98" w14:textId="0CAEF763">
      <w:pPr>
        <w:pStyle w:val="FootnoteText"/>
        <w:ind w:left="567" w:hanging="567"/>
        <w:rPr>
          <w:sz w:val="24"/>
          <w:lang w:val="en-GB"/>
        </w:rPr>
      </w:pPr>
      <w:r>
        <w:rPr>
          <w:rStyle w:val="FootnoteReference"/>
        </w:rPr>
        <w:footnoteRef/>
      </w:r>
      <w:r w:rsidRPr="00610DDF">
        <w:rPr>
          <w:sz w:val="24"/>
          <w:lang w:val="en-GB"/>
        </w:rPr>
        <w:t xml:space="preserve"> </w:t>
      </w:r>
      <w:r w:rsidRPr="00610DDF">
        <w:rPr>
          <w:sz w:val="24"/>
          <w:lang w:val="en-GB"/>
        </w:rPr>
        <w:tab/>
        <w:t xml:space="preserve">Eurostat, Migration and asylum in Europe – 2025 edition, irregular migration and return, </w:t>
      </w:r>
      <w:hyperlink r:id="rId9" w:anchor="irregular-migration-and-return" w:tgtFrame="https://ec.europa.eu/eurostat/web/interactive-publications/migration-2025#irregular-migration-and-return" w:history="1">
        <w:r w:rsidRPr="00610DDF">
          <w:rPr>
            <w:rStyle w:val="Hyperlink"/>
            <w:sz w:val="24"/>
            <w:lang w:val="en-GB"/>
          </w:rPr>
          <w:t>https://ec.europa.eu/eurostat/web/interactive-publications/migration-2025#irregular-migration-and-return</w:t>
        </w:r>
      </w:hyperlink>
      <w:r w:rsidRPr="00610DDF">
        <w:rPr>
          <w:sz w:val="24"/>
          <w:lang w:val="en-GB"/>
        </w:rPr>
        <w:t>.</w:t>
      </w:r>
    </w:p>
  </w:footnote>
  <w:footnote w:id="13">
    <w:p w:rsidR="00DF4786" w:rsidRPr="00610DDF" w:rsidP="007E621E" w14:paraId="4CB8BCC2" w14:textId="62B4F20C">
      <w:pPr>
        <w:pStyle w:val="FootnoteText"/>
        <w:ind w:left="567" w:hanging="567"/>
        <w:rPr>
          <w:sz w:val="24"/>
          <w:lang w:val="en-GB"/>
        </w:rPr>
      </w:pPr>
      <w:r>
        <w:rPr>
          <w:rStyle w:val="FootnoteReference"/>
        </w:rPr>
        <w:footnoteRef/>
      </w:r>
      <w:r w:rsidRPr="00610DDF">
        <w:rPr>
          <w:sz w:val="24"/>
          <w:lang w:val="en-GB"/>
        </w:rPr>
        <w:t xml:space="preserve"> </w:t>
      </w:r>
      <w:r w:rsidRPr="00610DDF">
        <w:rPr>
          <w:sz w:val="24"/>
          <w:lang w:val="en-GB"/>
        </w:rPr>
        <w:tab/>
        <w:t xml:space="preserve">Eurostat, Migration and asylum in Europe – 2025 edition, Orders to leave and returns, </w:t>
      </w:r>
      <w:hyperlink r:id="rId9" w:anchor="orders-to-leave-and-returns-of-non-eu-citizens" w:tgtFrame="https://ec.europa.eu/eurostat/web/interactive-publications/migration-2025#orders-to-leave-and-returns-of-non-eu-citizens" w:history="1">
        <w:r w:rsidRPr="00610DDF">
          <w:rPr>
            <w:rStyle w:val="Hyperlink"/>
            <w:sz w:val="24"/>
            <w:lang w:val="en-GB"/>
          </w:rPr>
          <w:t>https://ec.europa.eu/eurostat/web/interactive-publications/migration-2025#orders-to-leave-and-returns-of-non-eu-citizens</w:t>
        </w:r>
      </w:hyperlink>
      <w:r w:rsidRPr="00610DDF">
        <w:rPr>
          <w:sz w:val="24"/>
          <w:lang w:val="en-GB"/>
        </w:rPr>
        <w:t>.</w:t>
      </w:r>
    </w:p>
  </w:footnote>
  <w:footnote w:id="14">
    <w:p w:rsidR="00DF4786" w:rsidRPr="00610DDF" w:rsidP="007E621E" w14:paraId="423B1A2A" w14:textId="64112256">
      <w:pPr>
        <w:pStyle w:val="FootnoteText"/>
        <w:ind w:left="567" w:hanging="567"/>
        <w:rPr>
          <w:sz w:val="24"/>
          <w:lang w:val="en-GB"/>
        </w:rPr>
      </w:pPr>
      <w:r>
        <w:rPr>
          <w:rStyle w:val="FootnoteReference"/>
        </w:rPr>
        <w:footnoteRef/>
      </w:r>
      <w:r w:rsidRPr="00610DDF">
        <w:rPr>
          <w:sz w:val="24"/>
          <w:lang w:val="en-GB"/>
        </w:rPr>
        <w:t xml:space="preserve"> </w:t>
      </w:r>
      <w:r w:rsidRPr="00610DDF">
        <w:rPr>
          <w:sz w:val="24"/>
          <w:lang w:val="en-GB"/>
        </w:rPr>
        <w:tab/>
      </w:r>
      <w:hyperlink r:id="rId10" w:tgtFrame="https://www.unhcr.org/about-unhcr/overview/figures-glance" w:history="1">
        <w:r w:rsidRPr="00610DDF">
          <w:rPr>
            <w:rStyle w:val="Hyperlink"/>
            <w:sz w:val="24"/>
            <w:lang w:val="en-GB"/>
          </w:rPr>
          <w:t>https://www.unhcr.org/about-unhcr/overview/figures-glance</w:t>
        </w:r>
      </w:hyperlink>
      <w:r w:rsidRPr="00610DDF">
        <w:rPr>
          <w:sz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1440152">
    <w:abstractNumId w:val="9"/>
  </w:num>
  <w:num w:numId="2" w16cid:durableId="1320770553">
    <w:abstractNumId w:val="9"/>
  </w:num>
  <w:num w:numId="3" w16cid:durableId="234629923">
    <w:abstractNumId w:val="7"/>
  </w:num>
  <w:num w:numId="4" w16cid:durableId="174148762">
    <w:abstractNumId w:val="7"/>
  </w:num>
  <w:num w:numId="5" w16cid:durableId="1011488797">
    <w:abstractNumId w:val="6"/>
  </w:num>
  <w:num w:numId="6" w16cid:durableId="21060173">
    <w:abstractNumId w:val="6"/>
  </w:num>
  <w:num w:numId="7" w16cid:durableId="696346977">
    <w:abstractNumId w:val="5"/>
  </w:num>
  <w:num w:numId="8" w16cid:durableId="1938636536">
    <w:abstractNumId w:val="5"/>
  </w:num>
  <w:num w:numId="9" w16cid:durableId="1956328677">
    <w:abstractNumId w:val="4"/>
  </w:num>
  <w:num w:numId="10" w16cid:durableId="1175539792">
    <w:abstractNumId w:val="4"/>
  </w:num>
  <w:num w:numId="11" w16cid:durableId="499782051">
    <w:abstractNumId w:val="8"/>
  </w:num>
  <w:num w:numId="12" w16cid:durableId="579606964">
    <w:abstractNumId w:val="8"/>
  </w:num>
  <w:num w:numId="13" w16cid:durableId="1950695758">
    <w:abstractNumId w:val="3"/>
  </w:num>
  <w:num w:numId="14" w16cid:durableId="1092437339">
    <w:abstractNumId w:val="3"/>
  </w:num>
  <w:num w:numId="15" w16cid:durableId="419565869">
    <w:abstractNumId w:val="2"/>
  </w:num>
  <w:num w:numId="16" w16cid:durableId="1654334540">
    <w:abstractNumId w:val="2"/>
  </w:num>
  <w:num w:numId="17" w16cid:durableId="1770933143">
    <w:abstractNumId w:val="1"/>
  </w:num>
  <w:num w:numId="18" w16cid:durableId="675810596">
    <w:abstractNumId w:val="1"/>
  </w:num>
  <w:num w:numId="19" w16cid:durableId="865561005">
    <w:abstractNumId w:val="0"/>
  </w:num>
  <w:num w:numId="20" w16cid:durableId="899707987">
    <w:abstractNumId w:val="0"/>
  </w:num>
  <w:num w:numId="21" w16cid:durableId="33118849">
    <w:abstractNumId w:val="9"/>
  </w:num>
  <w:num w:numId="22" w16cid:durableId="586306650">
    <w:abstractNumId w:val="7"/>
  </w:num>
  <w:num w:numId="23" w16cid:durableId="1803498110">
    <w:abstractNumId w:val="6"/>
  </w:num>
  <w:num w:numId="24" w16cid:durableId="662662852">
    <w:abstractNumId w:val="5"/>
  </w:num>
  <w:num w:numId="25" w16cid:durableId="319693498">
    <w:abstractNumId w:val="4"/>
  </w:num>
  <w:num w:numId="26" w16cid:durableId="626163331">
    <w:abstractNumId w:val="8"/>
  </w:num>
  <w:num w:numId="27" w16cid:durableId="1626690202">
    <w:abstractNumId w:val="3"/>
  </w:num>
  <w:num w:numId="28" w16cid:durableId="682629566">
    <w:abstractNumId w:val="2"/>
  </w:num>
  <w:num w:numId="29" w16cid:durableId="1394818188">
    <w:abstractNumId w:val="1"/>
  </w:num>
  <w:num w:numId="30" w16cid:durableId="910653896">
    <w:abstractNumId w:val="0"/>
  </w:num>
  <w:num w:numId="31" w16cid:durableId="1020934580">
    <w:abstractNumId w:val="9"/>
  </w:num>
  <w:num w:numId="32" w16cid:durableId="2041196119">
    <w:abstractNumId w:val="7"/>
  </w:num>
  <w:num w:numId="33" w16cid:durableId="1980577018">
    <w:abstractNumId w:val="6"/>
  </w:num>
  <w:num w:numId="34" w16cid:durableId="878203952">
    <w:abstractNumId w:val="5"/>
  </w:num>
  <w:num w:numId="35" w16cid:durableId="197403081">
    <w:abstractNumId w:val="4"/>
  </w:num>
  <w:num w:numId="36" w16cid:durableId="2053797651">
    <w:abstractNumId w:val="8"/>
  </w:num>
  <w:num w:numId="37" w16cid:durableId="556623392">
    <w:abstractNumId w:val="3"/>
  </w:num>
  <w:num w:numId="38" w16cid:durableId="1431968605">
    <w:abstractNumId w:val="2"/>
  </w:num>
  <w:num w:numId="39" w16cid:durableId="1029187727">
    <w:abstractNumId w:val="1"/>
  </w:num>
  <w:num w:numId="40" w16cid:durableId="53161640">
    <w:abstractNumId w:val="0"/>
  </w:num>
  <w:num w:numId="41" w16cid:durableId="964777652">
    <w:abstractNumId w:val="10"/>
  </w:num>
  <w:num w:numId="42" w16cid:durableId="1948808015">
    <w:abstractNumId w:val="10"/>
  </w:num>
  <w:num w:numId="43" w16cid:durableId="1462654034">
    <w:abstractNumId w:val="10"/>
  </w:num>
  <w:num w:numId="44" w16cid:durableId="13216158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C62"/>
    <w:rsid w:val="00002272"/>
    <w:rsid w:val="000059BC"/>
    <w:rsid w:val="00064002"/>
    <w:rsid w:val="000677B9"/>
    <w:rsid w:val="000831BA"/>
    <w:rsid w:val="000A42CC"/>
    <w:rsid w:val="000B52EE"/>
    <w:rsid w:val="000E7DD9"/>
    <w:rsid w:val="0010095E"/>
    <w:rsid w:val="00125B37"/>
    <w:rsid w:val="0013541A"/>
    <w:rsid w:val="00187494"/>
    <w:rsid w:val="001A091A"/>
    <w:rsid w:val="001F32AE"/>
    <w:rsid w:val="002767FF"/>
    <w:rsid w:val="00276F2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440"/>
    <w:rsid w:val="005C2568"/>
    <w:rsid w:val="005F1B17"/>
    <w:rsid w:val="005F1DEF"/>
    <w:rsid w:val="006037C0"/>
    <w:rsid w:val="00610DDF"/>
    <w:rsid w:val="006631B6"/>
    <w:rsid w:val="00680577"/>
    <w:rsid w:val="00694939"/>
    <w:rsid w:val="006F74FA"/>
    <w:rsid w:val="00731ADD"/>
    <w:rsid w:val="00734777"/>
    <w:rsid w:val="00747932"/>
    <w:rsid w:val="00751A4A"/>
    <w:rsid w:val="00756632"/>
    <w:rsid w:val="00762C74"/>
    <w:rsid w:val="00786EC0"/>
    <w:rsid w:val="007D1690"/>
    <w:rsid w:val="007E22AD"/>
    <w:rsid w:val="007E621E"/>
    <w:rsid w:val="00817416"/>
    <w:rsid w:val="00842779"/>
    <w:rsid w:val="00865F67"/>
    <w:rsid w:val="00881A7B"/>
    <w:rsid w:val="008840E5"/>
    <w:rsid w:val="00887B3E"/>
    <w:rsid w:val="008C2AC6"/>
    <w:rsid w:val="009203BE"/>
    <w:rsid w:val="00930C23"/>
    <w:rsid w:val="0093193B"/>
    <w:rsid w:val="009509D8"/>
    <w:rsid w:val="00950B64"/>
    <w:rsid w:val="00964748"/>
    <w:rsid w:val="00981893"/>
    <w:rsid w:val="009C4B2A"/>
    <w:rsid w:val="00A1687D"/>
    <w:rsid w:val="00A43E52"/>
    <w:rsid w:val="00A4678D"/>
    <w:rsid w:val="00A778C7"/>
    <w:rsid w:val="00AB441E"/>
    <w:rsid w:val="00AB6293"/>
    <w:rsid w:val="00AC6C62"/>
    <w:rsid w:val="00AE0928"/>
    <w:rsid w:val="00AF3B82"/>
    <w:rsid w:val="00B12E95"/>
    <w:rsid w:val="00B22876"/>
    <w:rsid w:val="00B558F0"/>
    <w:rsid w:val="00B8058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4786"/>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7/2026"/>
    <w:docVar w:name="dvlangue" w:val="DA"/>
    <w:docVar w:name="dvnumam" w:val="0"/>
    <w:docVar w:name="dvpe" w:val="776.883"/>
    <w:docVar w:name="dvrapporteur" w:val="Ordfører: "/>
    <w:docVar w:name="dvtitre" w:val="Europa-Parlamentets beslutning af xx.xx 2026 om styrkelse af udviklingssamarbejdet for at imødegå irregulære befolkningsbevægelser og de grundlæggende årsager hertil i partnerlandene(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92E8AC9"/>
  <w15:chartTrackingRefBased/>
  <w15:docId w15:val="{C5A14A4D-1531-4579-9B64-C90D719E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059BC"/>
    <w:pPr>
      <w:widowControl/>
      <w:spacing w:after="240"/>
    </w:pPr>
    <w:rPr>
      <w:szCs w:val="24"/>
      <w:lang w:eastAsia="en-US"/>
    </w:rPr>
  </w:style>
  <w:style w:type="paragraph" w:customStyle="1" w:styleId="NormalHanging12a">
    <w:name w:val="NormalHanging12a"/>
    <w:basedOn w:val="Normal"/>
    <w:rsid w:val="000059BC"/>
    <w:pPr>
      <w:widowControl/>
      <w:spacing w:after="240"/>
      <w:ind w:left="566" w:hanging="566"/>
    </w:pPr>
    <w:rPr>
      <w:szCs w:val="24"/>
      <w:lang w:eastAsia="en-US"/>
    </w:rPr>
  </w:style>
  <w:style w:type="paragraph" w:customStyle="1" w:styleId="Normal12">
    <w:name w:val="Normal12"/>
    <w:basedOn w:val="Normal"/>
    <w:rsid w:val="000059BC"/>
    <w:pPr>
      <w:spacing w:after="240"/>
    </w:pPr>
    <w:rPr>
      <w:szCs w:val="24"/>
      <w:lang w:eastAsia="en-US"/>
    </w:rPr>
  </w:style>
  <w:style w:type="paragraph" w:customStyle="1" w:styleId="NormalHanging">
    <w:name w:val="NormalHanging"/>
    <w:basedOn w:val="Normal"/>
    <w:rsid w:val="000059BC"/>
    <w:pPr>
      <w:spacing w:after="240"/>
      <w:ind w:left="566" w:hanging="566"/>
    </w:pPr>
    <w:rPr>
      <w:szCs w:val="24"/>
      <w:lang w:eastAsia="en-US"/>
    </w:rPr>
  </w:style>
  <w:style w:type="paragraph" w:customStyle="1" w:styleId="NormalCenter12a">
    <w:name w:val="NormalCenter12a"/>
    <w:basedOn w:val="Normal"/>
    <w:rsid w:val="000059BC"/>
    <w:pPr>
      <w:widowControl/>
      <w:spacing w:after="240"/>
      <w:jc w:val="center"/>
    </w:pPr>
    <w:rPr>
      <w:szCs w:val="24"/>
      <w:lang w:eastAsia="en-US"/>
    </w:rPr>
  </w:style>
  <w:style w:type="character" w:styleId="Hyperlink">
    <w:name w:val="Hyperlink"/>
    <w:basedOn w:val="DefaultParagraphFont"/>
    <w:rsid w:val="000059BC"/>
    <w:rPr>
      <w:color w:val="0000FF"/>
      <w:u w:val="single"/>
    </w:rPr>
  </w:style>
  <w:style w:type="paragraph" w:styleId="Revision">
    <w:name w:val="Revision"/>
    <w:hidden/>
    <w:uiPriority w:val="99"/>
    <w:semiHidden/>
    <w:rsid w:val="00964748"/>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DA/ALL/?uri=CELEX:52021JC0030" TargetMode="External" /><Relationship Id="rId8" Type="http://schemas.openxmlformats.org/officeDocument/2006/relationships/theme" Target="theme/theme1.xml" /><Relationship Id="rId9" Type="http://schemas.openxmlformats.org/officeDocument/2006/relationships/numbering" Target="numbering.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4515</Words>
  <Characters>29423</Characters>
  <Application>Microsoft Office Word</Application>
  <DocSecurity>0</DocSecurity>
  <Lines>245</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2026-07-14T10:34:00Z</dcterms:created>
  <dcterms:modified xsi:type="dcterms:W3CDTF">2026-07-14T10:34:00Z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A10-0147/2026</vt:lpwstr>
  </property>
  <property fmtid="{D5CDD505-2E9C-101B-9397-08002B2CF9AE}" pid="4" name="&lt;Type&gt;">
    <vt:lpwstr>RR</vt:lpwstr>
  </property>
</Properties>
</file>