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930CB8" w14:textId="77777777" w:rsidTr="0010095E">
        <w:tblPrEx>
          <w:tblW w:w="9072" w:type="dxa"/>
          <w:tblLook w:val="01E0"/>
        </w:tblPrEx>
        <w:trPr>
          <w:trHeight w:hRule="exact" w:val="1418"/>
        </w:trPr>
        <w:tc>
          <w:tcPr>
            <w:tcW w:w="6804" w:type="dxa"/>
            <w:shd w:val="clear" w:color="auto" w:fill="auto"/>
            <w:vAlign w:val="center"/>
          </w:tcPr>
          <w:p w:rsidR="00751A4A" w:rsidRPr="00011D3B" w:rsidP="0010095E" w14:paraId="60E5AF95" w14:textId="77777777">
            <w:pPr>
              <w:pStyle w:val="EPName"/>
            </w:pPr>
            <w:r w:rsidRPr="00011D3B">
              <w:t>Ευρωπαϊκό Κοινοβούλιο</w:t>
            </w:r>
          </w:p>
          <w:p w:rsidR="00751A4A" w:rsidRPr="00011D3B" w:rsidP="005F1B17" w14:paraId="668DE275" w14:textId="77777777">
            <w:pPr>
              <w:pStyle w:val="EPTerm"/>
              <w:rPr>
                <w:rStyle w:val="HideTWBExt"/>
                <w:noProof w:val="0"/>
                <w:vanish w:val="0"/>
                <w:color w:val="auto"/>
              </w:rPr>
            </w:pPr>
            <w:r w:rsidRPr="00011D3B">
              <w:t>2024</w:t>
            </w:r>
            <w:r w:rsidRPr="00011D3B" w:rsidR="00817416">
              <w:t>-202</w:t>
            </w:r>
            <w:r w:rsidRPr="00011D3B">
              <w:t>9</w:t>
            </w:r>
          </w:p>
        </w:tc>
        <w:tc>
          <w:tcPr>
            <w:tcW w:w="2268" w:type="dxa"/>
            <w:shd w:val="clear" w:color="auto" w:fill="auto"/>
          </w:tcPr>
          <w:p w:rsidR="00751A4A" w:rsidRPr="00011D3B" w:rsidP="0010095E" w14:paraId="6C35A1F4" w14:textId="77777777">
            <w:pPr>
              <w:pStyle w:val="EPLogo"/>
            </w:pPr>
            <w:r w:rsidRPr="00011D3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11D3B" w:rsidP="004C5D52" w14:paraId="045BCB16" w14:textId="77777777">
      <w:pPr>
        <w:pStyle w:val="LineTop"/>
      </w:pPr>
    </w:p>
    <w:p w:rsidR="00680577" w:rsidRPr="00011D3B" w:rsidP="00680577" w14:paraId="508AAF1B" w14:textId="77777777">
      <w:pPr>
        <w:pStyle w:val="EPBodyTA1"/>
      </w:pPr>
      <w:r w:rsidRPr="00011D3B">
        <w:t>ΚΕΙΜΕΝΑ ΠΟΥ ΕΓΚΡΙΘΗΚΑΝ</w:t>
      </w:r>
    </w:p>
    <w:p w:rsidR="00D058B8" w:rsidRPr="00011D3B" w:rsidP="00D058B8" w14:paraId="736C8DC6" w14:textId="77777777">
      <w:pPr>
        <w:pStyle w:val="LineBottom"/>
      </w:pPr>
    </w:p>
    <w:p w:rsidR="00AB275F" w:rsidRPr="00011D3B" w:rsidP="00AB275F" w14:paraId="2687E582" w14:textId="60A1C345">
      <w:pPr>
        <w:pStyle w:val="ATHeading1"/>
      </w:pPr>
      <w:bookmarkStart w:id="0" w:name="TANumber"/>
      <w:r w:rsidRPr="00011D3B">
        <w:t>P10_TA(2026)0</w:t>
      </w:r>
      <w:r w:rsidRPr="00011D3B" w:rsidR="00AC57D5">
        <w:t>205</w:t>
      </w:r>
      <w:bookmarkEnd w:id="0"/>
    </w:p>
    <w:p w:rsidR="00AB275F" w:rsidRPr="00011D3B" w:rsidP="00AB275F" w14:paraId="467C7A60" w14:textId="77777777">
      <w:pPr>
        <w:pStyle w:val="ATHeading2"/>
      </w:pPr>
      <w:bookmarkStart w:id="1" w:name="title"/>
      <w:r w:rsidRPr="00011D3B">
        <w:t>Ενίσχυση της αναπτυξιακής συνεργασίας για την αντιμετώπιση των παράτυπων μετακινήσεων πληθυσμών και των βαθύτερων αιτίων τους στις χώρες εταίρους</w:t>
      </w:r>
      <w:bookmarkEnd w:id="1"/>
    </w:p>
    <w:p w:rsidR="00AB275F" w:rsidRPr="00011D3B" w:rsidP="00AB275F" w14:paraId="306FA006" w14:textId="77777777">
      <w:pPr>
        <w:rPr>
          <w:i/>
          <w:vanish/>
        </w:rPr>
      </w:pPr>
      <w:r>
        <w:rPr>
          <w:i/>
        </w:rPr>
        <w:fldChar w:fldCharType="begin"/>
      </w:r>
      <w:r w:rsidRPr="00011D3B">
        <w:rPr>
          <w:i/>
        </w:rPr>
        <w:instrText xml:space="preserve"> TC"(</w:instrText>
      </w:r>
      <w:bookmarkStart w:id="2" w:name="DocNumber"/>
      <w:r w:rsidRPr="00011D3B">
        <w:rPr>
          <w:i/>
        </w:rPr>
        <w:instrText>A10-0147/2026</w:instrText>
      </w:r>
      <w:bookmarkEnd w:id="2"/>
      <w:r w:rsidRPr="00011D3B">
        <w:rPr>
          <w:i/>
        </w:rPr>
        <w:instrText xml:space="preserve"> - Εισηγητής: Lukas Mandl)"\l3 \n&gt; \* MERGEFORMAT </w:instrText>
      </w:r>
      <w:r>
        <w:rPr>
          <w:i/>
        </w:rPr>
        <w:fldChar w:fldCharType="end"/>
      </w:r>
    </w:p>
    <w:p w:rsidR="00AB275F" w:rsidRPr="00011D3B" w:rsidP="00AB275F" w14:paraId="455AD647" w14:textId="77777777">
      <w:pPr>
        <w:rPr>
          <w:vanish/>
        </w:rPr>
      </w:pPr>
      <w:bookmarkStart w:id="3" w:name="Commission"/>
      <w:r w:rsidRPr="00011D3B">
        <w:rPr>
          <w:vanish/>
        </w:rPr>
        <w:t>Επιτροπή Ανάπτυξης</w:t>
      </w:r>
      <w:bookmarkEnd w:id="3"/>
    </w:p>
    <w:p w:rsidR="00AB275F" w:rsidRPr="00011D3B" w:rsidP="00AB275F" w14:paraId="48DB424D" w14:textId="77777777">
      <w:pPr>
        <w:rPr>
          <w:vanish/>
        </w:rPr>
      </w:pPr>
      <w:bookmarkStart w:id="4" w:name="PE"/>
      <w:r w:rsidRPr="00011D3B">
        <w:rPr>
          <w:vanish/>
        </w:rPr>
        <w:t>PE776.883</w:t>
      </w:r>
      <w:bookmarkEnd w:id="4"/>
    </w:p>
    <w:p w:rsidR="00AB275F" w:rsidRPr="00011D3B" w:rsidP="00AB275F" w14:paraId="1E8B5C04" w14:textId="5369211C">
      <w:pPr>
        <w:pStyle w:val="ATHeading3"/>
      </w:pPr>
      <w:bookmarkStart w:id="5" w:name="Sujet"/>
      <w:r w:rsidRPr="00011D3B">
        <w:t xml:space="preserve">Ψήφισμα του Ευρωπαϊκού Κοινοβουλίου της </w:t>
      </w:r>
      <w:r w:rsidRPr="00011D3B" w:rsidR="003263B7">
        <w:t>16ης</w:t>
      </w:r>
      <w:r w:rsidRPr="00011D3B" w:rsidR="00DD4E4B">
        <w:t xml:space="preserve"> Ιουνίου</w:t>
      </w:r>
      <w:r w:rsidRPr="00011D3B">
        <w:t xml:space="preserve"> 2026 σχετικά με την ενίσχυση της αναπτυξιακής συνεργασίας για την αντιμετώπιση των παράτυπων μετακινήσεων πληθυσμών και των βαθύτερων αιτίων τους στις χώρες εταίρους</w:t>
      </w:r>
      <w:bookmarkEnd w:id="5"/>
      <w:r w:rsidRPr="00011D3B">
        <w:t xml:space="preserve"> </w:t>
      </w:r>
      <w:bookmarkStart w:id="6" w:name="References"/>
      <w:r w:rsidRPr="00011D3B">
        <w:t>(2025/2111(INI))</w:t>
      </w:r>
      <w:bookmarkEnd w:id="6"/>
    </w:p>
    <w:p w:rsidR="005022F3" w:rsidRPr="00011D3B" w:rsidP="00AF23E3" w14:paraId="3E0ABD8C" w14:textId="77777777">
      <w:pPr>
        <w:pStyle w:val="Normal12"/>
        <w:rPr>
          <w:i/>
        </w:rPr>
      </w:pPr>
    </w:p>
    <w:p w:rsidR="00AF23E3" w:rsidRPr="00011D3B" w:rsidP="00AF23E3" w14:paraId="1AEF2AED" w14:textId="18EC5878">
      <w:pPr>
        <w:pStyle w:val="Normal12"/>
      </w:pPr>
      <w:r w:rsidRPr="00011D3B">
        <w:rPr>
          <w:i/>
        </w:rPr>
        <w:t>Το Ευρωπαϊκό Κοινοβούλιο</w:t>
      </w:r>
      <w:r w:rsidRPr="00011D3B">
        <w:t>,</w:t>
      </w:r>
    </w:p>
    <w:p w:rsidR="00AF23E3" w:rsidRPr="00011D3B" w:rsidP="00AF23E3" w14:paraId="644E7394" w14:textId="77777777">
      <w:pPr>
        <w:pStyle w:val="NormalHanging"/>
      </w:pPr>
      <w:r w:rsidRPr="00011D3B">
        <w:t>–</w:t>
      </w:r>
      <w:r w:rsidRPr="00011D3B">
        <w:tab/>
        <w:t>έχοντας υπόψη τα άρθρα 79 και 208 της Συνθήκης για τη λειτουργία της Ευρωπαϊκής Ένωσης (ΣΛΕΕ),</w:t>
      </w:r>
    </w:p>
    <w:p w:rsidR="00AF23E3" w:rsidRPr="00011D3B" w:rsidP="00AF23E3" w14:paraId="30B4D86C" w14:textId="77777777">
      <w:pPr>
        <w:pStyle w:val="NormalHanging"/>
      </w:pPr>
      <w:r w:rsidRPr="00011D3B">
        <w:t>–</w:t>
      </w:r>
      <w:r w:rsidRPr="00011D3B">
        <w:tab/>
        <w:t>έχοντας υπόψη το άρθρο 3 παράγραφος 5 και το άρθρο 21 της Συνθήκης για την Ευρωπαϊκή Ένωση (ΣΕΕ),</w:t>
      </w:r>
    </w:p>
    <w:p w:rsidR="00AF23E3" w:rsidRPr="00011D3B" w:rsidP="00AF23E3" w14:paraId="24DF710A" w14:textId="77777777">
      <w:pPr>
        <w:pStyle w:val="NormalHanging"/>
      </w:pPr>
      <w:r w:rsidRPr="00011D3B">
        <w:t>–</w:t>
      </w:r>
      <w:r w:rsidRPr="00011D3B">
        <w:tab/>
        <w:t>έχοντας υπόψη το έγγραφο εργασίας των υπηρεσιών της Επιτροπής, της 30ής Ιουνίου 2021, με τίτλο «</w:t>
      </w:r>
      <w:r w:rsidRPr="00011D3B">
        <w:t>Applying</w:t>
      </w:r>
      <w:r w:rsidRPr="00011D3B">
        <w:t xml:space="preserve"> the Human Rights </w:t>
      </w:r>
      <w:r w:rsidRPr="00011D3B">
        <w:t>Based</w:t>
      </w:r>
      <w:r w:rsidRPr="00011D3B">
        <w:t xml:space="preserve"> </w:t>
      </w:r>
      <w:r w:rsidRPr="00011D3B">
        <w:t>Approach</w:t>
      </w:r>
      <w:r w:rsidRPr="00011D3B">
        <w:t xml:space="preserve"> </w:t>
      </w:r>
      <w:r w:rsidRPr="00011D3B">
        <w:t>to</w:t>
      </w:r>
      <w:r w:rsidRPr="00011D3B">
        <w:t xml:space="preserve"> </w:t>
      </w:r>
      <w:r w:rsidRPr="00011D3B">
        <w:t>international</w:t>
      </w:r>
      <w:r w:rsidRPr="00011D3B">
        <w:t xml:space="preserve"> </w:t>
      </w:r>
      <w:r w:rsidRPr="00011D3B">
        <w:t>partnerships</w:t>
      </w:r>
      <w:r w:rsidRPr="00011D3B">
        <w:t xml:space="preserve"> – </w:t>
      </w:r>
      <w:r w:rsidRPr="00011D3B">
        <w:t>An</w:t>
      </w:r>
      <w:r w:rsidRPr="00011D3B">
        <w:t xml:space="preserve"> </w:t>
      </w:r>
      <w:r w:rsidRPr="00011D3B">
        <w:t>updated</w:t>
      </w:r>
      <w:r w:rsidRPr="00011D3B">
        <w:t xml:space="preserve"> </w:t>
      </w:r>
      <w:r w:rsidRPr="00011D3B">
        <w:t>Toolbox</w:t>
      </w:r>
      <w:r w:rsidRPr="00011D3B">
        <w:t xml:space="preserve"> for </w:t>
      </w:r>
      <w:r w:rsidRPr="00011D3B">
        <w:t>placing</w:t>
      </w:r>
      <w:r w:rsidRPr="00011D3B">
        <w:t xml:space="preserve"> </w:t>
      </w:r>
      <w:r w:rsidRPr="00011D3B">
        <w:t>rights-holders</w:t>
      </w:r>
      <w:r w:rsidRPr="00011D3B">
        <w:t xml:space="preserve"> </w:t>
      </w:r>
      <w:r w:rsidRPr="00011D3B">
        <w:t>at</w:t>
      </w:r>
      <w:r w:rsidRPr="00011D3B">
        <w:t xml:space="preserve"> the </w:t>
      </w:r>
      <w:r w:rsidRPr="00011D3B">
        <w:t>centre</w:t>
      </w:r>
      <w:r w:rsidRPr="00011D3B">
        <w:t xml:space="preserve"> of </w:t>
      </w:r>
      <w:r w:rsidRPr="00011D3B">
        <w:t>EU’s</w:t>
      </w:r>
      <w:r w:rsidRPr="00011D3B">
        <w:t xml:space="preserve"> </w:t>
      </w:r>
      <w:r w:rsidRPr="00011D3B">
        <w:t>Neighbourhood</w:t>
      </w:r>
      <w:r w:rsidRPr="00011D3B">
        <w:t>, Development and International Cooperation» (Εφαρμογή της προσέγγισης με βάση τα ανθρώπινα δικαιώματα στις διεθνείς εταιρικές σχέσεις — Μια επικαιροποιημένη εργαλειοθήκη για την τοποθέτηση των φορέων δικαιωμάτων στο επίκεντρο της γειτονίας, της ανάπτυξης και της διεθνούς συνεργασίας της ΕΕ) (SWD(2021)0179),</w:t>
      </w:r>
    </w:p>
    <w:p w:rsidR="00AF23E3" w:rsidRPr="00011D3B" w:rsidP="00AF23E3" w14:paraId="2B006340" w14:textId="7D8170C3">
      <w:pPr>
        <w:pStyle w:val="NormalHanging"/>
      </w:pPr>
      <w:r w:rsidRPr="00011D3B">
        <w:t>–</w:t>
      </w:r>
      <w:r w:rsidRPr="00011D3B">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w:t>
      </w:r>
      <w:r>
        <w:rPr>
          <w:rStyle w:val="FootnoteReference"/>
        </w:rPr>
        <w:footnoteReference w:id="2"/>
      </w:r>
      <w:r w:rsidRPr="00011D3B">
        <w:t>,</w:t>
      </w:r>
    </w:p>
    <w:p w:rsidR="00AF23E3" w:rsidRPr="00011D3B" w:rsidP="00AF23E3" w14:paraId="48EC6731" w14:textId="77777777">
      <w:pPr>
        <w:pStyle w:val="NormalHanging"/>
      </w:pPr>
      <w:r w:rsidRPr="00011D3B">
        <w:t>–</w:t>
      </w:r>
      <w:r w:rsidRPr="00011D3B">
        <w:tab/>
        <w:t>έχοντας υπόψη την πρόταση της Επιτροπής, της 16ης Ιουλίου 2025, για κανονισμό του Ευρωπαϊκού Κοινοβουλίου και του Συμβουλίου για τη θέσπιση του μηχανισμού «Παγκόσμια Ευρώπη» (COM(2025)0551).</w:t>
      </w:r>
    </w:p>
    <w:p w:rsidR="00AF23E3" w:rsidRPr="00011D3B" w:rsidP="00AF23E3" w14:paraId="303F8D95" w14:textId="53704031">
      <w:pPr>
        <w:pStyle w:val="NormalHanging"/>
      </w:pPr>
      <w:r w:rsidRPr="00011D3B">
        <w:t>–</w:t>
      </w:r>
      <w:r w:rsidRPr="00011D3B">
        <w:tab/>
        <w:t xml:space="preserve">έχοντας υπόψη τον κανονισμό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w:t>
      </w:r>
      <w:r w:rsidRPr="00011D3B">
        <w:t>2021/1060 και την κατάργηση του κανονισμού (ΕΕ) αριθ. 604/2013</w:t>
      </w:r>
      <w:r>
        <w:rPr>
          <w:rStyle w:val="FootnoteReference"/>
        </w:rPr>
        <w:footnoteReference w:id="3"/>
      </w:r>
      <w:r w:rsidRPr="00011D3B">
        <w:t>,</w:t>
      </w:r>
    </w:p>
    <w:p w:rsidR="00AF23E3" w:rsidRPr="00011D3B" w:rsidP="00AF23E3" w14:paraId="11274B3F" w14:textId="31BE7A17">
      <w:pPr>
        <w:pStyle w:val="NormalHanging"/>
      </w:pPr>
      <w:r w:rsidRPr="00011D3B">
        <w:t>–</w:t>
      </w:r>
      <w:r w:rsidRPr="00011D3B">
        <w:tab/>
        <w:t>έχοντας υπόψη την πρόταση της Επιτροπής, της 11ης Μαρτίου 2025, για κανονισμό του Ευρωπαϊκού Κοινοβουλίου και του Συμβουλίου σχετικά με τη θέσπιση κοινού συστήματος για την επιστροφή των υπηκόων τρίτων χωρών που διαμένουν παράνομα στην Ευρωπαϊκή Ένωση, και την κατάργηση της οδηγίας 2008/115/ΕΚ του Ευρωπαϊκού Κοινοβουλίου και του Συμβουλίου, της οδηγίας 2001/40/ΕΚ του Συμβουλίου και της απόφασης 2004/191/ΕΚ</w:t>
      </w:r>
      <w:r w:rsidRPr="00011D3B" w:rsidR="005022F3">
        <w:t xml:space="preserve"> του Συμβουλίου </w:t>
      </w:r>
      <w:r w:rsidRPr="00011D3B">
        <w:t>(COM(2025)0101),</w:t>
      </w:r>
    </w:p>
    <w:p w:rsidR="00AF23E3" w:rsidRPr="00011D3B" w:rsidP="00AF23E3" w14:paraId="2B7E799E" w14:textId="6B9B8F99">
      <w:pPr>
        <w:pStyle w:val="NormalHanging"/>
      </w:pPr>
      <w:r w:rsidRPr="00011D3B">
        <w:t>–</w:t>
      </w:r>
      <w:r w:rsidRPr="00011D3B">
        <w:tab/>
        <w:t>έχοντας υπόψη τη συμφωνία εταιρικής σχέσης μεταξύ της ΕΕ και των κρατών μελών της, αφενός, και των μελών του Οργανισμού Κρατών της Αφρικής, της Καραϊβικής και του Ειρηνικού, αφετέρου (συμφωνία της Σαμόας)</w:t>
      </w:r>
      <w:r>
        <w:rPr>
          <w:rStyle w:val="FootnoteReference"/>
        </w:rPr>
        <w:footnoteReference w:id="4"/>
      </w:r>
      <w:r w:rsidRPr="00011D3B">
        <w:t>,</w:t>
      </w:r>
    </w:p>
    <w:p w:rsidR="00AF23E3" w:rsidRPr="00011D3B" w:rsidP="00AF23E3" w14:paraId="2E0C720C" w14:textId="77777777">
      <w:pPr>
        <w:pStyle w:val="NormalHanging"/>
      </w:pPr>
      <w:r w:rsidRPr="00011D3B">
        <w:t>–</w:t>
      </w:r>
      <w:r w:rsidRPr="00011D3B">
        <w:tab/>
        <w:t>έχοντας υπόψη την ανακοίνωση της Επιτροπής, της 27ης Απριλίου 2022, σχετικά με την προσέλκυση δεξιοτήτων και ταλέντων στην ΕΕ (COM(2022)0657),</w:t>
      </w:r>
    </w:p>
    <w:p w:rsidR="00AF23E3" w:rsidRPr="00011D3B" w:rsidP="00AF23E3" w14:paraId="2E80136C" w14:textId="77777777">
      <w:pPr>
        <w:pStyle w:val="NormalHanging"/>
      </w:pPr>
      <w:r w:rsidRPr="00011D3B">
        <w:t>–</w:t>
      </w:r>
      <w:r w:rsidRPr="00011D3B">
        <w:tab/>
        <w:t>έχοντας υπόψη το σύμφωνο για τη Μεσόγειο,</w:t>
      </w:r>
    </w:p>
    <w:p w:rsidR="00AF23E3" w:rsidRPr="00011D3B" w:rsidP="00AF23E3" w14:paraId="0275E0A4" w14:textId="77777777">
      <w:pPr>
        <w:pStyle w:val="NormalHanging"/>
      </w:pPr>
      <w:r w:rsidRPr="00011D3B">
        <w:t>–</w:t>
      </w:r>
      <w:r w:rsidRPr="00011D3B">
        <w:tab/>
        <w:t>έχοντας υπόψη την κοινή δήλωση του Συμβουλίου και των αντιπροσώπων των κυβερνήσεων των κρατών μελών, συνερχομένων στο πλαίσιο του Συμβουλίου, του Ευρωπαϊκού Κοινοβουλίου και της Επιτροπής, της 7ης Ιουνίου 2017, με τίτλο «Η νέα ευρωπαϊκή κοινή αντίληψη για την ανάπτυξη — Ο κόσμος μας, η αξιοπρέπειά μας, το μέλλον μας»,</w:t>
      </w:r>
    </w:p>
    <w:p w:rsidR="00AF23E3" w:rsidRPr="00011D3B" w:rsidP="00AF23E3" w14:paraId="7F37B536" w14:textId="77777777">
      <w:pPr>
        <w:pStyle w:val="NormalHanging"/>
      </w:pPr>
      <w:r w:rsidRPr="00011D3B">
        <w:t>–</w:t>
      </w:r>
      <w:r w:rsidRPr="00011D3B">
        <w:tab/>
        <w:t>έχοντας υπόψη το καταπιστευματικό ταμείο έκτακτης ανάγκης της ΕΕ για την Αφρική (EUTF) και την ειδική έκθεση 17/2024 του Ευρωπαϊκού Ελεγκτικού Συνεδρίου, της 25ης Σεπτεμβρίου 2024, με τίτλο «Καταπιστευματικό ταμείο της ΕΕ για την Αφρική — Παρά τις νέες προσεγγίσεις, η στήριξη εξακολουθεί να μην είναι επαρκώς στοχευμένη»,</w:t>
      </w:r>
    </w:p>
    <w:p w:rsidR="00AF23E3" w:rsidRPr="00011D3B" w:rsidP="00AF23E3" w14:paraId="172FDD52" w14:textId="77777777">
      <w:pPr>
        <w:pStyle w:val="NormalHanging"/>
      </w:pPr>
      <w:r w:rsidRPr="00011D3B">
        <w:t>–</w:t>
      </w:r>
      <w:r w:rsidRPr="00011D3B">
        <w:tab/>
        <w:t>έχοντας υπόψη την ανακοίνωση της Επιτροπής, της 4ης Ιουνίου 2025, με τίτλο «Ευρωπαϊκή στρατηγική για την ανθεκτικότητα των υδάτων» (COM(2025)0280),</w:t>
      </w:r>
    </w:p>
    <w:p w:rsidR="00AF23E3" w:rsidRPr="00011D3B" w:rsidP="00AF23E3" w14:paraId="224A5135" w14:textId="423CC9EC">
      <w:pPr>
        <w:pStyle w:val="NormalHanging"/>
      </w:pPr>
      <w:r w:rsidRPr="00011D3B">
        <w:t>–</w:t>
      </w:r>
      <w:r w:rsidRPr="00011D3B">
        <w:tab/>
        <w:t>έχοντας υπόψη το ψήφισμά του, της 7ης Μαΐου 2025, σχετικά με την ευρωπαϊκή στρατηγική για την ανθεκτικότητα των υδάτων</w:t>
      </w:r>
      <w:r>
        <w:rPr>
          <w:rStyle w:val="FootnoteReference"/>
        </w:rPr>
        <w:footnoteReference w:id="5"/>
      </w:r>
      <w:r w:rsidRPr="00011D3B">
        <w:t>,</w:t>
      </w:r>
    </w:p>
    <w:p w:rsidR="00AF23E3" w:rsidRPr="00011D3B" w:rsidP="00AF23E3" w14:paraId="181A1D7F" w14:textId="0F551C6F">
      <w:pPr>
        <w:pStyle w:val="NormalHanging"/>
      </w:pPr>
      <w:r w:rsidRPr="00011D3B">
        <w:t>–</w:t>
      </w:r>
      <w:r w:rsidRPr="00011D3B">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w:t>
      </w:r>
      <w:r w:rsidRPr="00011D3B" w:rsidR="005022F3">
        <w:t> </w:t>
      </w:r>
      <w:r w:rsidRPr="00011D3B">
        <w:t>Δεκεμβρίου 2021, με τίτλο «Global Gateway» (</w:t>
      </w:r>
      <w:r w:rsidRPr="00011D3B" w:rsidR="00DD4E4B">
        <w:t>JOIN(2021)0030)</w:t>
      </w:r>
      <w:r w:rsidRPr="00011D3B">
        <w:t>,</w:t>
      </w:r>
    </w:p>
    <w:p w:rsidR="00AF23E3" w:rsidRPr="00011D3B" w:rsidP="00AF23E3" w14:paraId="3CEA504D" w14:textId="0DB51598">
      <w:pPr>
        <w:pStyle w:val="NormalHanging"/>
      </w:pPr>
      <w:r w:rsidRPr="00011D3B">
        <w:t>–</w:t>
      </w:r>
      <w:r w:rsidRPr="00011D3B">
        <w:tab/>
        <w:t xml:space="preserve">έχοντας υπόψη την κοινή ανακοίνωση της Επιτροπής και της Ύπατης Εκπροσώπου της Ένωσης για θέματα εξωτερικής πολιτικής και πολιτικής ασφαλείας, της 2ας Οκτωβρίου 2024, με τίτλο «Ανάπτυξη βιώσιμων διεθνών εταιρικών σχέσεων ως </w:t>
      </w:r>
      <w:r w:rsidRPr="00011D3B" w:rsidR="005022F3">
        <w:t>“</w:t>
      </w:r>
      <w:r w:rsidRPr="00011D3B">
        <w:t>Ομάδα Ευρώπη</w:t>
      </w:r>
      <w:r w:rsidRPr="00011D3B" w:rsidR="005022F3">
        <w:t>”</w:t>
      </w:r>
      <w:r w:rsidRPr="00011D3B">
        <w:t>» (</w:t>
      </w:r>
      <w:r w:rsidRPr="00011D3B" w:rsidR="00DD4E4B">
        <w:t>JOIN(2024)0025</w:t>
      </w:r>
      <w:r w:rsidRPr="00011D3B">
        <w:t>),</w:t>
      </w:r>
    </w:p>
    <w:p w:rsidR="00AF23E3" w:rsidRPr="00011D3B" w:rsidP="00AF23E3" w14:paraId="04177889" w14:textId="77777777">
      <w:pPr>
        <w:pStyle w:val="NormalHanging"/>
      </w:pPr>
      <w:r w:rsidRPr="00011D3B">
        <w:t>–</w:t>
      </w:r>
      <w:r w:rsidRPr="00011D3B">
        <w:tab/>
        <w:t xml:space="preserve">έχοντας υπόψη τα συμπεράσματα του Ευρωπαϊκού Συμβουλίου, της 17ης Οκτωβρίου </w:t>
      </w:r>
      <w:r w:rsidRPr="00011D3B">
        <w:t>2024, σχετικά με τη μετανάστευση,</w:t>
      </w:r>
    </w:p>
    <w:p w:rsidR="00AF23E3" w:rsidRPr="00011D3B" w:rsidP="00AF23E3" w14:paraId="1377DC17" w14:textId="77777777">
      <w:pPr>
        <w:pStyle w:val="NormalHanging"/>
      </w:pPr>
      <w:r w:rsidRPr="00011D3B">
        <w:t>–</w:t>
      </w:r>
      <w:r w:rsidRPr="00011D3B">
        <w:tab/>
        <w:t>έχοντας υπόψη το ψήφισμα 73/195 της Γενικής Συνέλευσης των Ηνωμένων Εθνών, της 19ης Δεκεμβρίου 2018, με τίτλο «Παγκόσμιο σύμφωνο για την ασφαλή, ομαλή και τακτική μετανάστευση»,</w:t>
      </w:r>
    </w:p>
    <w:p w:rsidR="00AF23E3" w:rsidRPr="00011D3B" w:rsidP="00AF23E3" w14:paraId="78431A4C" w14:textId="32C9AE7D">
      <w:pPr>
        <w:pStyle w:val="NormalHanging"/>
      </w:pPr>
      <w:r w:rsidRPr="00011D3B">
        <w:t>–</w:t>
      </w:r>
      <w:r w:rsidRPr="00011D3B">
        <w:tab/>
        <w:t>έχοντας υπόψη το ψήφισμα 71/1 της Γενικής Συνέλευσης των Ηνωμένων Εθνών, της 19ης Σεπτεμβρίου 2016</w:t>
      </w:r>
      <w:r w:rsidRPr="00011D3B" w:rsidR="005022F3">
        <w:t>,</w:t>
      </w:r>
      <w:r w:rsidRPr="00011D3B">
        <w:t xml:space="preserve"> με τίτλο «Διακήρυξη της Νέας Υόρκης για τους πρόσφυγες και τους μετανάστες»,</w:t>
      </w:r>
    </w:p>
    <w:p w:rsidR="00AF23E3" w:rsidRPr="00011D3B" w:rsidP="00AF23E3" w14:paraId="4154BB70" w14:textId="77777777">
      <w:pPr>
        <w:pStyle w:val="NormalHanging"/>
      </w:pPr>
      <w:r w:rsidRPr="00011D3B">
        <w:t>–</w:t>
      </w:r>
      <w:r w:rsidRPr="00011D3B">
        <w:tab/>
        <w:t>έχοντας υπόψη το ψήφισμα 70/1 της Γενικής Συνέλευσης των Ηνωμένων Εθνών με τίτλο «Να αλλάξουμε τον κόσμο μας: η Ατζέντα του 2030 για τη Βιώσιμη Ανάπτυξη», το οποίο εγκρίθηκε κατά τη σύνοδο κορυφής των Ηνωμένων Εθνών για τη βιώσιμη ανάπτυξη στις 25 Σεπτεμβρίου 2015 στη Νέα Υόρκη και καθιέρωσε τους Στόχους Βιώσιμης Ανάπτυξης, και ιδίως τον ΣΒΑ 10.7,</w:t>
      </w:r>
    </w:p>
    <w:p w:rsidR="00AF23E3" w:rsidRPr="00011D3B" w:rsidP="00AF23E3" w14:paraId="6AA78BD4" w14:textId="77777777">
      <w:pPr>
        <w:pStyle w:val="NormalHanging"/>
      </w:pPr>
      <w:r w:rsidRPr="00011D3B">
        <w:t>–</w:t>
      </w:r>
      <w:r w:rsidRPr="00011D3B">
        <w:tab/>
        <w:t>έχοντας υπόψη τη σύμβαση για το καθεστώς των προσφύγων, του 1951 και το πρωτόκολλο της Νέας Υόρκης του 1967,</w:t>
      </w:r>
    </w:p>
    <w:p w:rsidR="00AF23E3" w:rsidRPr="00011D3B" w:rsidP="00AF23E3" w14:paraId="38AC438B" w14:textId="77777777">
      <w:pPr>
        <w:pStyle w:val="NormalHanging"/>
      </w:pPr>
      <w:r w:rsidRPr="00011D3B">
        <w:t>–</w:t>
      </w:r>
      <w:r w:rsidRPr="00011D3B">
        <w:tab/>
        <w:t>έχοντας υπόψη τις κατευθυντήριες γραμμές της Επιτροπής Αναπτυξιακής Βοήθειας του Οργανισμού Οικονομικής Συνεργασίας και Ανάπτυξης σχετικά με τις δραστηριότητες που σχετίζονται με τη μετανάστευση στο πλαίσιο της επίσημης αναπτυξιακής βοήθειας (ΕΑΒ) και τη σχετική εργαλειοθήκη,</w:t>
      </w:r>
    </w:p>
    <w:p w:rsidR="00AF23E3" w:rsidRPr="00011D3B" w:rsidP="00AF23E3" w14:paraId="43A80B2E" w14:textId="77777777">
      <w:pPr>
        <w:pStyle w:val="NormalHanging"/>
      </w:pPr>
      <w:r w:rsidRPr="00011D3B">
        <w:t>–</w:t>
      </w:r>
      <w:r w:rsidRPr="00011D3B">
        <w:tab/>
        <w:t>έχοντας υπόψη την Ευρωπαϊκή Σύμβαση Δικαιωμάτων του Ανθρώπου του 1950,</w:t>
      </w:r>
    </w:p>
    <w:p w:rsidR="00AF23E3" w:rsidRPr="00011D3B" w:rsidP="00AF23E3" w14:paraId="20C1BBD4" w14:textId="2E35A711">
      <w:pPr>
        <w:pStyle w:val="NormalHanging"/>
      </w:pPr>
      <w:r w:rsidRPr="00011D3B">
        <w:t>–</w:t>
      </w:r>
      <w:r w:rsidRPr="00011D3B">
        <w:tab/>
        <w:t>έχοντας υπόψη τη μελέτη που εκπονήθηκε για λογαριασμό της Επιτροπής Ανάπτυξης σχετικά με τον ρόλο της αναπτυξιακής συνεργασίας της ΕΕ στην αντιμετώπιση της παράτυπης μετανάστευσης στην Αφρική</w:t>
      </w:r>
      <w:r>
        <w:rPr>
          <w:rStyle w:val="FootnoteReference"/>
        </w:rPr>
        <w:footnoteReference w:id="6"/>
      </w:r>
      <w:r w:rsidRPr="00011D3B">
        <w:t>,</w:t>
      </w:r>
    </w:p>
    <w:p w:rsidR="00AF23E3" w:rsidRPr="00011D3B" w:rsidP="00AF23E3" w14:paraId="434F7EDE" w14:textId="245A29ED">
      <w:pPr>
        <w:pStyle w:val="NormalHanging"/>
      </w:pPr>
      <w:r w:rsidRPr="00011D3B">
        <w:t>–</w:t>
      </w:r>
      <w:r w:rsidRPr="00011D3B">
        <w:tab/>
        <w:t>έχοντας υπόψη το ψήφισμά του, της 25ης Μαρτίου 2021, σχετικά με μια νέα στρατηγική στις σχέσεις ΕΕ-Αφρικής – μια εταιρική σχέση για βιώσιμη και χωρίς αποκλεισμούς ανάπτυξη</w:t>
      </w:r>
      <w:r>
        <w:rPr>
          <w:rStyle w:val="FootnoteReference"/>
        </w:rPr>
        <w:footnoteReference w:id="7"/>
      </w:r>
      <w:r w:rsidRPr="00011D3B">
        <w:t>,</w:t>
      </w:r>
    </w:p>
    <w:p w:rsidR="00AF23E3" w:rsidRPr="00011D3B" w:rsidP="00AF23E3" w14:paraId="5BC2F618" w14:textId="77777777">
      <w:pPr>
        <w:pStyle w:val="NormalHanging"/>
      </w:pPr>
      <w:r w:rsidRPr="00011D3B">
        <w:t>–</w:t>
      </w:r>
      <w:r w:rsidRPr="00011D3B">
        <w:tab/>
        <w:t>έχοντας υπόψη το άρθρο 55 του Κανονισμού του,</w:t>
      </w:r>
    </w:p>
    <w:p w:rsidR="00AF23E3" w:rsidRPr="00011D3B" w:rsidP="00AF23E3" w14:paraId="6167E2B0" w14:textId="77777777">
      <w:pPr>
        <w:pStyle w:val="NormalHanging"/>
      </w:pPr>
      <w:r w:rsidRPr="00011D3B">
        <w:t>–</w:t>
      </w:r>
      <w:r w:rsidRPr="00011D3B">
        <w:tab/>
        <w:t>έχοντας υπόψη την έκθεση της Επιτροπής Ανάπτυξης (A10-0147/2026),</w:t>
      </w:r>
    </w:p>
    <w:p w:rsidR="00AF23E3" w:rsidRPr="00011D3B" w:rsidP="00AF23E3" w14:paraId="69707052" w14:textId="0B749A5E">
      <w:pPr>
        <w:pStyle w:val="NormalHanging"/>
      </w:pPr>
      <w:r w:rsidRPr="00011D3B">
        <w:t>Α.</w:t>
      </w:r>
      <w:r w:rsidRPr="00011D3B">
        <w:tab/>
        <w:t xml:space="preserve">λαμβάνοντας υπόψη ότι η μετανάστευση και η κινητικότητα, η ειρήνη, η χρηστή διακυβέρνηση, η σταθερότητα, η ανάπτυξη χωρίς αποκλεισμούς και η βιώσιμη ανάπτυξη είναι σε μεγάλο βαθμό αλληλένδετες· λαμβάνοντας υπόψη ότι η μετανάστευση οφείλεται τόσο σε μακροοικονομικούς όσο και σε μικροοικονομικούς παράγοντες, όπως οι ένοπλες συγκρούσεις, η πολιτική αστάθεια, οι οικονομικές δυσχέρειες, η έλλειψη ευκαιριών και η φτώχεια, η περιορισμένη πρόσβαση σε μηχανισμούς κοινωνικής προστασίας, η ανεπαρκής παροχή υπηρεσιών, η </w:t>
      </w:r>
      <w:r w:rsidRPr="00011D3B">
        <w:t>περιθωριοποίηση, οι διακρίσεις ή οι διώξεις ευάλωτων ατόμων, μεταξύ άλλων όσον αφορά τη θρησκευτική ελευθερία ή την ελευθερία των πεποιθήσεων, η επισιτιστική ανασφάλεια και η περιορισμένη πρόσβαση σε καθαρό νερό, καθώς και η υποβάθμιση του περιβάλλοντος και η κλιματική αλλαγή</w:t>
      </w:r>
      <w:r>
        <w:rPr>
          <w:rStyle w:val="FootnoteReference"/>
        </w:rPr>
        <w:footnoteReference w:id="8"/>
      </w:r>
      <w:r w:rsidRPr="00011D3B">
        <w:t>·</w:t>
      </w:r>
    </w:p>
    <w:p w:rsidR="00AF23E3" w:rsidRPr="00011D3B" w:rsidP="00AF23E3" w14:paraId="1991F9B2" w14:textId="77777777">
      <w:pPr>
        <w:pStyle w:val="NormalHanging"/>
      </w:pPr>
      <w:r w:rsidRPr="00011D3B">
        <w:t>Β.</w:t>
      </w:r>
      <w:r w:rsidRPr="00011D3B">
        <w:tab/>
        <w:t>λαμβάνοντας υπόψη ότι οι παράτυπες μετακινήσεις πληθυσμών περιλαμβάνουν διάφορες κατηγορίες μεταναστών, όπως πρόσφυγες και αιτούντες άσυλο που ζητούν διεθνή προστασία· λαμβάνοντας υπόψη ότι οι αιτούντες διεθνή προστασία μπορούν να παραμείνουν στα αρμόδια για την εξέταση της αίτησής τους κράτη μέλη, εν αναμονή της σχετικής απόφασης·</w:t>
      </w:r>
    </w:p>
    <w:p w:rsidR="00AF23E3" w:rsidRPr="00011D3B" w:rsidP="00AF23E3" w14:paraId="1024D777" w14:textId="77777777">
      <w:pPr>
        <w:pStyle w:val="NormalHanging"/>
      </w:pPr>
      <w:r w:rsidRPr="00011D3B">
        <w:t>Γ.</w:t>
      </w:r>
      <w:r w:rsidRPr="00011D3B">
        <w:tab/>
        <w:t>λαμβάνοντας υπόψη ότι η αναπτυξιακή συνεργασία διαδραματίζει θεμελιώδη ρόλο στην εξάλειψη της φτώχειας, στην αντιμετώπιση ασταθούς περιβάλλοντος, στην προώθηση της ανθρώπινης ανάπτυξης και βιωσιμότητας σε όλες τις διαστάσεις της, στην αντιμετώπιση των παγκόσμιων προκλήσεων μέσω διεθνών εταιρικών σχέσεων που προασπίζουν και προωθούν τις ευρωπαϊκές αξίες και συμφέροντα, και στη συμβολή στην ειρήνη και την ευημερία στον κόσμο·</w:t>
      </w:r>
    </w:p>
    <w:p w:rsidR="00AF23E3" w:rsidRPr="00011D3B" w:rsidP="00AF23E3" w14:paraId="706AB3BD" w14:textId="77777777">
      <w:pPr>
        <w:pStyle w:val="NormalHanging"/>
      </w:pPr>
      <w:r w:rsidRPr="00011D3B">
        <w:t>Δ.</w:t>
      </w:r>
      <w:r w:rsidRPr="00011D3B">
        <w:tab/>
        <w:t>λαμβάνοντας υπόψη ότι η αναπτυξιακή πολιτική της ΕΕ προωθεί τη βιώσιμη ανάπτυξη και τη σταθερότητα στις αναπτυσσόμενες χώρες, με απώτερο στόχο την εξάλειψη της ακραίας φτώχειας σύμφωνα με την Ατζέντα του 2030 και τους ΣΒΑ, με βάση το άρθρο 208 ΣΛΕΕ, τηρώντας παράλληλα την αρχή της συνοχής της αναπτυξιακής πολιτικής·</w:t>
      </w:r>
    </w:p>
    <w:p w:rsidR="00AF23E3" w:rsidRPr="00011D3B" w:rsidP="00AF23E3" w14:paraId="487E4CC0" w14:textId="77777777">
      <w:pPr>
        <w:pStyle w:val="NormalHanging"/>
      </w:pPr>
      <w:r w:rsidRPr="00011D3B">
        <w:t>Ε.</w:t>
      </w:r>
      <w:r w:rsidRPr="00011D3B">
        <w:tab/>
        <w:t>λαμβάνοντας υπόψη ότι η αναπτυξιακή συνεργασία πρέπει να βασίζεται σε επαληθεύσιμα αποτελέσματα και σε συγκεκριμένη κοινή δέσμευση για βιώσιμη ανάπτυξη·</w:t>
      </w:r>
    </w:p>
    <w:p w:rsidR="00AF23E3" w:rsidRPr="00011D3B" w:rsidP="00AF23E3" w14:paraId="30533B97" w14:textId="77777777">
      <w:pPr>
        <w:pStyle w:val="NormalHanging"/>
      </w:pPr>
      <w:r w:rsidRPr="00011D3B">
        <w:t>ΣΤ.</w:t>
      </w:r>
      <w:r w:rsidRPr="00011D3B">
        <w:tab/>
        <w:t>λαμβάνοντας υπόψη ότι το EUTF συστάθηκε προκειμένου να αντιμετωπίσει τα βαθύτερα αίτια της αστάθειας, του αναγκαστικού εκτοπισμού και της παράτυπης μετανάστευσης και να συμβάλει στην καλύτερη διαχείριση της μετανάστευσης· λαμβάνοντας υπόψη ότι το Ευρωπαϊκό Ελεγκτικό Συνέδριο διαπίστωσε στην επισκόπησή του ότι το καταπιστευματικό ταμείο της ΕΕ δεν πέτυχε πολλούς από τους στόχους του, διότι οι αποτελεσματικές στρατηγικές δεν προσδιορίζονταν πάντοτε με σαφήνεια·</w:t>
      </w:r>
    </w:p>
    <w:p w:rsidR="00AF23E3" w:rsidRPr="00011D3B" w:rsidP="00AF23E3" w14:paraId="0421E188" w14:textId="0D3B9133">
      <w:pPr>
        <w:pStyle w:val="NormalHanging"/>
      </w:pPr>
      <w:r w:rsidRPr="00011D3B">
        <w:t>Ζ.</w:t>
      </w:r>
      <w:r w:rsidRPr="00011D3B">
        <w:tab/>
        <w:t>λαμβάνοντας υπόψη ότι, από το 2015, η ΕΕ βρίσκεται αντιμέτωπη με πρωτοφανείς μεταναστευτικές ροές, η διαχείριση των οποίων απαιτεί συνεχείς προσπάθειες από τα κράτη μέλη, και λαμβάνοντας υπόψη ότι, επομένως, είναι αναγκαίο να ενισχυθούν οι ευρωπαϊκές αναπτυξιακές πολιτικές για την αντιμετώπιση των βαθύτερων αιτίων της παράτυπης μετανάστευσης και του αναγκαστικού εκτοπισμού, δεδομένου ότι μεταξύ του 2015 και του 2024 υποβλήθηκαν πάνω από 8,5 εκατομμύρια αιτήσεις ασύλου στα κράτη μέλη της ΕΕ</w:t>
      </w:r>
      <w:r>
        <w:rPr>
          <w:rStyle w:val="FootnoteReference"/>
        </w:rPr>
        <w:footnoteReference w:id="9"/>
      </w:r>
      <w:r w:rsidRPr="00011D3B">
        <w:t xml:space="preserve">· λαμβάνοντας υπόψη ότι οι παράτυπες διελεύσεις των εξωτερικών </w:t>
      </w:r>
      <w:r w:rsidRPr="00011D3B">
        <w:t>συνόρων της ΕΕ μειώθηκαν κατά περισσότερο από ένα τέταρτο (26 %) το 2025 σε σχεδόν 178 000</w:t>
      </w:r>
      <w:r>
        <w:rPr>
          <w:rStyle w:val="FootnoteReference"/>
        </w:rPr>
        <w:footnoteReference w:id="10"/>
      </w:r>
      <w:r w:rsidRPr="00011D3B">
        <w:t>· λαμβάνοντας υπόψη ότι η πλειονότητα των μεταναστών που έρχονται στην Ευρώπη φθάνουν μέσω νόμιμων διαύλων· λαμβάνοντας υπόψη ο στόχος 7 του ΣΒΑ 10 καλεί τις χώρες να διευκολύνουν την ομαλή, ασφαλή, νόμιμη και υπεύθυνη μετανάστευση και κινητικότητα των ανθρώπων μέσω προγραμματισμένων και ορθά διαχειριζόμενων μεταναστευτικών πολιτικών·</w:t>
      </w:r>
    </w:p>
    <w:p w:rsidR="00AF23E3" w:rsidRPr="00011D3B" w:rsidP="00AF23E3" w14:paraId="22D5D16F" w14:textId="372DBE2C">
      <w:pPr>
        <w:pStyle w:val="NormalHanging"/>
      </w:pPr>
      <w:r w:rsidRPr="00011D3B">
        <w:t>Η.</w:t>
      </w:r>
      <w:r w:rsidRPr="00011D3B">
        <w:tab/>
        <w:t>λαμβάνοντας υπόψη ότι 4,2 εκατομμύρια άνθρωποι μετανάστευσαν στην ΕΕ από τρίτες χώρες το 2024</w:t>
      </w:r>
      <w:r>
        <w:rPr>
          <w:rStyle w:val="FootnoteReference"/>
        </w:rPr>
        <w:footnoteReference w:id="11"/>
      </w:r>
      <w:r w:rsidRPr="00011D3B">
        <w:t>·</w:t>
      </w:r>
    </w:p>
    <w:p w:rsidR="00AF23E3" w:rsidRPr="00011D3B" w:rsidP="00AF23E3" w14:paraId="7FD05D8C" w14:textId="77777777">
      <w:pPr>
        <w:pStyle w:val="NormalHanging"/>
      </w:pPr>
      <w:r w:rsidRPr="00011D3B">
        <w:t>Θ.</w:t>
      </w:r>
      <w:r w:rsidRPr="00011D3B">
        <w:tab/>
        <w:t>λαμβάνοντας υπόψη ότι πολλές χώρες καταγωγής των αιτούντων άσυλο είναι χώρες χαμηλού και μεσαίου εισοδήματος· λαμβάνοντας υπόψη ότι το ποσοστό αναγνώρισης του καθεστώτος ασύλου από αυτές τις χώρες διαφέρει σημαντικά·</w:t>
      </w:r>
    </w:p>
    <w:p w:rsidR="00AF23E3" w:rsidRPr="00011D3B" w:rsidP="00AF23E3" w14:paraId="77A1B5F9" w14:textId="77777777">
      <w:pPr>
        <w:pStyle w:val="NormalHanging"/>
      </w:pPr>
      <w:r w:rsidRPr="00011D3B">
        <w:t>Ι.</w:t>
      </w:r>
      <w:r w:rsidRPr="00011D3B">
        <w:tab/>
        <w:t>λαμβάνοντας υπόψη ότι το 2024 οι χώρες της ΕΕ χορήγησαν καθεστώς προστασίας σε 437 900 αιτούντες άσυλο, σημειώνοντας αύξηση κατά 6,9 % σε σύγκριση με το 2023 (409 530)· λαμβάνοντας υπόψη ότι ο αριθμός αυτός είναι ο υψηλότερος μετά τις ανώτατες τιμές που καταγράφηκαν το 2016 και το 2017 κατόπιν της προσφυγικής κρίσης που σχετίζεται με τον πόλεμο στη Συρία· λαμβάνοντας υπόψη ότι το ποσοστό αναγνώρισης σε επίπεδο ΕΕ, δηλαδή το ποσοστό των θετικών αποφάσεων επί του συνολικού αριθμού των αποφάσεων ασύλου, ήταν 51,4 % για τις πρωτοβάθμιες αποφάσεις το 2024·</w:t>
      </w:r>
    </w:p>
    <w:p w:rsidR="00AF23E3" w:rsidRPr="00011D3B" w:rsidP="00AF23E3" w14:paraId="11CF03E0" w14:textId="10764FB2">
      <w:pPr>
        <w:pStyle w:val="NormalHanging"/>
      </w:pPr>
      <w:r w:rsidRPr="00011D3B">
        <w:t>ΙΑ.</w:t>
      </w:r>
      <w:r w:rsidRPr="00011D3B">
        <w:tab/>
        <w:t>λαμβάνοντας υπόψη ότι το 2024 απαγορεύθηκε η είσοδος στην ΕΕ σε 124 000 πολίτες τρίτων χωρών, 919 000 δεν είχαν επίσημο καθεστώς, εκδόθηκαν αποφάσεις επιστροφής που αφορούσαν 453 000 άτομα, ενώ περίπου 110 000 πράγματι επέστρεψαν σε χώρα εκτός της ΕΕ</w:t>
      </w:r>
      <w:r>
        <w:rPr>
          <w:rStyle w:val="FootnoteReference"/>
        </w:rPr>
        <w:footnoteReference w:id="12"/>
      </w:r>
      <w:r w:rsidRPr="00011D3B">
        <w:t>· λαμβάνοντας υπόψη ότι περίπου το 20 % των ατόμων για τα οποία εκδόθηκαν αποφάσεις επιστροφής πράγματι επέστρεψαν</w:t>
      </w:r>
      <w:r>
        <w:rPr>
          <w:rStyle w:val="FootnoteReference"/>
        </w:rPr>
        <w:footnoteReference w:id="13"/>
      </w:r>
      <w:r w:rsidRPr="00011D3B">
        <w:t>·</w:t>
      </w:r>
    </w:p>
    <w:p w:rsidR="00AF23E3" w:rsidRPr="00011D3B" w:rsidP="00AF23E3" w14:paraId="4DD469F0" w14:textId="77777777">
      <w:pPr>
        <w:pStyle w:val="NormalHanging"/>
      </w:pPr>
      <w:r w:rsidRPr="00011D3B">
        <w:t>ΙΒ.</w:t>
      </w:r>
      <w:r w:rsidRPr="00011D3B">
        <w:tab/>
        <w:t xml:space="preserve">λαμβάνοντας υπόψη ότι τα συνηθέστερα διεθνή μεταναστευτικά ταξίδια πραγματοποιούνται μεταξύ γειτονικών χωρών· λαμβάνοντας υπόψη ότι η μεγάλη πλειονότητα των προσφύγων, των ατόμων που χρήζουν διεθνούς προστασίας και των εσωτερικά εκτοπισμένων ατόμων, φιλοξενούνται σε χώρες χαμηλού και μεσαίου εισοδήματος· λαμβάνοντας υπόψη ότι η οικονομική επιβάρυνση των χωρών αυτών είναι μεγάλη και επηρεάζει τη δική τους κοινωνική και οικονομική συνοχή και ανάπτυξη· λαμβάνοντας υπόψη ότι, επομένως, η αναπτυξιακή συνεργασία </w:t>
      </w:r>
      <w:r w:rsidRPr="00011D3B">
        <w:t>διαδραματίζει καίριο ρόλο στη στήριξη των εκτοπισμένων πληθυσμών και των κοινοτήτων υποδοχής·</w:t>
      </w:r>
    </w:p>
    <w:p w:rsidR="00AF23E3" w:rsidRPr="00011D3B" w:rsidP="00AF23E3" w14:paraId="68F0F38D" w14:textId="77777777">
      <w:pPr>
        <w:pStyle w:val="NormalHanging"/>
      </w:pPr>
      <w:r w:rsidRPr="00011D3B">
        <w:t>ΙΓ.</w:t>
      </w:r>
      <w:r w:rsidRPr="00011D3B">
        <w:tab/>
        <w:t>λαμβάνοντας υπόψη ότι στην Αφρική περίπου το 80 % του συνόλου της μετανάστευσης πραγματοποιείται εντός της ηπείρου· λαμβάνοντας υπόψη ότι το 2024 η υποσαχάρια Αφρική κατέγραψε 19,3 εκατομμύρια νέους εσωτερικούς εκτοπισμούς, εκ των οποίων 11,5 εκατομμύρια προκλήθηκαν από συγκρούσεις και 7,8 εκατομμύρια από καταστροφές· λαμβάνοντας υπόψη ότι ο συνολικός αριθμός των εσωτερικά εκτοπισμένων ατόμων στην Αφρική ανήλθε σε 38,8 εκατομμύρια μεταξύ 2015 και 2024, αντιπροσωπεύοντας το 46 % του παγκόσμιου συνόλου, με το 68 % αυτών να προέρχεται από τη Λαϊκή Δημοκρατία του Κονγκό, την Αιθιοπία, τη Νιγηρία, τη Σομαλία και το Σουδάν·</w:t>
      </w:r>
    </w:p>
    <w:p w:rsidR="00AF23E3" w:rsidRPr="00011D3B" w:rsidP="00AF23E3" w14:paraId="7EBC607B" w14:textId="46B34B37">
      <w:pPr>
        <w:pStyle w:val="NormalHanging"/>
      </w:pPr>
      <w:r w:rsidRPr="00011D3B">
        <w:t>ΙΔ.</w:t>
      </w:r>
      <w:r w:rsidRPr="00011D3B">
        <w:tab/>
        <w:t>λαμβάνοντας υπόψη ότι, έως τον Ιούνιο του 2025, 117,3 εκατομμύρια άτομα είχαν αναγκαστεί να εγκαταλείψουν τα σπίτια τους παγκοσμίως λόγω διώξεων, συγκρούσεων, βίας, παραβιάσεων των ανθρωπίνων δικαιωμάτων ή γεγονότων που διαταράσσουν σοβαρά τη δημόσια τάξη· λαμβάνοντας υπόψη ότι 42,5 εκατομμύρια από αυτούς ήταν πρόσφυγες, 67,8 εκατομμύρια εσωτερικά εκτοπισμένοι και 8,42 εκατομμύρια ήταν αιτούντες άσυλο</w:t>
      </w:r>
      <w:r>
        <w:rPr>
          <w:rStyle w:val="FootnoteReference"/>
        </w:rPr>
        <w:footnoteReference w:id="14"/>
      </w:r>
      <w:r w:rsidRPr="00011D3B">
        <w:t>·</w:t>
      </w:r>
    </w:p>
    <w:p w:rsidR="00AF23E3" w:rsidRPr="00011D3B" w:rsidP="00AF23E3" w14:paraId="1BCE3CFB" w14:textId="77777777">
      <w:pPr>
        <w:pStyle w:val="NormalHanging"/>
      </w:pPr>
      <w:r w:rsidRPr="00011D3B">
        <w:t>ΙΕ.</w:t>
      </w:r>
      <w:r w:rsidRPr="00011D3B">
        <w:tab/>
        <w:t>λαμβάνοντας υπόψη ότι η έκθεση για τις παγκόσμιες τάσεις και οι έρευνες της Ύπατης Αρμοστείας των Ηνωμένων Εθνών για τους Πρόσφυγες (UNHCR) δείχνουν ότι οι περισσότεροι πρόσφυγες και εκτοπισμένοι δεν επιθυμούν να εγκαταλείψουν τις χώρες τους, αλλά αναγκάζονται από απειλές όπως συγκρούσεις, διώξεις, βία ή ακραίες δυσκολίες· λαμβάνοντας υπόψη ότι, σύμφωνα με έρευνα της UNHCR του 2023, η συντριπτική πλειονότητα των προσφύγων θα προτιμούσαν να παραμείνουν στις κοινότητές τους εάν διασφαλίζονταν η ασφάλεια και τα μέσα βιοπορισμού τους·</w:t>
      </w:r>
    </w:p>
    <w:p w:rsidR="00AF23E3" w:rsidRPr="00011D3B" w:rsidP="00AF23E3" w14:paraId="52062B0B" w14:textId="77777777">
      <w:pPr>
        <w:pStyle w:val="NormalHanging"/>
      </w:pPr>
      <w:r w:rsidRPr="00011D3B">
        <w:t>ΙΣΤ.</w:t>
      </w:r>
      <w:r w:rsidRPr="00011D3B">
        <w:tab/>
        <w:t>λαμβάνοντας υπόψη ότι η αναπτυξιακή συνεργασία διαδραματίζει θεμελιώδη ρόλο στη μείωση της φτώχειας και στην αντιμετώπιση καταστάσεων αστάθειας, στηρίζοντας την ανθρώπινη ανάπτυξη, προωθώντας και στηρίζοντας τις αρχές της δημοκρατίας, του κράτους δικαίου, της ισότητας των φύλων, των ανθρωπίνων δικαιωμάτων και των θεμελιωδών δικαιωμάτων και ενισχύοντας την επιβολή του νόμου, καθώς και δημιουργώντας βιώσιμες οικονομικές ευκαιρίες, ενισχύοντας τη διακυβέρνηση και προωθώντας την ειρήνη και τη σταθερότητα, αντιμετωπίζοντας έτσι τα βαθύτερα αίτια της παράτυπης μετανάστευσης·</w:t>
      </w:r>
    </w:p>
    <w:p w:rsidR="00AF23E3" w:rsidRPr="00011D3B" w:rsidP="00AF23E3" w14:paraId="51AE383C" w14:textId="77777777">
      <w:pPr>
        <w:pStyle w:val="NormalHanging"/>
      </w:pPr>
      <w:r w:rsidRPr="00011D3B">
        <w:t>ΙΖ.</w:t>
      </w:r>
      <w:r w:rsidRPr="00011D3B">
        <w:tab/>
        <w:t>λαμβάνοντας υπόψη ότι η βελτίωση των συνθηκών διαβίωσης, της εκπαίδευσης και των προοπτικών απασχόλησης στις χώρες καταγωγής είναι καίριας σημασίας για να διασφαλιστεί ότι τα άτομα μπορούν να οικοδομήσουν ένα μέλλον για τον εαυτό τους στις δικές τους κοινότητες αντί να αναγκάζονται να μεταναστεύσουν· λαμβάνοντας υπόψη ότι η στοχευμένη και αποτελεσματική συνεργασία μπορεί, ως εκ τούτου, να μειώσει τα κίνητρα για παράτυπη μετανάστευση, προωθώντας τη σταθερότητα, την ασφάλεια και την αυτάρκεια στις χώρες εταίρους·</w:t>
      </w:r>
    </w:p>
    <w:p w:rsidR="00AF23E3" w:rsidRPr="00011D3B" w:rsidP="00AF23E3" w14:paraId="23B03D93" w14:textId="77777777">
      <w:pPr>
        <w:pStyle w:val="NormalHanging"/>
      </w:pPr>
      <w:r w:rsidRPr="00011D3B">
        <w:t>ΙΗ.</w:t>
      </w:r>
      <w:r w:rsidRPr="00011D3B">
        <w:tab/>
        <w:t xml:space="preserve">λαμβάνοντας υπόψη ότι η αυξημένη αστάθεια, μεταξύ άλλων σε σχέση με την κλιματική αλλαγή και την υποβάθμιση του περιβάλλοντος, καθώς και η εξάντληση και η </w:t>
      </w:r>
      <w:r w:rsidRPr="00011D3B">
        <w:t>υπερεκμετάλλευση</w:t>
      </w:r>
      <w:r w:rsidRPr="00011D3B">
        <w:t xml:space="preserve"> των φυσικών πόρων, ενδέχεται να έχουν αντίκτυπο στη μετανάστευση· λαμβάνοντας υπόψη ότι το 90 % όλων των φυσικών καταστροφών </w:t>
      </w:r>
      <w:r w:rsidRPr="00011D3B">
        <w:t>σχετίζονται με το νερό, με πιθανές επιπτώσεις στην επισιτιστική ανασφάλεια, τις αυξημένες κοινωνικές συγκρούσεις και τη μετανάστευση·</w:t>
      </w:r>
    </w:p>
    <w:p w:rsidR="00AF23E3" w:rsidRPr="00011D3B" w:rsidP="00AF23E3" w14:paraId="3B36F9D5" w14:textId="77777777">
      <w:pPr>
        <w:pStyle w:val="NormalHanging"/>
      </w:pPr>
      <w:r w:rsidRPr="00011D3B">
        <w:t>ΙΘ.</w:t>
      </w:r>
      <w:r w:rsidRPr="00011D3B">
        <w:tab/>
        <w:t>λαμβάνοντας υπόψη ότι τα υψηλά επίπεδα επισιτιστικής ανασφάλειας οδηγούν σε υψηλότερα επίπεδα μετανάστευσης σε διασυνοριακό επίπεδο, με κάθε αύξηση της τάξεως του 1 % της επισιτιστικής ανασφάλειας σε έναν πληθυσμό να αναγκάζει 1,9 % περισσότερους ανθρώπους να μεταναστεύσουν· λαμβάνοντας υπόψη ότι, ενώ οι οικονομικοί και περιβαλλοντικοί παράγοντες δεν αποτελούν από μόνοι τους λόγους για τη χορήγηση ασύλου, συμβάλλουν σημαντικά σε παράγοντες ευαλωτότητας που ενδέχεται να απαιτούν μια διεθνή ολοκληρωμένη απάντηση που να προσανατολίζεται στην προστασία·</w:t>
      </w:r>
    </w:p>
    <w:p w:rsidR="00AF23E3" w:rsidRPr="00011D3B" w:rsidP="00AF23E3" w14:paraId="471B3A84" w14:textId="77777777">
      <w:pPr>
        <w:pStyle w:val="NormalHanging"/>
      </w:pPr>
      <w:r w:rsidRPr="00011D3B">
        <w:t>Κ.</w:t>
      </w:r>
      <w:r w:rsidRPr="00011D3B">
        <w:tab/>
        <w:t>λαμβάνοντας υπόψη ότι οι μεταναστευτικές ροές συνδέονται συχνά με τη σπανιότητα των φυσικών πόρων, συμπεριλαμβανομένου του νερού· λαμβάνοντας υπόψη ότι 2,2 δισεκατομμύρια άτομα παγκοσμίως εξακολουθούν να μην έχουν πρόσβαση σε ασφαλές πόσιμο νερό· λαμβάνοντας υπόψη ότι η ευρωπαϊκή στρατηγική για την ανθεκτικότητα των υδάτων αποσκοπεί στην προώθηση της ανθεκτικότητας των υδάτων και στη διασφάλιση της πρόσβασης σε βελτιωμένο πόσιμο νερό και αποχέτευση για τουλάχιστον 70 εκατομμύρια άτομα μέσω ενισχυμένης δέσμευσης σε εθνικό και περιφερειακό επίπεδο στο πλαίσιο της Global Gateway·</w:t>
      </w:r>
    </w:p>
    <w:p w:rsidR="00AF23E3" w:rsidRPr="00011D3B" w:rsidP="00AF23E3" w14:paraId="7AA0C77F" w14:textId="77777777">
      <w:pPr>
        <w:pStyle w:val="NormalHanging"/>
      </w:pPr>
      <w:r w:rsidRPr="00011D3B">
        <w:t>ΚΑ.</w:t>
      </w:r>
      <w:r w:rsidRPr="00011D3B">
        <w:tab/>
        <w:t>λαμβάνοντας υπόψη ότι το σύμφωνο της ΕΕ για τη μετανάστευση και το άσυλο τονίζει τη σημασία της εξωτερικής διάστασης της μετανάστευσης με την ανάπτυξη ολοκληρωμένων εταιρικών σχέσεων που βασίζονται στον πολιτικό διάλογο, την αμοιβαία δέσμευση και την προσέγγιση με βάση το σύνολο της διαδρομής·</w:t>
      </w:r>
    </w:p>
    <w:p w:rsidR="00AF23E3" w:rsidRPr="00011D3B" w:rsidP="00AF23E3" w14:paraId="05124269" w14:textId="77777777">
      <w:pPr>
        <w:pStyle w:val="NormalHanging"/>
      </w:pPr>
      <w:r w:rsidRPr="00011D3B">
        <w:t>ΚΒ.</w:t>
      </w:r>
      <w:r w:rsidRPr="00011D3B">
        <w:tab/>
        <w:t>λαμβάνοντας υπόψη ότι το σύμφωνο για τη Μεσόγειο ζητεί την επέκταση του Erasmus + σε διάφορες χώρες της Μέσης Ανατολής και της Αφρικής για τη σύνδεση των νέων και τη στήριξη ενός πιο ολοκληρωμένου και χωρίς αποκλεισμούς περιβάλλοντος τριτοβάθμιας εκπαίδευσης και ανάπτυξης δεξιοτήτων· λαμβάνοντας υπόψη ότι το σύμφωνο ζητεί επίσης την κλιμάκωση των εταιρικών σχέσεων προσέλκυσης ταλέντων, μεταξύ άλλων μέσω της δρομολόγησης της δεξαμενής ταλέντων της ΕΕ για τη διευκόλυνση των δεσμών μεταξύ των εργοδοτών της ΕΕ και των ατόμων από χώρες εταίρους που αναζητούν εργασία·</w:t>
      </w:r>
    </w:p>
    <w:p w:rsidR="00AF23E3" w:rsidRPr="00011D3B" w:rsidP="00AF23E3" w14:paraId="288A5F95" w14:textId="77777777">
      <w:pPr>
        <w:pStyle w:val="NormalHanging"/>
      </w:pPr>
      <w:r w:rsidRPr="00011D3B">
        <w:t>ΚΓ.</w:t>
      </w:r>
      <w:r w:rsidRPr="00011D3B">
        <w:tab/>
        <w:t>λαμβάνοντας υπόψη ότι η στρατηγική Global Gateway και οι επενδύσεις στην ανθρώπινη ανάπτυξη θα πρέπει να προσφέρουν μια ευκαιρία για την ευθυγράμμιση της αναπτυξιακής συνεργασίας με τις προτεραιότητες των χωρών εταίρων, συμπεριλαμβανομένης της μετανάστευσης, μέσω της προώθησης της δημιουργίας θέσεων εργασίας, της εκπαίδευσης, της επαγγελματικής κατάρτισης, των δημοκρατικών αξιών και των υψηλών προτύπων, της ενίσχυσης της χρηστής διακυβέρνησης και της διαφάνειας και των βιώσιμων επενδύσεων, μεταξύ άλλων στην ασφάλεια των υδάτων, στις χώρες καταγωγής και διέλευσης·</w:t>
      </w:r>
    </w:p>
    <w:p w:rsidR="00AF23E3" w:rsidRPr="00011D3B" w:rsidP="00AF23E3" w14:paraId="5F819BC3" w14:textId="77777777">
      <w:pPr>
        <w:pStyle w:val="NormalHanging"/>
      </w:pPr>
      <w:r w:rsidRPr="00011D3B">
        <w:t>ΚΔ.</w:t>
      </w:r>
      <w:r w:rsidRPr="00011D3B">
        <w:tab/>
        <w:t>λαμβάνοντας υπόψη ότι η στρατηγική Global Gateway θα πρέπει επίσης να αποσκοπεί στην προώθηση βιώσιμων και αξιόπιστων εταιρικών σχέσεων στον τομέα της πράσινης ενέργειας και των πράσινων υποδομών· λαμβάνοντας υπόψη ότι η προσαρμογή στο κλίμα και οι επενδύσεις σε ανανεώσιμες πηγές ενέργειας είναι ζωτικής σημασίας για την αντιμετώπιση των κοινωνικοοικονομικών παραγόντων της μετανάστευσης·</w:t>
      </w:r>
    </w:p>
    <w:p w:rsidR="00AF23E3" w:rsidRPr="00011D3B" w:rsidP="00AF23E3" w14:paraId="0A41705E" w14:textId="77777777">
      <w:pPr>
        <w:pStyle w:val="NormalHanging"/>
      </w:pPr>
      <w:r w:rsidRPr="00011D3B">
        <w:t>ΚΕ.</w:t>
      </w:r>
      <w:r w:rsidRPr="00011D3B">
        <w:tab/>
        <w:t xml:space="preserve">λαμβάνοντας υπόψη ότι η οικονομική συνεργασία και οι ιδιωτικές επενδύσεις </w:t>
      </w:r>
      <w:r w:rsidRPr="00011D3B">
        <w:t>αποτελούν σημαντικά εργαλεία για τη μείωση της φτώχειας και την αύξηση της αυτάρκειας, τονώνοντας τη βιώσιμη τοπική ανάπτυξη στις χώρες εταίρους·</w:t>
      </w:r>
    </w:p>
    <w:p w:rsidR="00AF23E3" w:rsidRPr="00011D3B" w:rsidP="00AF23E3" w14:paraId="0B80888A" w14:textId="77777777">
      <w:pPr>
        <w:pStyle w:val="NormalHanging"/>
      </w:pPr>
      <w:r w:rsidRPr="00011D3B">
        <w:t>ΚΣΤ.</w:t>
      </w:r>
      <w:r w:rsidRPr="00011D3B">
        <w:tab/>
        <w:t>λαμβάνοντας υπόψη ότι η βιομηχανική ανάπτυξη έχει αποδειχθεί ένας από τους ισχυρότερους τρόπους για να βγουν οι άνθρωποι από τη φτώχεια· λαμβάνοντας υπόψη ότι οι επενδύσεις σε παραγωγικές ικανότητες με κοινωνικά υπεύθυνο και βιώσιμο τρόπο μπορούν να δημιουργήσουν ευκαιρίες απασχόλησης και να έχουν πολλαπλασιαστικό αποτέλεσμα·</w:t>
      </w:r>
    </w:p>
    <w:p w:rsidR="00AF23E3" w:rsidRPr="00011D3B" w:rsidP="00AF23E3" w14:paraId="5D02C70F" w14:textId="77777777">
      <w:pPr>
        <w:pStyle w:val="NormalHanging"/>
      </w:pPr>
      <w:r w:rsidRPr="00011D3B">
        <w:t>ΚΖ.</w:t>
      </w:r>
      <w:r w:rsidRPr="00011D3B">
        <w:tab/>
        <w:t>λαμβάνοντας υπόψη ότι η εμπορία και η παράνομη διακίνηση ανθρώπων συνιστούν κατάφωρες παραβιάσεις των θεμελιωδών δικαιωμάτων και στερούν από τους ανθρώπους την αξιοπρέπεια, την ελευθερία και τα θεμελιώδη δικαιώματά τους· λαμβάνοντας υπόψη ότι εγκληματικά δίκτυα εμπορίας και παράνομης διακίνησης ανθρώπων εκμεταλλεύονται τους μετανάστες αποκομίζοντας κέρδη από επικίνδυνα ταξίδια·</w:t>
      </w:r>
    </w:p>
    <w:p w:rsidR="00AF23E3" w:rsidRPr="00011D3B" w:rsidP="00AF23E3" w14:paraId="4E9B7BBD" w14:textId="77777777">
      <w:pPr>
        <w:pStyle w:val="NormalHanging"/>
      </w:pPr>
      <w:r w:rsidRPr="00011D3B">
        <w:t>ΚΗ.</w:t>
      </w:r>
      <w:r w:rsidRPr="00011D3B">
        <w:tab/>
        <w:t>λαμβάνοντας υπόψη ότι ορισμένες χώρες δεν διαθέτουν τα εργαλεία και τους πόρους για την πρόληψη και την καταπολέμηση αυτών των εγκλημάτων· λαμβάνοντας υπόψη ότι οι διεθνείς εταιρικές σχέσεις μπορούν να συμβάλουν αποτελεσματικά στην καταπολέμηση της εμπορίας και της παράνομης διακίνησης ανθρώπων·</w:t>
      </w:r>
    </w:p>
    <w:p w:rsidR="00AF23E3" w:rsidRPr="00011D3B" w:rsidP="00AF23E3" w14:paraId="3DE6F413" w14:textId="77777777">
      <w:pPr>
        <w:pStyle w:val="NormalHanging"/>
      </w:pPr>
      <w:r w:rsidRPr="00011D3B">
        <w:t>ΚΘ.</w:t>
      </w:r>
      <w:r w:rsidRPr="00011D3B">
        <w:tab/>
        <w:t>λαμβάνοντας υπόψη ότι η αναπτυξιακή συνεργασία διαδραματίζει ουσιαστικό ρόλο συμβάλλοντας στην αντιμετώπιση των βαθύτερων αιτίων της παράτυπης μετανάστευσης και του αναγκαστικού εκτοπισμού, καθώς και στην καταπολέμηση της παράνομης διακίνησης ανθρώπων, στην προστασία των προσφύγων και των ατόμων που χρήζουν διεθνούς προστασίας, στη στήριξη των χωρών παροχής ασύλου και στην ανάπτυξη νόμιμων οδών μετανάστευσης·</w:t>
      </w:r>
    </w:p>
    <w:p w:rsidR="00AF23E3" w:rsidRPr="00011D3B" w:rsidP="00AF23E3" w14:paraId="602E64C0" w14:textId="77777777">
      <w:pPr>
        <w:pStyle w:val="NormalHanging"/>
      </w:pPr>
      <w:r w:rsidRPr="00011D3B">
        <w:t>Λ.</w:t>
      </w:r>
      <w:r w:rsidRPr="00011D3B">
        <w:tab/>
        <w:t>λαμβάνοντας υπόψη ότι η ασφάλεια, η σταθερότητα, η εδαφική ακεραιότητα και η χρηστή διακυβέρνηση αποτελούν προϋποθέσεις για τη λήψη μέτρων βιώσιμης ανάπτυξης και ότι η ΕΕ θα πρέπει επίσης να στηρίξει τις χώρες εταίρους στην ενίσχυση των ικανοτήτων επιβολής του νόμου και διαχείρισης των συνόρων, καθώς και στην καταπολέμηση του οργανωμένου εγκλήματος·</w:t>
      </w:r>
    </w:p>
    <w:p w:rsidR="00AF23E3" w:rsidRPr="00011D3B" w:rsidP="00AF23E3" w14:paraId="6EDC1082" w14:textId="77777777">
      <w:pPr>
        <w:pStyle w:val="NormalHanging"/>
      </w:pPr>
      <w:r w:rsidRPr="00011D3B">
        <w:t>ΛΑ.</w:t>
      </w:r>
      <w:r w:rsidRPr="00011D3B">
        <w:tab/>
        <w:t>λαμβάνοντας υπόψη ότι η αποτελεσματική διαχείριση της μετανάστευσης απαιτεί επίσης ισχυρότερη συνεργασία με τις χώρες καταγωγής και διέλευσης, καθώς και την εξάρθρωση εγκληματικών δικτύων που εκμεταλλεύονται ευάλωτα άτομα· λαμβάνοντας υπόψη ότι η στήριξη της τοπικής ανάπτυξης και της σταθερότητας στις χώρες εταίρους συμβάλλει στην αντιμετώπιση των βαθύτερων αιτίων της μετανάστευσης με βιώσιμο τρόπο·</w:t>
      </w:r>
    </w:p>
    <w:p w:rsidR="00AF23E3" w:rsidRPr="00011D3B" w:rsidP="00AF23E3" w14:paraId="0B72479C" w14:textId="77777777">
      <w:pPr>
        <w:pStyle w:val="NormalHanging"/>
      </w:pPr>
      <w:r w:rsidRPr="00011D3B">
        <w:t>ΛΒ.</w:t>
      </w:r>
      <w:r w:rsidRPr="00011D3B">
        <w:tab/>
        <w:t>λαμβάνοντας υπόψη ότι η ευρωπαϊκή στήριξη για λειτουργικά συστήματα ασύλου σε τρίτες χώρες στο πλαίσιο της αναπτυξιακής συνεργασίας είναι ζωτικής σημασίας για τη διεθνή προστασία των αιτούντων άσυλο·</w:t>
      </w:r>
    </w:p>
    <w:p w:rsidR="00AF23E3" w:rsidRPr="00011D3B" w:rsidP="00AF23E3" w14:paraId="3A31F33B" w14:textId="77777777">
      <w:pPr>
        <w:pStyle w:val="NormalHanging"/>
      </w:pPr>
      <w:r w:rsidRPr="00011D3B">
        <w:t>ΛΓ.</w:t>
      </w:r>
      <w:r w:rsidRPr="00011D3B">
        <w:tab/>
        <w:t>λαμβάνοντας υπόψη ότι οι πολιτικές επιστροφής και επανένταξης πρέπει να σέβονται πλήρως τα ανθρώπινα δικαιώματα· λαμβάνοντας υπόψη ότι η συνεργασία για την επιστροφή και την επανένταξη μπορεί να αποφέρει αμοιβαία οφέλη όταν λαμβάνει υπόψη την οικειοθελή, αξιοπρεπή και βιώσιμη επιστροφή στις χώρες καταγωγής·</w:t>
      </w:r>
    </w:p>
    <w:p w:rsidR="00AF23E3" w:rsidRPr="00011D3B" w:rsidP="00AF23E3" w14:paraId="294CE3D2" w14:textId="77777777">
      <w:pPr>
        <w:pStyle w:val="NormalHanging"/>
      </w:pPr>
      <w:r w:rsidRPr="00011D3B">
        <w:t>ΛΔ.</w:t>
      </w:r>
      <w:r w:rsidRPr="00011D3B">
        <w:tab/>
        <w:t xml:space="preserve">λαμβάνοντας υπόψη ότι οι συμφωνίες επανεισδοχής και τα καινοτόμα εξατομικευμένα </w:t>
      </w:r>
      <w:r w:rsidRPr="00011D3B">
        <w:t>έργα που αποσκοπούν στην επανένταξη των μεταναστών στις χώρες καταγωγής τους αποτελούν αναπόσπαστο μέρος της αποτελεσματικής συνεργασίας με τις χώρες εταίρους·</w:t>
      </w:r>
    </w:p>
    <w:p w:rsidR="00AF23E3" w:rsidRPr="00011D3B" w:rsidP="00AF23E3" w14:paraId="05CCAA69" w14:textId="77777777">
      <w:pPr>
        <w:pStyle w:val="NormalHanging"/>
      </w:pPr>
      <w:r w:rsidRPr="00011D3B">
        <w:t>ΛΕ.</w:t>
      </w:r>
      <w:r w:rsidRPr="00011D3B">
        <w:tab/>
        <w:t>λαμβάνοντας υπόψη ότι η αναπτυξιακή συνεργασία διαδραματίζει καίριο ρόλο στη στήριξη της κοινωνικοοικονομικής ένταξης των εκτοπισμένων πληθυσμών και των κοινοτήτων υποδοχής και στην προστασία των ατόμων που βρίσκονται σε ευάλωτη κατάσταση, συμπεριλαμβανομένων των γυναικών, των παιδιών και των ατόμων με αναπηρία·</w:t>
      </w:r>
    </w:p>
    <w:p w:rsidR="00AF23E3" w:rsidRPr="00011D3B" w:rsidP="00AF23E3" w14:paraId="17B23DB0" w14:textId="77777777">
      <w:pPr>
        <w:pStyle w:val="NormalHanging"/>
      </w:pPr>
      <w:r w:rsidRPr="00011D3B">
        <w:t>ΛΣΤ.</w:t>
      </w:r>
      <w:r w:rsidRPr="00011D3B">
        <w:tab/>
        <w:t>λαμβάνοντας υπόψη ότι η μετανάστευση μπορεί να συμβάλει στη βιώσιμη και χωρίς αποκλεισμούς ανάπτυξη τόσο στις χώρες καταγωγής όσο και στις χώρες προορισμού, καθώς και εντός και μεταξύ των περιφερειών· λαμβάνοντας υπόψη ότι η μετανάστευση έχει οικονομικό αντίκτυπο τόσο στη χώρα προορισμού όσο και στη χώρα καταγωγής· λαμβάνοντας υπόψη ότι ο αντίκτυπος αυτός μπορεί να φανεί από τη συμβολή των μεταναστών στα δημόσια οικονομικά, την απασχόληση και τη δημιουργία θέσεων εργασίας, καθώς και από τον ρόλο των κοινοτήτων της διασποράς στη στήριξη της οικονομικής ανάπτυξης των χωρών καταγωγής τους·</w:t>
      </w:r>
    </w:p>
    <w:p w:rsidR="00AF23E3" w:rsidRPr="00011D3B" w:rsidP="00AF23E3" w14:paraId="2BF53D9D" w14:textId="77777777">
      <w:pPr>
        <w:pStyle w:val="NormalHanging"/>
      </w:pPr>
      <w:r w:rsidRPr="00011D3B">
        <w:t>ΛΖ.</w:t>
      </w:r>
      <w:r w:rsidRPr="00011D3B">
        <w:tab/>
        <w:t>λαμβάνοντας υπόψη ότι οι κοινότητες της διασποράς διαδραματίζουν σημαντικό ρόλο στην ανάπτυξη των χωρών εταίρων, ιδίως στην προώθηση του εμπορίου και της οικονομικής ανάπτυξης, καθώς και στην αντιμετώπιση μιας σειράς ζητημάτων που σχετίζονται με τη μετανάστευση και την κινητικότητα· λαμβάνοντας υπόψη ότι ο παγκόσμιος μηχανισμός της ΕΕ για τη διασπορά μπορεί να διαδραματίσει καίριο ρόλο στο πλαίσιο αυτό·</w:t>
      </w:r>
    </w:p>
    <w:p w:rsidR="00AF23E3" w:rsidRPr="00011D3B" w:rsidP="00AF23E3" w14:paraId="7A497E1B" w14:textId="77777777">
      <w:pPr>
        <w:pStyle w:val="NormalHanging"/>
      </w:pPr>
      <w:r w:rsidRPr="00011D3B">
        <w:t>ΛΗ.</w:t>
      </w:r>
      <w:r w:rsidRPr="00011D3B">
        <w:tab/>
        <w:t>λαμβάνοντας υπόψη ότι η διαρροή δυναμικού μπορεί να δημιουργήσει προκλήσεις για τις τρίτες χώρες όσον αφορά την επίτευξη των στόχων πολιτικής τους που σχετίζονται τόσο με την ανάπτυξη όσο και με τη μετανάστευση·</w:t>
      </w:r>
    </w:p>
    <w:p w:rsidR="00AF23E3" w:rsidRPr="00011D3B" w:rsidP="00AF23E3" w14:paraId="7077DC59" w14:textId="77777777">
      <w:pPr>
        <w:pStyle w:val="Normal12a"/>
      </w:pPr>
      <w:r w:rsidRPr="00011D3B">
        <w:rPr>
          <w:b/>
          <w:i/>
        </w:rPr>
        <w:t>Διασυνδέσεις μεταξύ μετανάστευσης και αναπτυξιακής συνεργασίας</w:t>
      </w:r>
    </w:p>
    <w:p w:rsidR="00AF23E3" w:rsidRPr="00011D3B" w:rsidP="00791830" w14:paraId="414D3CFD" w14:textId="1A70F606">
      <w:pPr>
        <w:pStyle w:val="NormalHanging12a"/>
        <w:ind w:left="567" w:hanging="570"/>
      </w:pPr>
      <w:r w:rsidRPr="00011D3B">
        <w:t>1.</w:t>
      </w:r>
      <w:r w:rsidRPr="00011D3B">
        <w:tab/>
      </w:r>
      <w:r w:rsidRPr="00011D3B">
        <w:t>υπογραμμίζει τη διασύνδεση μεταξύ μετανάστευσης και αναπτυξιακής συνεργασίας και καλεί την Επιτροπή και τα κράτη μέλη να συνεχίσουν να δεσμεύονται για τη συνοχή των πολιτικών για την ανάπτυξη στις μεταναστευτικές πολιτικές τους, με πλήρη σεβασμό των ανθρωπίνων δικαιωμάτων και του θεματολογίου των Ηνωμένων Εθνών για το 2030·</w:t>
      </w:r>
    </w:p>
    <w:p w:rsidR="00AF23E3" w:rsidRPr="00011D3B" w:rsidP="00791830" w14:paraId="4B299D16" w14:textId="0C405105">
      <w:pPr>
        <w:pStyle w:val="NormalHanging12a"/>
        <w:ind w:left="567" w:hanging="570"/>
      </w:pPr>
      <w:r w:rsidRPr="00011D3B">
        <w:t>2.</w:t>
      </w:r>
      <w:r w:rsidRPr="00011D3B">
        <w:tab/>
      </w:r>
      <w:r w:rsidRPr="00011D3B">
        <w:t>τονίζει ότι η αναπτυξιακή συνεργασία και η εξωτερική πολιτική και πολιτική ασφάλειας της ΕΕ πρέπει πάντα να καθορίζονται και να εφαρμόζονται με πλήρως συνεκτικό τρόπο, με μια ρεαλιστική και αμοιβαία επωφελή, προσανατολισμένη στα αποτελέσματα προσέγγιση που αποσκοπεί στη διασφάλιση της σταθερότητας και των οικονομικών ευκαιριών στις χώρες εταίρους, συμπεριλαμβανομένων των χωρών καταγωγής και διέλευσης των μεταναστευτικών ροών·</w:t>
      </w:r>
    </w:p>
    <w:p w:rsidR="00AF23E3" w:rsidRPr="00011D3B" w:rsidP="00791830" w14:paraId="167C3368" w14:textId="680E6B89">
      <w:pPr>
        <w:pStyle w:val="NormalHanging12a"/>
        <w:ind w:left="567" w:hanging="570"/>
      </w:pPr>
      <w:r w:rsidRPr="00011D3B">
        <w:t>3.</w:t>
      </w:r>
      <w:r w:rsidRPr="00011D3B">
        <w:tab/>
      </w:r>
      <w:r w:rsidRPr="00011D3B">
        <w:t xml:space="preserve">τονίζει ότι η αναπτυξιακή συνεργασία θα πρέπει να δίνει προτεραιότητα στην εξάλειψη της φτώχειας, τη μείωση των ανισοτήτων και τη βιώσιμη ανάπτυξη, σύμφωνα με τους ΣΒΑ, την πρόληψη των συγκρούσεων και την οικοδόμηση της ειρήνης μέσω της οικονομικής ενδυνάμωσης, των μεταρρυθμίσεων διακυβέρνησης και της προώθησης των ανθρωπίνων δικαιωμάτων στις χώρες εταίρους, δίνοντας παράλληλα προτεραιότητα στις μακροπρόθεσμες επενδύσεις με βάση τις αναπτυξιακές </w:t>
      </w:r>
      <w:r w:rsidRPr="00011D3B">
        <w:t>προτεραιότητες και ανάγκες των χωρών εταίρων, μεταξύ άλλων κατά την αντιμετώπιση των βαθύτερων αιτίων της παράτυπης μετανάστευσης και του αναγκαστικού εκτοπισμού, μεταξύ άλλων στόχων·</w:t>
      </w:r>
    </w:p>
    <w:p w:rsidR="00AF23E3" w:rsidRPr="00011D3B" w:rsidP="00791830" w14:paraId="35CCCB2A" w14:textId="5E75CB8B">
      <w:pPr>
        <w:pStyle w:val="NormalHanging12a"/>
        <w:ind w:left="567" w:hanging="570"/>
      </w:pPr>
      <w:r w:rsidRPr="00011D3B">
        <w:t>4.</w:t>
      </w:r>
      <w:r w:rsidRPr="00011D3B">
        <w:tab/>
      </w:r>
      <w:r w:rsidRPr="00011D3B">
        <w:t>υπενθυμίζει ότι οι γυναίκες και τα κορίτσια συχνά πλήττονται δυσανάλογα από κρίσεις και φτώχεια· καλεί, επομένως, την Επιτροπή να εφαρμόσει στα αναπτυξιακά προγράμματα μια προσέγγιση που θα βασίζεται στα ανθρώπινα δικαιώματα, θα λαμβάνει υπόψη τη διάσταση του φύλου και την ευαλωτότητα, υπογραμμίζοντας τη σημασία του εντοπισμού των κινδύνων για τα ανθρώπινα δικαιώματα, της ανάληψης δράσης μετριασμού και της διασφάλισης ότι δίνεται ιδιαίτερη έμφαση σε όλα τα άτομα που βρίσκονται σε ευάλωτη κατάσταση, συμπεριλαμβανομένων των ατόμων με αναπηρία, των ηλικιωμένων, των περιθωριοποιημένων κοινοτήτων και των γυναικών, των κοριτσιών και των νέων, ιδίως δεδομένου ότι ο ρόλος των γυναικών σε ασταθή περιβάλλοντα και στην οικοδόμηση της ειρήνης, την πρόληψη των συγκρούσεων και τη βιώσιμη ανάπτυξη είναι ζωτικής σημασίας, καθώς συχνά βρίσκονται στην πρώτη γραμμή και μπορούν να αποτελέσουν βασικούς καταλύτες αλλαγής, ανθεκτικότητας και ανάκαμψης· επισημαίνει ότι η συμμετοχή των γυναικών/χωρίς αποκλεισμούς στη λήψη αποφάσεων, τη διαμεσολάβηση, τη δράση για το κλίμα και την ανάπτυξη των κοινοτήτων οδηγεί σε πιο αποτελεσματικά και βιώσιμα αποτελέσματα·</w:t>
      </w:r>
    </w:p>
    <w:p w:rsidR="00AF23E3" w:rsidRPr="00011D3B" w:rsidP="00791830" w14:paraId="0C9ACE72" w14:textId="710EC3AE">
      <w:pPr>
        <w:pStyle w:val="NormalHanging12a"/>
        <w:ind w:left="567" w:hanging="570"/>
      </w:pPr>
      <w:r w:rsidRPr="00011D3B">
        <w:t>5.</w:t>
      </w:r>
      <w:r w:rsidRPr="00011D3B">
        <w:tab/>
      </w:r>
      <w:r w:rsidRPr="00011D3B">
        <w:t>τονίζει τη σημασία μιας προσέγγισης «Ομάδα Ευρώπη» που θα διασφαλίζει τη συνοχή μεταξύ των θεσμικών οργάνων της ΕΕ και των κρατών μελών που εργάζονται για την εξωτερική διάσταση της μετανάστευσης· υπογραμμίζει ότι η «Ομάδα Ευρώπη» θα πρέπει να συντονίσει τις πολιτικές, διπλωματικές, οικονομικές και τεχνικές προσπάθειες για την ανάπτυξη και την εμβάθυνση ολοκληρωμένων εταιρικών σχέσεων που στηρίζουν τις χώρες εταίρους στη διαχείριση της μετανάστευσης με ασφαλή, ομαλό, τακτικό και υπεύθυνο τρόπο, εφαρμόζοντας μια αποτελεσματική προσέγγιση με βάση τα ανθρώπινα δικαιώματα και επίκεντρο τον άνθρωπο, η οποία αντιμετωπίζει και τις ανάγκες των προσφύγων και των εσωτερικά εκτοπισμένων ατόμων·</w:t>
      </w:r>
    </w:p>
    <w:p w:rsidR="00AF23E3" w:rsidRPr="00011D3B" w:rsidP="00791830" w14:paraId="29EEAA21" w14:textId="66E818DD">
      <w:pPr>
        <w:pStyle w:val="NormalHanging12a"/>
        <w:ind w:left="567" w:hanging="570"/>
      </w:pPr>
      <w:r w:rsidRPr="00011D3B">
        <w:t>6.</w:t>
      </w:r>
      <w:r w:rsidRPr="00011D3B">
        <w:tab/>
      </w:r>
      <w:r w:rsidRPr="00011D3B">
        <w:t>επισημαίνει ότι, με σκοπό την πρόληψη της διαφθοράς και την αποφυγή της κακοδιαχείρισης, η Επιτροπή θα πρέπει να διασφαλίσει ότι υπάρχουν σαφείς μηχανισμοί παρακολούθησης και αξιολόγησης προκειμένου να παρέχεται αποτελεσματική λογοδοσία και διαφάνεια κατά την εκτέλεση του προϋπολογισμού της ΕΕ, μεταξύ άλλων κατά την αντιμετώπιση της σύνδεσης μεταξύ της ανάπτυξης και των βαθύτερων αιτίων της μετανάστευσης·</w:t>
      </w:r>
    </w:p>
    <w:p w:rsidR="00AF23E3" w:rsidRPr="00011D3B" w:rsidP="00791830" w14:paraId="44018F1A" w14:textId="071FB825">
      <w:pPr>
        <w:pStyle w:val="NormalHanging12a"/>
        <w:ind w:left="567" w:hanging="570"/>
      </w:pPr>
      <w:r w:rsidRPr="00011D3B">
        <w:t>7.</w:t>
      </w:r>
      <w:r w:rsidRPr="00011D3B">
        <w:tab/>
      </w:r>
      <w:r w:rsidRPr="00011D3B">
        <w:t>καλεί την Επιτροπή και τα κράτη μέλη να ενισχύσουν τον πολιτικό διάλογο με τρίτες χώρες, να ενισχύσουν και να αναπτύξουν ολοκληρωμένες και αμοιβαία επωφελείς προσεγγίσεις ανά χώρα, οι οποίες θα λαμβάνουν υπόψη τα ειδικά πλαίσια και τις αναπτυξιακές και μεταναστευτικές ανάγκες των χωρών καταγωγής και διέλευσης, ιδίως όσον αφορά την ανθρώπινη ανάπτυξη, την αξιοπρεπή εργασία, την κοινωνική ένταξη και την προστασία των μεταναστών, των προσφύγων και των εσωτερικά εκτοπισμένων ατόμων· τονίζει ότι η συνεργασία αυτή θα πρέπει να βασίζεται στην αλληλεγγύη, την κοινή ευθύνη και τον σεβασμό των ανθρωπίνων δικαιωμάτων·</w:t>
      </w:r>
    </w:p>
    <w:p w:rsidR="00AF23E3" w:rsidRPr="00011D3B" w:rsidP="00791830" w14:paraId="0ADBAD7E" w14:textId="1BC246B8">
      <w:pPr>
        <w:pStyle w:val="NormalHanging12a"/>
        <w:ind w:left="567" w:hanging="570"/>
      </w:pPr>
      <w:r w:rsidRPr="00011D3B">
        <w:t>8.</w:t>
      </w:r>
      <w:r w:rsidRPr="00011D3B">
        <w:tab/>
      </w:r>
      <w:r w:rsidRPr="00011D3B">
        <w:t>επισημαίνει την ανάγκη για σαφή κατανόηση των οικισμών μεταναστών και των τοπικών επιπτώσεών τους· καλεί την Επιτροπή και τα κράτη μέλη να αναπτύξουν μια στρατηγική που θα τονίζει την ανάγκη για μια τοπική προοπτική, να ενισχύσουν την τοπική συμμετοχή και θα βασίζεται στις υφιστάμενες περιφερειακές προτεραιότητες, ιδίως με τη στήριξη των ενδοηπειρωτικών συστημάτων μετανάστευσης·</w:t>
      </w:r>
    </w:p>
    <w:p w:rsidR="00AF23E3" w:rsidRPr="00011D3B" w:rsidP="00791830" w14:paraId="289B7478" w14:textId="17B527BD">
      <w:pPr>
        <w:pStyle w:val="NormalHanging12a"/>
        <w:ind w:left="567" w:hanging="570"/>
      </w:pPr>
      <w:r w:rsidRPr="00011D3B">
        <w:t>9.</w:t>
      </w:r>
      <w:r w:rsidRPr="00011D3B">
        <w:tab/>
      </w:r>
      <w:r w:rsidRPr="00011D3B">
        <w:t>καλεί την Επιτροπή να θέσει σε προτεραιότητα τα ασταθή γεωγραφικά πλαίσια, λαμβάνοντας επίσης υπόψη τα ειδικά δεδομένα για τη μετανάστευση και τις πληροφορίες που βασίζονται στην έρευνα για τον καλύτερο προσδιορισμό των αναγκών των χωρών εταίρων και τη στόχευση των προτεραιοτήτων τους, μεταξύ άλλων όσον αφορά την παράτυπη μετανάστευση και τον αναγκαστικό εκτοπισμό·</w:t>
      </w:r>
    </w:p>
    <w:p w:rsidR="00AF23E3" w:rsidRPr="00011D3B" w:rsidP="00791830" w14:paraId="6ECFF42F" w14:textId="55A0DFC3">
      <w:pPr>
        <w:pStyle w:val="NormalHanging12a"/>
        <w:ind w:left="567" w:hanging="570"/>
      </w:pPr>
      <w:r w:rsidRPr="00011D3B">
        <w:t>10.</w:t>
      </w:r>
      <w:r w:rsidRPr="00011D3B">
        <w:tab/>
      </w:r>
      <w:r w:rsidRPr="00011D3B">
        <w:t>υπογραμμίζει ότι η Global Gateway μπορεί να διαδραματίσει καίριο ρόλο στην προώθηση της βιώσιμης οικονομικής ανάπτυξης και της δημιουργίας θέσεων εργασίας στις χώρες εταίρους, ενδυναμώνοντας έτσι τις τοπικές κοινότητες και επιτρέποντας στα άτομα να συμβάλουν ενεργά στην ανάπτυξη τόσο των χωρών καταγωγής τους όσο και των κοινοτήτων υποδοχής τους, αντιμετωπίζοντας έτσι τα βαθύτερα αίτια της παράτυπης μετανάστευσης·</w:t>
      </w:r>
    </w:p>
    <w:p w:rsidR="00AF23E3" w:rsidRPr="00011D3B" w:rsidP="00791830" w14:paraId="3AD7B20D" w14:textId="2489CD97">
      <w:pPr>
        <w:pStyle w:val="NormalHanging12a"/>
        <w:ind w:left="567" w:hanging="570"/>
      </w:pPr>
      <w:r w:rsidRPr="00011D3B">
        <w:t>11.</w:t>
      </w:r>
      <w:r w:rsidRPr="00011D3B">
        <w:tab/>
      </w:r>
      <w:r w:rsidRPr="00011D3B">
        <w:t>υπογραμμίζει την ανάγκη να διασφαλιστεί μεγαλύτερη συμμετοχή του ιδιωτικού τομέα, να διαφοροποιηθούν και να εφαρμοστούν νόμιμες οδοί, να αναγνωριστούν οι δεξιότητες, να συμμετάσχουν οι αναπτυξιακές τράπεζες της ΕΕ και να αναπτυχθούν καινοτόμες προσεγγίσεις για τον συνδυασμό κονδυλίων στο πλαίσιο της «Ομάδας Ευρώπη», συμβάλλοντας παράλληλα στην Global Gateway· ενθαρρύνει τη συμμετοχή του ευρωπαϊκού ιδιωτικού τομέα σε αναπτυξιακά έργα στις χώρες εταίρους, διασφαλίζοντας τη στήριξη ενός ασφαλούς και διαφανούς επενδυτικού πλαισίου που διευκολύνει τη συμμετοχή των μικρών και μεσαίων επιχειρήσεων και τη δημιουργία τοπικών αλυσίδων παραγωγής·</w:t>
      </w:r>
    </w:p>
    <w:p w:rsidR="00AF23E3" w:rsidRPr="00011D3B" w:rsidP="00791830" w14:paraId="7FD663AD" w14:textId="5E094430">
      <w:pPr>
        <w:pStyle w:val="NormalHanging12a"/>
        <w:ind w:left="567" w:hanging="570"/>
      </w:pPr>
      <w:r w:rsidRPr="00011D3B">
        <w:t>12.</w:t>
      </w:r>
      <w:r w:rsidRPr="00011D3B">
        <w:tab/>
      </w:r>
      <w:r w:rsidRPr="00011D3B">
        <w:t>υπογραμμίζει ότι η λειψυδρία, η υποβάθμιση του περιβάλλοντος και του εδάφους, η αποψίλωση των δασών και άλλες καταστροφές που σχετίζονται με το κλίμα αποτελούν παράγοντες στους οποίους οφείλονται οι μεταναστευτικές ροές, συμπεριλαμβανομένου του αναγκαστικού εκτοπισμού· τονίζει ότι τα άτομα που εκτοπίζονται λόγω της υποβάθμισης του περιβάλλοντος και των καταστροφών που προκαλούνται από το κλίμα χρειάζονται κατάλληλη στήριξη· καλεί την Επιτροπή και τα κράτη μέλη να δώσουν προτεραιότητα στις επενδύσεις στη βιώσιμη διαχείριση των φυσικών πόρων στο πλαίσιο αναπτυξιακών προγραμμάτων, συμπεριλαμβανομένης της διατήρησης των υδάτων και του εδάφους, της αναδάσωσης, της ανθεκτικής στην κλιματική αλλαγή γεωργίας και των ανανεώσιμων πηγών ενέργειας, προκειμένου να ενισχυθεί η κοινωνική συνοχή και η ανθεκτικότητα των κοινοτήτων, να αποφευχθούν οι εντάσεις σχετικά με τους φυσικούς πόρους και να αυξηθούν οι ευκαιρίες που έχουν τα άτομα να οικοδομήσουν βιώσιμες ζωές στις χώρες προέλευσής τους·</w:t>
      </w:r>
    </w:p>
    <w:p w:rsidR="00AF23E3" w:rsidRPr="00011D3B" w:rsidP="00791830" w14:paraId="5EBAE493" w14:textId="0BBFF43B">
      <w:pPr>
        <w:pStyle w:val="NormalHanging12a"/>
        <w:ind w:left="567" w:hanging="570"/>
      </w:pPr>
      <w:r w:rsidRPr="00011D3B">
        <w:t>13.</w:t>
      </w:r>
      <w:r w:rsidRPr="00011D3B">
        <w:tab/>
      </w:r>
      <w:r w:rsidRPr="00011D3B">
        <w:t>τονίζει ότι η ΕΕ πρέπει να εφαρμόσει μια ολιστική προσέγγιση, εστιάζοντας στο τοπικό επίπεδο με στόχο την παροχή αναπτυξιακής βοήθειας για τη συμβολή στη διαρθρωτική ανάπτυξη μέσω της στήριξης της δημοκρατίας, του κράτους δικαίου, της τάξης και των θεσμών που βασίζονται σε κανόνες, προκειμένου να έχει βιώσιμο αντίκτυπο·</w:t>
      </w:r>
    </w:p>
    <w:p w:rsidR="00AF23E3" w:rsidRPr="00011D3B" w:rsidP="00791830" w14:paraId="42DFB7A4" w14:textId="3E95969E">
      <w:pPr>
        <w:pStyle w:val="NormalHanging12a"/>
        <w:ind w:left="567" w:hanging="570"/>
      </w:pPr>
      <w:r w:rsidRPr="00011D3B">
        <w:t>14.</w:t>
      </w:r>
      <w:r w:rsidRPr="00011D3B">
        <w:tab/>
      </w:r>
      <w:r w:rsidRPr="00011D3B">
        <w:t>υπογραμμίζει τη σημασία της εφαρμογής αναπτυξιακών προγραμμάτων σε στενή συνεργασία με τις τοπικές αρχές, την κοινωνία των πολιτών και τον ιδιωτικό τομέα·</w:t>
      </w:r>
    </w:p>
    <w:p w:rsidR="00AF23E3" w:rsidRPr="00011D3B" w:rsidP="00791830" w14:paraId="1B94D90F" w14:textId="4766674C">
      <w:pPr>
        <w:pStyle w:val="NormalHanging12a"/>
        <w:ind w:left="567" w:hanging="570"/>
      </w:pPr>
      <w:r w:rsidRPr="00011D3B">
        <w:t>15.</w:t>
      </w:r>
      <w:r w:rsidRPr="00011D3B">
        <w:tab/>
      </w:r>
      <w:r w:rsidRPr="00011D3B">
        <w:t xml:space="preserve">τονίζει την ανάγκη καταπολέμησης της παράνομης διακίνησης και εμπορίας ανθρώπων μέσω ενισχυμένης διεθνούς και πολυμερούς συνεργασίας με τις χώρες εταίρους, μεταξύ άλλων, κατά περίπτωση, με τις τοπικές αρχές, τις δυνάμεις ασφαλείας και τις οργανώσεις της κοινωνίας των πολιτών, για την πρόληψη του εγκλήματος, την προστασία των θυμάτων, την ενισχυμένη επιβολή του νόμου, τις εκστρατείες ευαισθητοποίησης του κοινού για την αντιμετώπιση της παραπληροφόρησης, τη δίωξη </w:t>
      </w:r>
      <w:r w:rsidRPr="00011D3B">
        <w:t>των δραστών και την πρόληψη της εκμετάλλευσης των μεταναστών από εγκληματικά δίκτυα και διακινητές μεταναστών, καθώς και με την παροχή ασφαλέστερων εναλλακτικών λύσεων μέσω της δημιουργίας νόμιμων διαύλων για την ασφαλή και νόμιμη μετανάστευση και την κινητικότητα του εργατικού δυναμικού· υπογραμμίζει ότι ο αυστηρός έλεγχος των συνόρων χωρίς εναλλακτικές νόμιμες οδούς μετανάστευσης μετατοπίζει τις μεταναστευτικές οδούς, εισάγοντας διαφορετικά στάδια στο ταξίδι και νέες χώρες διέλευσης, αυξάνοντας έτσι την επισφάλεια του ταξιδιού και την έκθεση των μεταναστών σε δίκτυα παράνομης διακίνησης, εκβιασμό και βία·</w:t>
      </w:r>
    </w:p>
    <w:p w:rsidR="00AF23E3" w:rsidRPr="00011D3B" w:rsidP="00791830" w14:paraId="3857DD0E" w14:textId="4B84F98D">
      <w:pPr>
        <w:pStyle w:val="NormalHanging12a"/>
        <w:ind w:left="567" w:hanging="570"/>
      </w:pPr>
      <w:r w:rsidRPr="00011D3B">
        <w:t>16.</w:t>
      </w:r>
      <w:r w:rsidRPr="00011D3B">
        <w:tab/>
      </w:r>
      <w:r w:rsidRPr="00011D3B">
        <w:t>καλεί την Επιτροπή και τα κράτη μέλη να προωθήσουν τη συνεργασία με τις χώρες εταίρους στον τομέα της μετανάστευσης·</w:t>
      </w:r>
    </w:p>
    <w:p w:rsidR="00AF23E3" w:rsidRPr="00011D3B" w:rsidP="00791830" w14:paraId="1DC83C4D" w14:textId="4C67F73F">
      <w:pPr>
        <w:pStyle w:val="NormalHanging12a"/>
        <w:ind w:left="567" w:hanging="570"/>
      </w:pPr>
      <w:r w:rsidRPr="00011D3B">
        <w:t>17.</w:t>
      </w:r>
      <w:r w:rsidRPr="00011D3B">
        <w:tab/>
      </w:r>
      <w:r w:rsidRPr="00011D3B">
        <w:t>υπενθυμίζει ότι η ανθρωπιστική βοήθεια θα πρέπει πάντα να παρέχεται σύμφωνα με τις ανθρωπιστικές αρχές·</w:t>
      </w:r>
    </w:p>
    <w:p w:rsidR="00AF23E3" w:rsidRPr="00011D3B" w:rsidP="00791830" w14:paraId="25BE2420" w14:textId="1BBA1297">
      <w:pPr>
        <w:pStyle w:val="NormalHanging12a"/>
        <w:ind w:left="567" w:hanging="570"/>
      </w:pPr>
      <w:r w:rsidRPr="00011D3B">
        <w:t>18.</w:t>
      </w:r>
      <w:r w:rsidRPr="00011D3B">
        <w:tab/>
      </w:r>
      <w:r w:rsidRPr="00011D3B">
        <w:t>καλεί την Επιτροπή να στηρίξει περαιτέρω τις χώρες καταγωγής και τις γειτονικές χώρες υποδοχής στην αντιμετώπιση των αυξημένων διηπειρωτικών μεταναστευτικών ροών·</w:t>
      </w:r>
    </w:p>
    <w:p w:rsidR="00AC57D5" w:rsidRPr="00011D3B" w:rsidP="00791830" w14:paraId="1028DECA" w14:textId="0BD23EA6">
      <w:pPr>
        <w:pStyle w:val="NormalHanging12a"/>
        <w:ind w:left="567" w:hanging="570"/>
      </w:pPr>
      <w:r w:rsidRPr="00011D3B">
        <w:t>19.</w:t>
      </w:r>
      <w:r w:rsidRPr="00011D3B">
        <w:tab/>
      </w:r>
      <w:r w:rsidRPr="00011D3B">
        <w:t>καλεί την Επιτροπή και τα κράτη μέλη να ενισχύσουν την ικανότητά τους να προλαμβάνουν και να αντιμετωπίζουν την εργαλειοποίηση των μεταναστών· τονίζει την ανάγκη ενισχυμένης συνεργασίας με τις χώρες εταίρους και τους σχετικούς οργανισμούς για τον εντοπισμό, την πρόληψη και την αντιμετώπιση τέτοιων δράσεων·</w:t>
      </w:r>
    </w:p>
    <w:p w:rsidR="00AF23E3" w:rsidRPr="00011D3B" w:rsidP="00791830" w14:paraId="0A7CA46A" w14:textId="011E8B4A">
      <w:pPr>
        <w:pStyle w:val="NormalHanging12a"/>
        <w:ind w:left="567" w:hanging="570"/>
      </w:pPr>
      <w:r w:rsidRPr="00011D3B">
        <w:t>20.</w:t>
      </w:r>
      <w:r w:rsidRPr="00011D3B">
        <w:tab/>
      </w:r>
      <w:r w:rsidRPr="00011D3B">
        <w:t>υπογραμμίζει ότι η δημόσια αναπτυξιακή χρηματοδότηση είναι ζωτικής σημασίας για τις χώρες εταίρους και ότι οι ιδιωτικές επενδύσεις μπορούν να συμβάλουν στην επίτευξη των στόχων της αναπτυξιακής πολιτικής της ΕΕ και σημειώνει ότι οι επενδυτικές εγγυήσεις από την ΕΕ ενθαρρύνουν τις εταιρείες να πραγματοποιούν επενδύσεις, υπό την προϋπόθεση ότι ασκείται αυστηρή δέουσα επιμέλεια για τη διασφάλιση της συμμόρφωσης με τα κοινωνικά, περιβαλλοντικά και σχετικά με τη διακυβέρνηση πρότυπα, καθώς και της ευθυγράμμισης με τους ΣΒΑ· υπενθυμίζει ότι η επίτευξη των ΣΒΑ είναι απαραίτητη για τη βελτίωση των μέσων διαβίωσης σε τρίτες χώρες·</w:t>
      </w:r>
    </w:p>
    <w:p w:rsidR="00AF23E3" w:rsidRPr="00011D3B" w:rsidP="00791830" w14:paraId="6ABC203E" w14:textId="34BE3C5D">
      <w:pPr>
        <w:pStyle w:val="NormalHanging12a"/>
        <w:ind w:left="567" w:hanging="570"/>
      </w:pPr>
      <w:r w:rsidRPr="00011D3B">
        <w:t>21.</w:t>
      </w:r>
      <w:r w:rsidRPr="00011D3B">
        <w:tab/>
      </w:r>
      <w:r w:rsidRPr="00011D3B">
        <w:t>ζητεί τα χρηματοδοτικά μέσα της ΕΕ και το Ευρωπαϊκό Ταμείο για τη Βιώσιμη Ανάπτυξη + και η Ευρωπαϊκή Τράπεζα Επενδύσεων να στοχεύουν στη δημιουργία τοπικών οικονομικών αποδόσεων με σκοπό την ενίσχυση της οικονομικής αυτονομίας και της μακροπρόθεσμης βιωσιμότητας·</w:t>
      </w:r>
    </w:p>
    <w:p w:rsidR="00AF23E3" w:rsidRPr="00011D3B" w:rsidP="00791830" w14:paraId="4E2DCB08" w14:textId="46D6AD2C">
      <w:pPr>
        <w:pStyle w:val="NormalHanging12a"/>
        <w:ind w:left="567" w:hanging="570"/>
      </w:pPr>
      <w:r w:rsidRPr="00011D3B">
        <w:t>22.</w:t>
      </w:r>
      <w:r w:rsidRPr="00011D3B">
        <w:tab/>
      </w:r>
      <w:r w:rsidRPr="00011D3B">
        <w:t>υπενθυμίζει ότι η ΕΑΒ παραμένει ζωτικής σημασίας εργαλείο για τη μείωση της φτώχειας και την αντιμετώπιση των ανισοτήτων, καθώς και τη στήριξη των πλέον ευάλωτων κοινοτήτων· επικρίνει έντονα τις δραστικές περικοπές της ΕΑΒ από κορυφαίους παγκόσμιους χορηγούς· καλεί την ΕΕ και τα κράτη μέλη να σεβαστούν τη δέσμευσή τους να δαπανούν το 0,7 % του ακαθάριστου εθνικού εισοδήματος στην ΕΑΒ·</w:t>
      </w:r>
    </w:p>
    <w:p w:rsidR="00AF23E3" w:rsidRPr="00011D3B" w:rsidP="00791830" w14:paraId="4DD2C9F2" w14:textId="668992EE">
      <w:pPr>
        <w:pStyle w:val="NormalHanging12a"/>
        <w:ind w:left="567" w:hanging="570"/>
      </w:pPr>
      <w:r w:rsidRPr="00011D3B">
        <w:t>23.</w:t>
      </w:r>
      <w:r w:rsidRPr="00011D3B">
        <w:tab/>
      </w:r>
      <w:r w:rsidRPr="00011D3B">
        <w:t xml:space="preserve">καλεί την Επιτροπή να διασφαλίσει μεγαλύτερη λογοδοσία, διαφάνεια και κοινοβουλευτική εποπτεία στον σχεδιασμό και την υλοποίηση όλης της χρηματοδότησης της ΕΕ, συμπεριλαμβανομένου του επικείμενου μηχανισμού «Παγκόσμια Ευρώπη», ο οποίος πρέπει να θέσει σε προτεραιότητα την υλοποίηση των </w:t>
      </w:r>
      <w:r w:rsidRPr="00011D3B">
        <w:t>ΣΒΑ, μεταξύ άλλων όσον αφορά την αντιμετώπιση των προκλήσεων της παράτυπης μετανάστευσης·</w:t>
      </w:r>
    </w:p>
    <w:p w:rsidR="00AF23E3" w:rsidRPr="00011D3B" w:rsidP="00791830" w14:paraId="2A9A332A" w14:textId="798E636F">
      <w:pPr>
        <w:pStyle w:val="NormalHanging12a"/>
        <w:ind w:left="567" w:hanging="570"/>
      </w:pPr>
      <w:r w:rsidRPr="00011D3B">
        <w:t>24.</w:t>
      </w:r>
      <w:r w:rsidRPr="00011D3B">
        <w:tab/>
      </w:r>
      <w:r w:rsidRPr="00011D3B">
        <w:t>τονίζει ότι η γεωργική και αγροτική ανάπτυξη, μαζί με την πολιτική τροφίμων και διατροφής, μπορούν να συμβάλουν στην αντιμετώπιση ορισμένων από τα βαθύτερα αίτια της μετανάστευσης· υπενθυμίζει ότι η πρόσβαση σε γη και φυσικούς πόρους είναι ζωτικής σημασίας για τη διασφάλιση της επισιτιστικής και διατροφικής ασφάλειας των τοπικών κοινοτήτων, για τη βελτίωση της παραγωγικότητας των μικροκαλλιεργητών με παράλληλη προσαρμογή της παραγωγής στην κλιματική αλλαγή και για την προώθηση της εφαρμογής των προαιρετικών κατευθυντήριων γραμμών του Οργανισμού Τροφίμων και Γεωργίας σχετικά με τις γαίες, οι οποίες δίνουν προτεραιότητα στα δικαιώματα και τις ανάγκες των νόμιμων κατόχων εγγείου ιδιοκτησίας, ιδίως των γυναικών·</w:t>
      </w:r>
    </w:p>
    <w:p w:rsidR="00AF23E3" w:rsidRPr="00011D3B" w:rsidP="00791830" w14:paraId="78A99B76" w14:textId="6C57A629">
      <w:pPr>
        <w:pStyle w:val="NormalHanging12a"/>
        <w:ind w:left="567" w:hanging="570"/>
      </w:pPr>
      <w:r w:rsidRPr="00011D3B">
        <w:t>25.</w:t>
      </w:r>
      <w:r w:rsidRPr="00011D3B">
        <w:tab/>
      </w:r>
      <w:r w:rsidRPr="00011D3B">
        <w:t>καλεί την Επιτροπή να αυξήσει τη στήριξη των ιδρυμάτων τριτοβάθμιας εκπαίδευσης και της τεχνικής και επαγγελματικής εκπαίδευσης και κατάρτισης στις χώρες εταίρους στο πλαίσιο της αναπτυξιακής στρατηγικής της, ως μέσο για να αντιμετωπιστούν τα βαθύτερα αίτια της μετανάστευσης· υπογραμμίζει τη σημασία της ενίσχυσης της ανθρώπινης ανάπτυξης μέσω επενδύσεων σε δεξιότητες σε τοπικό επίπεδο· καλεί την Επιτροπή να βοηθήσει τις χώρες εταίρους στη δημιουργία ικανοτήτων στο πλαίσιο αυτό· ζητεί, επιπλέον, να αυξηθεί η στήριξη των πρωτοβουλιών που καθοδηγούνται από νέους για την ενίσχυση των δεξιοτήτων, της καινοτομίας και των ανταλλαγών και για την αξιοποίηση της μετανάστευσης ως κινητήριας δύναμης της βιώσιμης ανάπτυξης·</w:t>
      </w:r>
    </w:p>
    <w:p w:rsidR="00AF23E3" w:rsidRPr="00011D3B" w:rsidP="00791830" w14:paraId="1DBDE977" w14:textId="208A1516">
      <w:pPr>
        <w:pStyle w:val="NormalHanging12a"/>
        <w:ind w:left="567" w:hanging="570"/>
      </w:pPr>
      <w:r w:rsidRPr="00011D3B">
        <w:t>26.</w:t>
      </w:r>
      <w:r w:rsidRPr="00011D3B">
        <w:tab/>
      </w:r>
      <w:r w:rsidRPr="00011D3B">
        <w:t>καλεί την Επιτροπή να διερευνήσει περαιτέρω τις εταιρικές σχέσεις προσέλκυσης ταλέντων της ΕΕ με περισσότερες τρίτες χώρες, ιδίως με εκείνες με υψηλά επίπεδα μετανάστευσης·</w:t>
      </w:r>
    </w:p>
    <w:p w:rsidR="00AF23E3" w:rsidRPr="00011D3B" w:rsidP="00791830" w14:paraId="19B24DC7" w14:textId="71CB5508">
      <w:pPr>
        <w:pStyle w:val="NormalHanging12a"/>
        <w:ind w:left="567" w:hanging="570"/>
      </w:pPr>
      <w:r w:rsidRPr="00011D3B">
        <w:t>27.</w:t>
      </w:r>
      <w:r w:rsidRPr="00011D3B">
        <w:tab/>
      </w:r>
      <w:r w:rsidRPr="00011D3B">
        <w:t>τονίζει ότι η οικονομική ενδυνάμωση και η δημιουργία αξιοπρεπών θέσεων εργασίας αποτελούν πρωταρχικά εργαλεία για τη μείωση των ανισοτήτων και ότι βελτιώνουν τα μέσα διαβίωσης στις χώρες καταγωγής και, ως εκ τούτου, περιορίζουν τους λόγους της παράτυπης μετανάστευσης· ζητεί η χρηματοδότηση της ΕΕ να στηρίζει επίσης την τοπική επιχειρηματικότητα και τις δημόσιες υποδομές·</w:t>
      </w:r>
    </w:p>
    <w:p w:rsidR="00AF23E3" w:rsidRPr="00011D3B" w:rsidP="00791830" w14:paraId="685E9312" w14:textId="4529DB35">
      <w:pPr>
        <w:pStyle w:val="NormalHanging12a"/>
        <w:ind w:left="567" w:hanging="570"/>
      </w:pPr>
      <w:r w:rsidRPr="00011D3B">
        <w:t>28.</w:t>
      </w:r>
      <w:r w:rsidRPr="00011D3B">
        <w:tab/>
      </w:r>
      <w:r w:rsidRPr="00011D3B">
        <w:t>επισημαίνει ότι οι νέοι πρέπει να βρίσκονται στο επίκεντρο των εταιρικών σχέσεων και είναι απαραίτητοι για τη βιώσιμη ανάπτυξη· υπογραμμίζει τη σημασία της στήριξης προγραμμάτων ανταλλαγών, όπως το Erasmus+ και άλλα προγράμματα κινητικότητας και δεξιοτήτων των νέων, ώστε να παρέχονται ευκαιρίες εκπαίδευσης και απασχόλησης και να δίνεται στους νέους η επιλογή να ευδοκιμήσουν στις χώρες καταγωγής τους·</w:t>
      </w:r>
    </w:p>
    <w:p w:rsidR="00AF23E3" w:rsidRPr="00011D3B" w:rsidP="00791830" w14:paraId="0F3D1A32" w14:textId="23350C69">
      <w:pPr>
        <w:pStyle w:val="NormalHanging12a"/>
        <w:ind w:left="567" w:hanging="570"/>
      </w:pPr>
      <w:r w:rsidRPr="00011D3B">
        <w:t>29.</w:t>
      </w:r>
      <w:r w:rsidRPr="00011D3B">
        <w:tab/>
      </w:r>
      <w:r w:rsidRPr="00011D3B">
        <w:t>καλεί την Επιτροπή να συμπεριλάβει τη γεωργία και τη διαχείριση των υδάτων στις προτεραιότητές της για συνεργασία, προωθώντας έργα που βελτιώνουν την αυτάρκεια και μειώνουν τη μεταναστευτική πίεση·</w:t>
      </w:r>
    </w:p>
    <w:p w:rsidR="00AF23E3" w:rsidRPr="00011D3B" w:rsidP="00791830" w14:paraId="36229EEC" w14:textId="017FE9B2">
      <w:pPr>
        <w:pStyle w:val="NormalHanging12a"/>
        <w:ind w:left="567" w:hanging="570"/>
      </w:pPr>
      <w:r w:rsidRPr="00011D3B">
        <w:t>30.</w:t>
      </w:r>
      <w:r w:rsidRPr="00011D3B">
        <w:tab/>
      </w:r>
      <w:r w:rsidRPr="00011D3B">
        <w:t xml:space="preserve">σημειώνει ότι η μετανάστευση και η διαρροή δυναμικού μπορούν να θέσουν προκλήσεις για την ανάπτυξη μιας χώρας εταίρου μειώνοντας το διαθέσιμο ειδικευμένο εργατικό δυναμικό· υπενθυμίζει ότι η αναπτυξιακή συνεργασία μπορεί να μετριάσει αυτόν τον κίνδυνο μέσω ολοκληρωμένων στρατηγικών για τη στήριξη ποιοτικών συστημάτων εκπαίδευσης και κατάρτισης, την ενίσχυση των τοπικών ευκαιριών απασχόλησης και την προώθηση της μεταφοράς γνώσεων και δεξιοτήτων· καλεί, </w:t>
      </w:r>
      <w:r w:rsidRPr="00011D3B">
        <w:t>επομένως, την Επιτροπή να συνεχίσει το έργο της στον τομέα αυτό, συμπεριλαμβανομένης της αντιμετώπισης του ζητήματος της διαρροής δυναμικού μέσω του πλαισίου αναπτυξιακής πολιτικής και της χρηματοδότησης·</w:t>
      </w:r>
    </w:p>
    <w:p w:rsidR="00AF23E3" w:rsidRPr="00011D3B" w:rsidP="00791830" w14:paraId="69378465" w14:textId="49273DF0">
      <w:pPr>
        <w:pStyle w:val="NormalHanging12a"/>
        <w:ind w:left="567" w:hanging="570"/>
      </w:pPr>
      <w:r w:rsidRPr="00011D3B">
        <w:t>31.</w:t>
      </w:r>
      <w:r w:rsidRPr="00011D3B">
        <w:tab/>
      </w:r>
      <w:r w:rsidRPr="00011D3B">
        <w:t>αναγνωρίζει τον καίριο ρόλο των κοινοτήτων της διασποράς στην προώθηση της βιώσιμης ανάπτυξης, των επενδύσεων και της καινοτομίας στις χώρες καταγωγής τους· τονίζει ότι η ενδυνάμωση των δικτύων της διασποράς δημιουργεί αμοιβαία οφέλη τόσο για τις χώρες εταίρους όσο και για την ΕΕ· καλεί την ΕΕ και τα κράτη μέλη της να ενισχύσουν τη συνεργασία με τις οργανώσεις της διασποράς και να αναπτύξουν προγράμματα χωρίς αποκλεισμούς που συμβάλλουν σε αμοιβαία επωφελείς μορφές κυκλικής μετανάστευσης·</w:t>
      </w:r>
    </w:p>
    <w:p w:rsidR="00AF23E3" w:rsidRPr="00011D3B" w:rsidP="00791830" w14:paraId="11DF0D88" w14:textId="03C8CB2D">
      <w:pPr>
        <w:pStyle w:val="NormalHanging12a"/>
        <w:ind w:left="567" w:hanging="570"/>
      </w:pPr>
      <w:r w:rsidRPr="00011D3B">
        <w:t>32.</w:t>
      </w:r>
      <w:r w:rsidRPr="00011D3B">
        <w:tab/>
      </w:r>
      <w:r w:rsidRPr="00011D3B">
        <w:t>καλεί την Επιτροπή και τα κράτη μέλη να επενδύσουν σε εκστρατείες ενημέρωσης τόσο εντός της ΕΕ όσο και σε τρίτες χώρες για την καταπολέμηση της παραπληροφόρησης και τη διάδοση πληροφοριών σχετικά με τους κινδύνους της παράτυπης μετανάστευσης και να προωθήσουν την κατανόηση των κανόνων της ΕΕ σχετικά με τις υποχρεώσεις μετανάστευσης εργατικού δυναμικού·</w:t>
      </w:r>
    </w:p>
    <w:p w:rsidR="00AF23E3" w:rsidRPr="00011D3B" w:rsidP="00791830" w14:paraId="3516D108" w14:textId="2870A077">
      <w:pPr>
        <w:pStyle w:val="NormalHanging12a"/>
        <w:ind w:left="567" w:hanging="570"/>
      </w:pPr>
      <w:r w:rsidRPr="00011D3B">
        <w:t>33.</w:t>
      </w:r>
      <w:r w:rsidRPr="00011D3B">
        <w:tab/>
      </w:r>
      <w:r w:rsidRPr="00011D3B">
        <w:t>καλεί την Επιτροπή και τα κράτη μέλη να αυξήσουν τη χρηματοδότηση για τη βελτίωση του κράτους δικαίου, τη στήριξη της δημοκρατίας, την οικοδόμηση κράτους και ικανοτήτων, καθώς και τις δημόσιες υπηρεσίες, συμπεριλαμβανομένης της υγείας, της πρόσβασης σε καθαρό νερό και της εκπαίδευσης·</w:t>
      </w:r>
    </w:p>
    <w:p w:rsidR="00AF23E3" w:rsidRPr="00011D3B" w:rsidP="00791830" w14:paraId="475DE357" w14:textId="39EBDC56">
      <w:pPr>
        <w:pStyle w:val="NormalHanging12a"/>
        <w:ind w:left="567" w:hanging="570"/>
      </w:pPr>
      <w:r w:rsidRPr="00011D3B">
        <w:t>34.</w:t>
      </w:r>
      <w:r w:rsidRPr="00011D3B">
        <w:tab/>
      </w:r>
      <w:r w:rsidRPr="00011D3B">
        <w:t>επαναβεβαιώνει ότι μια ολιστική προσέγγιση που συνδυάζει την αναπτυξιακή συνεργασία και τη διαχείριση της μετανάστευσης είναι απαραίτητη για την αποτελεσματική διασφάλιση της ασφάλειας και της αλληλεγγύης τόσο εντός της ΕΕ όσο και στις χώρες καταγωγής και διέλευσης·</w:t>
      </w:r>
    </w:p>
    <w:p w:rsidR="00AF23E3" w:rsidRPr="00011D3B" w:rsidP="00791830" w14:paraId="77E76CB9" w14:textId="1C3860F2">
      <w:pPr>
        <w:pStyle w:val="NormalHanging12a"/>
        <w:ind w:left="567" w:hanging="570"/>
      </w:pPr>
      <w:r w:rsidRPr="00011D3B">
        <w:t>35.</w:t>
      </w:r>
      <w:r w:rsidRPr="00011D3B">
        <w:tab/>
      </w:r>
      <w:r w:rsidRPr="00011D3B">
        <w:t>επικροτεί το κρίσιμο έργο των ανθρωπιστικών, αναπτυξιακών και ειρηνευτικών φορέων, ιδίως των οργανώσεων των Ηνωμένων Εθνών, άλλων διεθνών οργανισμών και τοπικών φορέων, συμπεριλαμβανομένων των τοπικών αρχών, των οργανώσεων της κοινωνίας των πολιτών, των υπερασπιστών των ανθρωπίνων δικαιωμάτων, των οργανώσεων γυναικών, των οργανώσεων νεολαίας και των μη κυβερνητικών οργανώσεων, καθώς και των κοινοτήτων και οργανώσεων θρησκευτικού χαρακτήρα·</w:t>
      </w:r>
    </w:p>
    <w:p w:rsidR="00AF23E3" w:rsidRPr="00011D3B" w:rsidP="00AF23E3" w14:paraId="0442F989" w14:textId="77777777">
      <w:pPr>
        <w:pStyle w:val="NormalCenter12a"/>
      </w:pPr>
      <w:r w:rsidRPr="00011D3B">
        <w:t>°</w:t>
      </w:r>
    </w:p>
    <w:p w:rsidR="00AF23E3" w:rsidRPr="00011D3B" w:rsidP="00AF23E3" w14:paraId="186BA7DB" w14:textId="77777777">
      <w:pPr>
        <w:pStyle w:val="NormalCenter12a"/>
      </w:pPr>
      <w:r w:rsidRPr="00011D3B">
        <w:t>°</w:t>
      </w:r>
      <w:r w:rsidRPr="00011D3B">
        <w:tab/>
        <w:t>°</w:t>
      </w:r>
    </w:p>
    <w:p w:rsidR="00197114" w:rsidRPr="00011D3B" w:rsidP="00791830" w14:paraId="7513410A" w14:textId="67CF713F">
      <w:pPr>
        <w:pStyle w:val="NormalHanging12a"/>
        <w:ind w:left="567" w:hanging="570"/>
      </w:pPr>
      <w:r w:rsidRPr="00011D3B">
        <w:t>36.</w:t>
      </w:r>
      <w:r w:rsidRPr="00011D3B">
        <w:tab/>
      </w:r>
      <w:r w:rsidRPr="00011D3B" w:rsidR="00AF23E3">
        <w:t>αναθέτει στην Πρόεδρό του να διαβιβάσει το παρόν ψήφισμα στο Συμβούλιο, στην Επιτροπή και στην Ευρωπαϊκή Υπηρεσία Εξωτερικής Δράσης.</w:t>
      </w:r>
    </w:p>
    <w:p w:rsidR="00E365E1" w:rsidRPr="00011D3B" w:rsidP="00AB275F" w14:paraId="13790BCD" w14:textId="0874BE0F"/>
    <w:sectPr w:rsidSect="00197114">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114" w14:paraId="50F0C5D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114" w14:paraId="55077AD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114" w14:paraId="3A3E62D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B275F" w:rsidRPr="00197114" w14:paraId="12DC2C65" w14:textId="77777777">
      <w:r w:rsidRPr="00197114">
        <w:separator/>
      </w:r>
    </w:p>
  </w:footnote>
  <w:footnote w:type="continuationSeparator" w:id="1">
    <w:p w:rsidR="00AB275F" w:rsidRPr="00197114" w14:paraId="473A172E" w14:textId="77777777">
      <w:r w:rsidRPr="00197114">
        <w:continuationSeparator/>
      </w:r>
    </w:p>
  </w:footnote>
  <w:footnote w:id="2">
    <w:p w:rsidR="00DD4E4B" w:rsidRPr="00197114" w:rsidP="00197114" w14:paraId="726A9274" w14:textId="6557BD55">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t xml:space="preserve">ΕΕ L 209 της 14.6.2021, σ. 1, ELI: </w:t>
      </w:r>
      <w:hyperlink r:id="rId1" w:tgtFrame="http://data.europa.eu/eli/reg/2021/947/oj" w:history="1">
        <w:r w:rsidRPr="00197114">
          <w:rPr>
            <w:rStyle w:val="Hyperlink"/>
            <w:sz w:val="24"/>
            <w:lang w:val="el-GR"/>
          </w:rPr>
          <w:t>http://data.europa.eu/eli/reg/2021/947/oj</w:t>
        </w:r>
      </w:hyperlink>
      <w:r w:rsidRPr="00197114">
        <w:rPr>
          <w:sz w:val="24"/>
          <w:lang w:val="el-GR"/>
        </w:rPr>
        <w:t>.</w:t>
      </w:r>
    </w:p>
  </w:footnote>
  <w:footnote w:id="3">
    <w:p w:rsidR="00DD4E4B" w:rsidRPr="00AC57D5" w:rsidP="00197114" w14:paraId="746EA301" w14:textId="1681CB74">
      <w:pPr>
        <w:pStyle w:val="FootnoteText"/>
        <w:ind w:left="567" w:hanging="567"/>
        <w:rPr>
          <w:sz w:val="24"/>
          <w:lang w:val="fi-FI"/>
        </w:rPr>
      </w:pPr>
      <w:r>
        <w:rPr>
          <w:rStyle w:val="FootnoteReference"/>
        </w:rPr>
        <w:footnoteRef/>
      </w:r>
      <w:r w:rsidRPr="00AC57D5">
        <w:rPr>
          <w:sz w:val="24"/>
          <w:lang w:val="fi-FI"/>
        </w:rPr>
        <w:t xml:space="preserve"> </w:t>
      </w:r>
      <w:r w:rsidRPr="00AC57D5">
        <w:rPr>
          <w:sz w:val="24"/>
          <w:lang w:val="fi-FI"/>
        </w:rPr>
        <w:tab/>
      </w:r>
      <w:r w:rsidRPr="00197114">
        <w:rPr>
          <w:sz w:val="24"/>
          <w:lang w:val="el-GR"/>
        </w:rPr>
        <w:t>ΕΕ</w:t>
      </w:r>
      <w:r w:rsidRPr="00AC57D5">
        <w:rPr>
          <w:sz w:val="24"/>
          <w:lang w:val="fi-FI"/>
        </w:rPr>
        <w:t xml:space="preserve"> L, 2024/1351, 22.5.2024, ELI: </w:t>
      </w:r>
      <w:hyperlink r:id="rId2" w:tgtFrame="http://data.europa.eu/eli/reg/2024/1351/oj" w:history="1">
        <w:r w:rsidRPr="00AC57D5">
          <w:rPr>
            <w:rStyle w:val="Hyperlink"/>
            <w:sz w:val="24"/>
            <w:lang w:val="fi-FI"/>
          </w:rPr>
          <w:t>http://data.europa.eu/eli/reg/2024/1351/oj</w:t>
        </w:r>
      </w:hyperlink>
      <w:r w:rsidRPr="00AC57D5">
        <w:rPr>
          <w:sz w:val="24"/>
          <w:lang w:val="fi-FI"/>
        </w:rPr>
        <w:t>.</w:t>
      </w:r>
    </w:p>
  </w:footnote>
  <w:footnote w:id="4">
    <w:p w:rsidR="00DD4E4B" w:rsidRPr="00AC57D5" w:rsidP="00197114" w14:paraId="16C701C5" w14:textId="35C3BC78">
      <w:pPr>
        <w:pStyle w:val="FootnoteText"/>
        <w:ind w:left="567" w:hanging="567"/>
        <w:rPr>
          <w:sz w:val="24"/>
          <w:lang w:val="fi-FI"/>
        </w:rPr>
      </w:pPr>
      <w:r>
        <w:rPr>
          <w:rStyle w:val="FootnoteReference"/>
        </w:rPr>
        <w:footnoteRef/>
      </w:r>
      <w:r w:rsidRPr="00AC57D5">
        <w:rPr>
          <w:sz w:val="24"/>
          <w:lang w:val="fi-FI"/>
        </w:rPr>
        <w:t xml:space="preserve"> </w:t>
      </w:r>
      <w:r w:rsidRPr="00AC57D5">
        <w:rPr>
          <w:sz w:val="24"/>
          <w:lang w:val="fi-FI"/>
        </w:rPr>
        <w:tab/>
      </w:r>
      <w:r w:rsidRPr="00197114">
        <w:rPr>
          <w:sz w:val="24"/>
          <w:lang w:val="el-GR"/>
        </w:rPr>
        <w:t>ΕΕ</w:t>
      </w:r>
      <w:r w:rsidRPr="00AC57D5">
        <w:rPr>
          <w:sz w:val="24"/>
          <w:lang w:val="fi-FI"/>
        </w:rPr>
        <w:t xml:space="preserve"> L</w:t>
      </w:r>
      <w:r w:rsidRPr="00305F0F" w:rsidR="00305F0F">
        <w:rPr>
          <w:sz w:val="24"/>
          <w:lang w:val="fi-FI"/>
        </w:rPr>
        <w:t>,</w:t>
      </w:r>
      <w:r w:rsidRPr="00AC57D5">
        <w:rPr>
          <w:sz w:val="24"/>
          <w:lang w:val="fi-FI"/>
        </w:rPr>
        <w:t xml:space="preserve"> 2023/2862, 28.12.2023, ELI: </w:t>
      </w:r>
      <w:hyperlink r:id="rId3" w:tgtFrame="http://data.europa.eu/eli/agree_internation/2023/2862/oj" w:history="1">
        <w:r w:rsidRPr="00AC57D5">
          <w:rPr>
            <w:rStyle w:val="Hyperlink"/>
            <w:sz w:val="24"/>
            <w:lang w:val="fi-FI"/>
          </w:rPr>
          <w:t>http://data.europa.eu/eli/agree_internation/2023/2862/oj</w:t>
        </w:r>
      </w:hyperlink>
      <w:r w:rsidRPr="00AC57D5">
        <w:rPr>
          <w:sz w:val="24"/>
          <w:lang w:val="fi-FI"/>
        </w:rPr>
        <w:t>.</w:t>
      </w:r>
    </w:p>
  </w:footnote>
  <w:footnote w:id="5">
    <w:p w:rsidR="00DD4E4B" w:rsidRPr="00AC57D5" w:rsidP="00197114" w14:paraId="76AC1209" w14:textId="7C152EE6">
      <w:pPr>
        <w:pStyle w:val="FootnoteText"/>
        <w:ind w:left="567" w:hanging="567"/>
        <w:rPr>
          <w:sz w:val="24"/>
          <w:lang w:val="fi-FI"/>
        </w:rPr>
      </w:pPr>
      <w:r>
        <w:rPr>
          <w:rStyle w:val="FootnoteReference"/>
        </w:rPr>
        <w:footnoteRef/>
      </w:r>
      <w:r w:rsidRPr="00AC57D5">
        <w:rPr>
          <w:sz w:val="24"/>
          <w:lang w:val="fi-FI"/>
        </w:rPr>
        <w:t xml:space="preserve"> </w:t>
      </w:r>
      <w:r w:rsidRPr="00AC57D5">
        <w:rPr>
          <w:sz w:val="24"/>
          <w:lang w:val="fi-FI"/>
        </w:rPr>
        <w:tab/>
        <w:t xml:space="preserve">EE C, C/2026/576, 24.2.2026, ELI: </w:t>
      </w:r>
      <w:hyperlink r:id="rId4" w:tgtFrame="http://data.europa.eu/eli/C/2026/576/oj" w:history="1">
        <w:r w:rsidRPr="00AC57D5">
          <w:rPr>
            <w:rStyle w:val="Hyperlink"/>
            <w:sz w:val="24"/>
            <w:lang w:val="fi-FI"/>
          </w:rPr>
          <w:t>http://data.europa.eu/eli/C/2026/576/oj</w:t>
        </w:r>
      </w:hyperlink>
      <w:r w:rsidRPr="00AC57D5">
        <w:rPr>
          <w:sz w:val="24"/>
          <w:lang w:val="fi-FI"/>
        </w:rPr>
        <w:t>.</w:t>
      </w:r>
    </w:p>
  </w:footnote>
  <w:footnote w:id="6">
    <w:p w:rsidR="00DD4E4B" w:rsidRPr="00197114" w:rsidP="00197114" w14:paraId="42E38A19" w14:textId="3434EF25">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r>
      <w:r w:rsidRPr="00197114">
        <w:rPr>
          <w:sz w:val="24"/>
          <w:lang w:val="el-GR"/>
        </w:rPr>
        <w:t>Talleraas</w:t>
      </w:r>
      <w:r w:rsidRPr="00197114">
        <w:rPr>
          <w:sz w:val="24"/>
          <w:lang w:val="el-GR"/>
        </w:rPr>
        <w:t>, C.,</w:t>
      </w:r>
      <w:r w:rsidRPr="00197114">
        <w:rPr>
          <w:i/>
          <w:sz w:val="24"/>
          <w:lang w:val="el-GR"/>
        </w:rPr>
        <w:t xml:space="preserve"> </w:t>
      </w:r>
      <w:r w:rsidRPr="00197114">
        <w:rPr>
          <w:sz w:val="24"/>
          <w:lang w:val="el-GR"/>
        </w:rPr>
        <w:t xml:space="preserve">The </w:t>
      </w:r>
      <w:r w:rsidRPr="00197114">
        <w:rPr>
          <w:sz w:val="24"/>
          <w:lang w:val="el-GR"/>
        </w:rPr>
        <w:t>role</w:t>
      </w:r>
      <w:r w:rsidRPr="00197114">
        <w:rPr>
          <w:sz w:val="24"/>
          <w:lang w:val="el-GR"/>
        </w:rPr>
        <w:t xml:space="preserve"> of EU </w:t>
      </w:r>
      <w:r w:rsidRPr="00197114">
        <w:rPr>
          <w:sz w:val="24"/>
          <w:lang w:val="el-GR"/>
        </w:rPr>
        <w:t>development</w:t>
      </w:r>
      <w:r w:rsidRPr="00197114">
        <w:rPr>
          <w:sz w:val="24"/>
          <w:lang w:val="el-GR"/>
        </w:rPr>
        <w:t xml:space="preserve"> </w:t>
      </w:r>
      <w:r w:rsidRPr="00197114">
        <w:rPr>
          <w:sz w:val="24"/>
          <w:lang w:val="el-GR"/>
        </w:rPr>
        <w:t>cooperation</w:t>
      </w:r>
      <w:r w:rsidRPr="00197114">
        <w:rPr>
          <w:sz w:val="24"/>
          <w:lang w:val="el-GR"/>
        </w:rPr>
        <w:t xml:space="preserve"> in </w:t>
      </w:r>
      <w:r w:rsidRPr="00197114">
        <w:rPr>
          <w:sz w:val="24"/>
          <w:lang w:val="el-GR"/>
        </w:rPr>
        <w:t>addressing</w:t>
      </w:r>
      <w:r w:rsidRPr="00197114">
        <w:rPr>
          <w:sz w:val="24"/>
          <w:lang w:val="el-GR"/>
        </w:rPr>
        <w:t xml:space="preserve"> </w:t>
      </w:r>
      <w:r w:rsidRPr="00197114">
        <w:rPr>
          <w:sz w:val="24"/>
          <w:lang w:val="el-GR"/>
        </w:rPr>
        <w:t>irregular</w:t>
      </w:r>
      <w:r w:rsidRPr="00197114">
        <w:rPr>
          <w:sz w:val="24"/>
          <w:lang w:val="el-GR"/>
        </w:rPr>
        <w:t xml:space="preserve"> </w:t>
      </w:r>
      <w:r w:rsidRPr="00197114">
        <w:rPr>
          <w:sz w:val="24"/>
          <w:lang w:val="el-GR"/>
        </w:rPr>
        <w:t>migration</w:t>
      </w:r>
      <w:r w:rsidRPr="00197114">
        <w:rPr>
          <w:sz w:val="24"/>
          <w:lang w:val="el-GR"/>
        </w:rPr>
        <w:t xml:space="preserve"> in Africa (Ο ρόλος της αναπτυξιακής συνεργασίας της ΕΕ στην αντιμετώπιση της παράτυπης μετανάστευσης στην Αφρική), Μονάδα Ανάλυσης και Υποστήριξης Εξωτερικών Πολιτικών, Γενική Διεύθυνση Εξωτερικών Πολιτικών της Ένωσης, Οκτώβριος 2025.</w:t>
      </w:r>
    </w:p>
  </w:footnote>
  <w:footnote w:id="7">
    <w:p w:rsidR="00DD4E4B" w:rsidRPr="00197114" w:rsidP="00197114" w14:paraId="1B18E01B" w14:textId="5935BEAA">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t>ΕΕ C 494 της 8.12.2021, σ. 80.</w:t>
      </w:r>
    </w:p>
  </w:footnote>
  <w:footnote w:id="8">
    <w:p w:rsidR="00DD4E4B" w:rsidRPr="00197114" w:rsidP="00197114" w14:paraId="247DDC2E" w14:textId="6B223632">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t xml:space="preserve">Essentials of Migration </w:t>
      </w:r>
      <w:r w:rsidRPr="00197114">
        <w:rPr>
          <w:sz w:val="24"/>
          <w:lang w:val="el-GR"/>
        </w:rPr>
        <w:t>Management</w:t>
      </w:r>
      <w:r w:rsidRPr="00197114">
        <w:rPr>
          <w:sz w:val="24"/>
          <w:lang w:val="el-GR"/>
        </w:rPr>
        <w:t>, «</w:t>
      </w:r>
      <w:r w:rsidRPr="00197114">
        <w:rPr>
          <w:sz w:val="24"/>
          <w:lang w:val="el-GR"/>
        </w:rPr>
        <w:t>Drivers</w:t>
      </w:r>
      <w:r w:rsidRPr="00197114">
        <w:rPr>
          <w:sz w:val="24"/>
          <w:lang w:val="el-GR"/>
        </w:rPr>
        <w:t xml:space="preserve"> of </w:t>
      </w:r>
      <w:r w:rsidRPr="00197114">
        <w:rPr>
          <w:sz w:val="24"/>
          <w:lang w:val="el-GR"/>
        </w:rPr>
        <w:t>international</w:t>
      </w:r>
      <w:r w:rsidRPr="00197114">
        <w:rPr>
          <w:sz w:val="24"/>
          <w:lang w:val="el-GR"/>
        </w:rPr>
        <w:t xml:space="preserve"> </w:t>
      </w:r>
      <w:r w:rsidRPr="00197114">
        <w:rPr>
          <w:sz w:val="24"/>
          <w:lang w:val="el-GR"/>
        </w:rPr>
        <w:t>migration</w:t>
      </w:r>
      <w:r w:rsidRPr="00197114">
        <w:rPr>
          <w:sz w:val="24"/>
          <w:lang w:val="el-GR"/>
        </w:rPr>
        <w:t xml:space="preserve">» (Βασικά στοιχεία της διαχείρισης της μετανάστευσης, «Παράγοντες της διεθνούς μετανάστευσης»), </w:t>
      </w:r>
      <w:hyperlink r:id="rId5" w:tgtFrame="https://emm.iom.int/handbooks/global-context-international-migration/drivers-international-migration" w:history="1">
        <w:r w:rsidRPr="00197114">
          <w:rPr>
            <w:rStyle w:val="Hyperlink"/>
            <w:sz w:val="24"/>
            <w:lang w:val="el-GR"/>
          </w:rPr>
          <w:t>https://emm.iom.int/handbooks/global-context-international-migration/drivers-international-migration</w:t>
        </w:r>
      </w:hyperlink>
      <w:r w:rsidRPr="00197114">
        <w:rPr>
          <w:sz w:val="24"/>
          <w:lang w:val="el-GR"/>
        </w:rPr>
        <w:t>.</w:t>
      </w:r>
    </w:p>
  </w:footnote>
  <w:footnote w:id="9">
    <w:p w:rsidR="00DD4E4B" w:rsidRPr="00197114" w:rsidP="00197114" w14:paraId="32891EA7" w14:textId="6CC4817F">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t xml:space="preserve">Οργανισμός της Ευρωπαϊκής Ένωσης για το Άσυλο, «3.4. </w:t>
      </w:r>
      <w:r w:rsidRPr="00197114">
        <w:rPr>
          <w:sz w:val="24"/>
          <w:lang w:val="el-GR"/>
        </w:rPr>
        <w:t>Data</w:t>
      </w:r>
      <w:r w:rsidRPr="00197114">
        <w:rPr>
          <w:sz w:val="24"/>
          <w:lang w:val="el-GR"/>
        </w:rPr>
        <w:t xml:space="preserve"> on </w:t>
      </w:r>
      <w:r w:rsidRPr="00197114">
        <w:rPr>
          <w:sz w:val="24"/>
          <w:lang w:val="el-GR"/>
        </w:rPr>
        <w:t>applications</w:t>
      </w:r>
      <w:r w:rsidRPr="00197114">
        <w:rPr>
          <w:sz w:val="24"/>
          <w:lang w:val="el-GR"/>
        </w:rPr>
        <w:t xml:space="preserve"> for </w:t>
      </w:r>
      <w:r w:rsidRPr="00197114">
        <w:rPr>
          <w:sz w:val="24"/>
          <w:lang w:val="el-GR"/>
        </w:rPr>
        <w:t>international</w:t>
      </w:r>
      <w:r w:rsidRPr="00197114">
        <w:rPr>
          <w:sz w:val="24"/>
          <w:lang w:val="el-GR"/>
        </w:rPr>
        <w:t xml:space="preserve"> </w:t>
      </w:r>
      <w:r w:rsidRPr="00197114">
        <w:rPr>
          <w:sz w:val="24"/>
          <w:lang w:val="el-GR"/>
        </w:rPr>
        <w:t>protection</w:t>
      </w:r>
      <w:r w:rsidRPr="00197114">
        <w:rPr>
          <w:sz w:val="24"/>
          <w:lang w:val="el-GR"/>
        </w:rPr>
        <w:t>» (3.4. Δεδομένα σχετικά με τις αιτήσεις διεθνούς προστασίας),</w:t>
      </w:r>
      <w:r w:rsidR="005022F3">
        <w:rPr>
          <w:sz w:val="24"/>
          <w:lang w:val="el-GR"/>
        </w:rPr>
        <w:t xml:space="preserve"> </w:t>
      </w:r>
      <w:hyperlink r:id="rId6" w:history="1">
        <w:r w:rsidRPr="005022F3" w:rsidR="005022F3">
          <w:rPr>
            <w:rStyle w:val="Hyperlink"/>
            <w:sz w:val="24"/>
            <w:lang w:val="el-GR"/>
          </w:rPr>
          <w:t>https://euaa.europa.eu/asylum-report-2025/34-data-applications-international-protection</w:t>
        </w:r>
      </w:hyperlink>
      <w:r w:rsidRPr="00197114">
        <w:rPr>
          <w:sz w:val="24"/>
          <w:lang w:val="el-GR"/>
        </w:rPr>
        <w:t>.</w:t>
      </w:r>
    </w:p>
  </w:footnote>
  <w:footnote w:id="10">
    <w:p w:rsidR="00DD4E4B" w:rsidRPr="00197114" w:rsidP="00197114" w14:paraId="335634FD" w14:textId="03F9818A">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r>
      <w:hyperlink r:id="rId7" w:tgtFrame="https://www.frontex.europa.eu/media-centre/news/news-release/frontex-irregular-border-crossings-down-26-in-2025-europe-must-stay-prepared-lyKpVb" w:history="1">
        <w:r w:rsidRPr="00197114">
          <w:rPr>
            <w:rStyle w:val="Hyperlink"/>
            <w:sz w:val="24"/>
            <w:lang w:val="el-GR"/>
          </w:rPr>
          <w:t>https://www.frontex.europa.eu/media-centre/news/news-release/frontex-irregular-border-crossings-down-26-in-2025-europe-must-stay-prepared-lyKpVb</w:t>
        </w:r>
      </w:hyperlink>
      <w:r w:rsidRPr="00197114">
        <w:rPr>
          <w:sz w:val="24"/>
          <w:lang w:val="el-GR"/>
        </w:rPr>
        <w:t>.</w:t>
      </w:r>
    </w:p>
  </w:footnote>
  <w:footnote w:id="11">
    <w:p w:rsidR="00DD4E4B" w:rsidRPr="00197114" w:rsidP="00197114" w14:paraId="5E4C7B94" w14:textId="2EF62288">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t xml:space="preserve">Χωρίς να συμπεριλαμβάνονται οι αιτούντες άσυλο και οι πρόσφυγες από την Ουκρανία που τελούν υπό καθεστώς προσωρινής προστασίας για ορισμένα κράτη μέλη. </w:t>
      </w:r>
      <w:r w:rsidRPr="00197114">
        <w:rPr>
          <w:sz w:val="24"/>
          <w:lang w:val="el-GR"/>
        </w:rPr>
        <w:t>Eurostat</w:t>
      </w:r>
      <w:r w:rsidRPr="00197114">
        <w:rPr>
          <w:sz w:val="24"/>
          <w:lang w:val="el-GR"/>
        </w:rPr>
        <w:t xml:space="preserve">, «Migration </w:t>
      </w:r>
      <w:r w:rsidRPr="00197114">
        <w:rPr>
          <w:sz w:val="24"/>
          <w:lang w:val="el-GR"/>
        </w:rPr>
        <w:t>to</w:t>
      </w:r>
      <w:r w:rsidRPr="00197114">
        <w:rPr>
          <w:sz w:val="24"/>
          <w:lang w:val="el-GR"/>
        </w:rPr>
        <w:t xml:space="preserve"> and </w:t>
      </w:r>
      <w:r w:rsidRPr="00197114">
        <w:rPr>
          <w:sz w:val="24"/>
          <w:lang w:val="el-GR"/>
        </w:rPr>
        <w:t>from</w:t>
      </w:r>
      <w:r w:rsidRPr="00197114">
        <w:rPr>
          <w:sz w:val="24"/>
          <w:lang w:val="el-GR"/>
        </w:rPr>
        <w:t xml:space="preserve"> the EU» (Μετανάστευση προς και από την ΕΕ), </w:t>
      </w:r>
      <w:hyperlink r:id="rId8" w:tgtFrame="https://ec.europa.eu/eurostat/statistics-explained/index.php?title=Migration_to_and_from_the_EU" w:history="1">
        <w:r w:rsidRPr="00197114">
          <w:rPr>
            <w:rStyle w:val="Hyperlink"/>
            <w:sz w:val="24"/>
            <w:lang w:val="el-GR"/>
          </w:rPr>
          <w:t>https://ec.europa.eu/eurostat/statistics-explained/index.php?title=Migration_to_and_from_the_EU</w:t>
        </w:r>
      </w:hyperlink>
      <w:r w:rsidRPr="00197114">
        <w:rPr>
          <w:sz w:val="24"/>
          <w:lang w:val="el-GR"/>
        </w:rPr>
        <w:t>.</w:t>
      </w:r>
    </w:p>
  </w:footnote>
  <w:footnote w:id="12">
    <w:p w:rsidR="00DD4E4B" w:rsidRPr="00197114" w:rsidP="00197114" w14:paraId="2BF73D64" w14:textId="2FA6B2B0">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r>
      <w:r w:rsidRPr="00197114">
        <w:rPr>
          <w:sz w:val="24"/>
          <w:lang w:val="el-GR"/>
        </w:rPr>
        <w:t>Eurostat</w:t>
      </w:r>
      <w:r w:rsidRPr="00197114">
        <w:rPr>
          <w:sz w:val="24"/>
          <w:lang w:val="el-GR"/>
        </w:rPr>
        <w:t xml:space="preserve">, Migration and </w:t>
      </w:r>
      <w:r w:rsidRPr="00197114">
        <w:rPr>
          <w:sz w:val="24"/>
          <w:lang w:val="el-GR"/>
        </w:rPr>
        <w:t>asylum</w:t>
      </w:r>
      <w:r w:rsidRPr="00197114">
        <w:rPr>
          <w:sz w:val="24"/>
          <w:lang w:val="el-GR"/>
        </w:rPr>
        <w:t xml:space="preserve"> in Europe — 2025 </w:t>
      </w:r>
      <w:r w:rsidRPr="00197114">
        <w:rPr>
          <w:sz w:val="24"/>
          <w:lang w:val="el-GR"/>
        </w:rPr>
        <w:t>edition</w:t>
      </w:r>
      <w:r w:rsidRPr="00197114">
        <w:rPr>
          <w:sz w:val="24"/>
          <w:lang w:val="el-GR"/>
        </w:rPr>
        <w:t xml:space="preserve">, </w:t>
      </w:r>
      <w:r w:rsidRPr="00197114">
        <w:rPr>
          <w:sz w:val="24"/>
          <w:lang w:val="el-GR"/>
        </w:rPr>
        <w:t>irregular</w:t>
      </w:r>
      <w:r w:rsidRPr="00197114">
        <w:rPr>
          <w:sz w:val="24"/>
          <w:lang w:val="el-GR"/>
        </w:rPr>
        <w:t xml:space="preserve"> </w:t>
      </w:r>
      <w:r w:rsidRPr="00197114">
        <w:rPr>
          <w:sz w:val="24"/>
          <w:lang w:val="el-GR"/>
        </w:rPr>
        <w:t>migration</w:t>
      </w:r>
      <w:r w:rsidRPr="00197114">
        <w:rPr>
          <w:sz w:val="24"/>
          <w:lang w:val="el-GR"/>
        </w:rPr>
        <w:t xml:space="preserve"> and </w:t>
      </w:r>
      <w:r w:rsidRPr="00197114">
        <w:rPr>
          <w:sz w:val="24"/>
          <w:lang w:val="el-GR"/>
        </w:rPr>
        <w:t>return</w:t>
      </w:r>
      <w:r w:rsidRPr="00197114">
        <w:rPr>
          <w:sz w:val="24"/>
          <w:lang w:val="el-GR"/>
        </w:rPr>
        <w:t xml:space="preserve"> (Μετανάστευση και άσυλο στην Ευρώπη — έκδοση 2025, παράτυπη μετανάστευση και επιστροφή), </w:t>
      </w:r>
      <w:hyperlink r:id="rId9" w:anchor="irregular-migration-and-return" w:tgtFrame="https://ec.europa.eu/eurostat/web/interactive-publications/migration-2025#irregular-migration-and-return" w:history="1">
        <w:r w:rsidRPr="00197114">
          <w:rPr>
            <w:rStyle w:val="Hyperlink"/>
            <w:sz w:val="24"/>
            <w:lang w:val="el-GR"/>
          </w:rPr>
          <w:t>https://ec.europa.eu/eurostat/web/interactive-publications/migration-2025#irregular-migration-and-return</w:t>
        </w:r>
      </w:hyperlink>
      <w:r w:rsidRPr="00197114">
        <w:rPr>
          <w:sz w:val="24"/>
          <w:lang w:val="el-GR"/>
        </w:rPr>
        <w:t>.</w:t>
      </w:r>
    </w:p>
  </w:footnote>
  <w:footnote w:id="13">
    <w:p w:rsidR="00DD4E4B" w:rsidRPr="00197114" w:rsidP="00197114" w14:paraId="0ECAADB2" w14:textId="097D7F3C">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r>
      <w:r w:rsidRPr="00197114">
        <w:rPr>
          <w:sz w:val="24"/>
          <w:lang w:val="el-GR"/>
        </w:rPr>
        <w:t>Eurostat</w:t>
      </w:r>
      <w:r w:rsidRPr="00197114">
        <w:rPr>
          <w:sz w:val="24"/>
          <w:lang w:val="el-GR"/>
        </w:rPr>
        <w:t xml:space="preserve">, Migration and </w:t>
      </w:r>
      <w:r w:rsidRPr="00197114">
        <w:rPr>
          <w:sz w:val="24"/>
          <w:lang w:val="el-GR"/>
        </w:rPr>
        <w:t>asylum</w:t>
      </w:r>
      <w:r w:rsidRPr="00197114">
        <w:rPr>
          <w:sz w:val="24"/>
          <w:lang w:val="el-GR"/>
        </w:rPr>
        <w:t xml:space="preserve"> in Europe — 2025 </w:t>
      </w:r>
      <w:r w:rsidRPr="00197114">
        <w:rPr>
          <w:sz w:val="24"/>
          <w:lang w:val="el-GR"/>
        </w:rPr>
        <w:t>edition</w:t>
      </w:r>
      <w:r w:rsidRPr="00197114">
        <w:rPr>
          <w:sz w:val="24"/>
          <w:lang w:val="el-GR"/>
        </w:rPr>
        <w:t xml:space="preserve">, </w:t>
      </w:r>
      <w:r w:rsidRPr="00197114">
        <w:rPr>
          <w:sz w:val="24"/>
          <w:lang w:val="el-GR"/>
        </w:rPr>
        <w:t>Orders</w:t>
      </w:r>
      <w:r w:rsidRPr="00197114">
        <w:rPr>
          <w:sz w:val="24"/>
          <w:lang w:val="el-GR"/>
        </w:rPr>
        <w:t xml:space="preserve"> </w:t>
      </w:r>
      <w:r w:rsidRPr="00197114">
        <w:rPr>
          <w:sz w:val="24"/>
          <w:lang w:val="el-GR"/>
        </w:rPr>
        <w:t>to</w:t>
      </w:r>
      <w:r w:rsidRPr="00197114">
        <w:rPr>
          <w:sz w:val="24"/>
          <w:lang w:val="el-GR"/>
        </w:rPr>
        <w:t xml:space="preserve"> </w:t>
      </w:r>
      <w:r w:rsidRPr="00197114">
        <w:rPr>
          <w:sz w:val="24"/>
          <w:lang w:val="el-GR"/>
        </w:rPr>
        <w:t>leave</w:t>
      </w:r>
      <w:r w:rsidRPr="00197114">
        <w:rPr>
          <w:sz w:val="24"/>
          <w:lang w:val="el-GR"/>
        </w:rPr>
        <w:t xml:space="preserve"> and </w:t>
      </w:r>
      <w:r w:rsidRPr="00197114">
        <w:rPr>
          <w:sz w:val="24"/>
          <w:lang w:val="el-GR"/>
        </w:rPr>
        <w:t>returns</w:t>
      </w:r>
      <w:r w:rsidRPr="00197114">
        <w:rPr>
          <w:sz w:val="24"/>
          <w:lang w:val="el-GR"/>
        </w:rPr>
        <w:t xml:space="preserve"> (Μετανάστευση και άσυλο στην Ευρώπη — έκδοση 2025, Διαταγές εγκατάλειψης της χώρας και επιστροφής), </w:t>
      </w:r>
      <w:hyperlink r:id="rId9" w:anchor="orders-to-leave-and-returns-of-non-eu-citizens" w:tgtFrame="https://ec.europa.eu/eurostat/web/interactive-publications/migration-2025#orders-to-leave-and-returns-of-non-eu-citizens" w:history="1">
        <w:r w:rsidRPr="00197114">
          <w:rPr>
            <w:rStyle w:val="Hyperlink"/>
            <w:sz w:val="24"/>
            <w:lang w:val="el-GR"/>
          </w:rPr>
          <w:t>https://ec.europa.eu/eurostat/web/interactive-publications/migration-2025#orders-to-leave-and-returns-of-non-eu-citizens</w:t>
        </w:r>
      </w:hyperlink>
      <w:r w:rsidRPr="00197114">
        <w:rPr>
          <w:sz w:val="24"/>
          <w:lang w:val="el-GR"/>
        </w:rPr>
        <w:t>.</w:t>
      </w:r>
    </w:p>
  </w:footnote>
  <w:footnote w:id="14">
    <w:p w:rsidR="00DD4E4B" w:rsidRPr="00197114" w:rsidP="00197114" w14:paraId="6CE5CB40" w14:textId="66C3E639">
      <w:pPr>
        <w:pStyle w:val="FootnoteText"/>
        <w:ind w:left="567" w:hanging="567"/>
        <w:rPr>
          <w:sz w:val="24"/>
          <w:lang w:val="el-GR"/>
        </w:rPr>
      </w:pPr>
      <w:r>
        <w:rPr>
          <w:rStyle w:val="FootnoteReference"/>
        </w:rPr>
        <w:footnoteRef/>
      </w:r>
      <w:r w:rsidRPr="00197114">
        <w:rPr>
          <w:sz w:val="24"/>
          <w:lang w:val="el-GR"/>
        </w:rPr>
        <w:t xml:space="preserve"> </w:t>
      </w:r>
      <w:r w:rsidRPr="00197114">
        <w:rPr>
          <w:sz w:val="24"/>
          <w:lang w:val="el-GR"/>
        </w:rPr>
        <w:tab/>
      </w:r>
      <w:hyperlink r:id="rId10" w:tgtFrame="https://www.unhcr.org/about-unhcr/overview/figures-glance" w:history="1">
        <w:r w:rsidRPr="00197114">
          <w:rPr>
            <w:rStyle w:val="Hyperlink"/>
            <w:sz w:val="24"/>
            <w:lang w:val="el-GR"/>
          </w:rPr>
          <w:t>https://www.unhcr.org/about-unhcr/overview/figures-glance</w:t>
        </w:r>
      </w:hyperlink>
      <w:r w:rsidRPr="0019711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114" w14:paraId="33E031C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114" w14:paraId="26DC10F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114" w14:paraId="1A0170C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FD520F4"/>
    <w:multiLevelType w:val="hybridMultilevel"/>
    <w:tmpl w:val="CEB6D8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D9108F4"/>
    <w:multiLevelType w:val="hybridMultilevel"/>
    <w:tmpl w:val="68ECC5A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BA63004"/>
    <w:multiLevelType w:val="hybridMultilevel"/>
    <w:tmpl w:val="9F2ABD98"/>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6070383">
    <w:abstractNumId w:val="9"/>
  </w:num>
  <w:num w:numId="2" w16cid:durableId="107242535">
    <w:abstractNumId w:val="9"/>
  </w:num>
  <w:num w:numId="3" w16cid:durableId="102849560">
    <w:abstractNumId w:val="7"/>
  </w:num>
  <w:num w:numId="4" w16cid:durableId="115024579">
    <w:abstractNumId w:val="7"/>
  </w:num>
  <w:num w:numId="5" w16cid:durableId="1977680692">
    <w:abstractNumId w:val="6"/>
  </w:num>
  <w:num w:numId="6" w16cid:durableId="1093429644">
    <w:abstractNumId w:val="6"/>
  </w:num>
  <w:num w:numId="7" w16cid:durableId="144585826">
    <w:abstractNumId w:val="5"/>
  </w:num>
  <w:num w:numId="8" w16cid:durableId="1359503091">
    <w:abstractNumId w:val="5"/>
  </w:num>
  <w:num w:numId="9" w16cid:durableId="7365895">
    <w:abstractNumId w:val="4"/>
  </w:num>
  <w:num w:numId="10" w16cid:durableId="724839361">
    <w:abstractNumId w:val="4"/>
  </w:num>
  <w:num w:numId="11" w16cid:durableId="1370182107">
    <w:abstractNumId w:val="8"/>
  </w:num>
  <w:num w:numId="12" w16cid:durableId="47727961">
    <w:abstractNumId w:val="8"/>
  </w:num>
  <w:num w:numId="13" w16cid:durableId="929313229">
    <w:abstractNumId w:val="3"/>
  </w:num>
  <w:num w:numId="14" w16cid:durableId="1444960899">
    <w:abstractNumId w:val="3"/>
  </w:num>
  <w:num w:numId="15" w16cid:durableId="2101246341">
    <w:abstractNumId w:val="2"/>
  </w:num>
  <w:num w:numId="16" w16cid:durableId="683744646">
    <w:abstractNumId w:val="2"/>
  </w:num>
  <w:num w:numId="17" w16cid:durableId="283581133">
    <w:abstractNumId w:val="1"/>
  </w:num>
  <w:num w:numId="18" w16cid:durableId="1466239280">
    <w:abstractNumId w:val="1"/>
  </w:num>
  <w:num w:numId="19" w16cid:durableId="1670474764">
    <w:abstractNumId w:val="0"/>
  </w:num>
  <w:num w:numId="20" w16cid:durableId="1329820134">
    <w:abstractNumId w:val="0"/>
  </w:num>
  <w:num w:numId="21" w16cid:durableId="752556506">
    <w:abstractNumId w:val="9"/>
  </w:num>
  <w:num w:numId="22" w16cid:durableId="55512744">
    <w:abstractNumId w:val="7"/>
  </w:num>
  <w:num w:numId="23" w16cid:durableId="961420776">
    <w:abstractNumId w:val="6"/>
  </w:num>
  <w:num w:numId="24" w16cid:durableId="1118983748">
    <w:abstractNumId w:val="5"/>
  </w:num>
  <w:num w:numId="25" w16cid:durableId="1345669236">
    <w:abstractNumId w:val="4"/>
  </w:num>
  <w:num w:numId="26" w16cid:durableId="2071341817">
    <w:abstractNumId w:val="8"/>
  </w:num>
  <w:num w:numId="27" w16cid:durableId="297299866">
    <w:abstractNumId w:val="3"/>
  </w:num>
  <w:num w:numId="28" w16cid:durableId="1845976257">
    <w:abstractNumId w:val="2"/>
  </w:num>
  <w:num w:numId="29" w16cid:durableId="1429430003">
    <w:abstractNumId w:val="1"/>
  </w:num>
  <w:num w:numId="30" w16cid:durableId="1189416688">
    <w:abstractNumId w:val="0"/>
  </w:num>
  <w:num w:numId="31" w16cid:durableId="1559317393">
    <w:abstractNumId w:val="9"/>
  </w:num>
  <w:num w:numId="32" w16cid:durableId="2039772247">
    <w:abstractNumId w:val="7"/>
  </w:num>
  <w:num w:numId="33" w16cid:durableId="840436511">
    <w:abstractNumId w:val="6"/>
  </w:num>
  <w:num w:numId="34" w16cid:durableId="1776486706">
    <w:abstractNumId w:val="5"/>
  </w:num>
  <w:num w:numId="35" w16cid:durableId="435558536">
    <w:abstractNumId w:val="4"/>
  </w:num>
  <w:num w:numId="36" w16cid:durableId="182668925">
    <w:abstractNumId w:val="8"/>
  </w:num>
  <w:num w:numId="37" w16cid:durableId="70856646">
    <w:abstractNumId w:val="3"/>
  </w:num>
  <w:num w:numId="38" w16cid:durableId="1842430945">
    <w:abstractNumId w:val="2"/>
  </w:num>
  <w:num w:numId="39" w16cid:durableId="323750985">
    <w:abstractNumId w:val="1"/>
  </w:num>
  <w:num w:numId="40" w16cid:durableId="1126198035">
    <w:abstractNumId w:val="0"/>
  </w:num>
  <w:num w:numId="41" w16cid:durableId="640429076">
    <w:abstractNumId w:val="10"/>
  </w:num>
  <w:num w:numId="42" w16cid:durableId="1135027174">
    <w:abstractNumId w:val="10"/>
  </w:num>
  <w:num w:numId="43" w16cid:durableId="1383401596">
    <w:abstractNumId w:val="10"/>
  </w:num>
  <w:num w:numId="44" w16cid:durableId="1068653346">
    <w:abstractNumId w:val="14"/>
  </w:num>
  <w:num w:numId="45" w16cid:durableId="394819355">
    <w:abstractNumId w:val="11"/>
  </w:num>
  <w:num w:numId="46" w16cid:durableId="904074463">
    <w:abstractNumId w:val="13"/>
  </w:num>
  <w:num w:numId="47" w16cid:durableId="9434222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75F"/>
    <w:rsid w:val="00002272"/>
    <w:rsid w:val="00011D3B"/>
    <w:rsid w:val="00022DB6"/>
    <w:rsid w:val="00064002"/>
    <w:rsid w:val="000677B9"/>
    <w:rsid w:val="000831BA"/>
    <w:rsid w:val="000A42CC"/>
    <w:rsid w:val="000E7DD9"/>
    <w:rsid w:val="0010095E"/>
    <w:rsid w:val="00125B37"/>
    <w:rsid w:val="0017435D"/>
    <w:rsid w:val="00187494"/>
    <w:rsid w:val="00197114"/>
    <w:rsid w:val="001F32AE"/>
    <w:rsid w:val="002767FF"/>
    <w:rsid w:val="002B18FE"/>
    <w:rsid w:val="002B5493"/>
    <w:rsid w:val="00305F0F"/>
    <w:rsid w:val="003263B7"/>
    <w:rsid w:val="00343214"/>
    <w:rsid w:val="00361C00"/>
    <w:rsid w:val="00395FA1"/>
    <w:rsid w:val="003E15D4"/>
    <w:rsid w:val="00411CCE"/>
    <w:rsid w:val="0041666E"/>
    <w:rsid w:val="00421060"/>
    <w:rsid w:val="00471C19"/>
    <w:rsid w:val="004867E3"/>
    <w:rsid w:val="00494A28"/>
    <w:rsid w:val="004C0004"/>
    <w:rsid w:val="004C5D52"/>
    <w:rsid w:val="005022F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830"/>
    <w:rsid w:val="007A714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75F"/>
    <w:rsid w:val="00AB441E"/>
    <w:rsid w:val="00AB6293"/>
    <w:rsid w:val="00AC57D5"/>
    <w:rsid w:val="00AE0928"/>
    <w:rsid w:val="00AF23E3"/>
    <w:rsid w:val="00AF3B82"/>
    <w:rsid w:val="00B12E95"/>
    <w:rsid w:val="00B22876"/>
    <w:rsid w:val="00B558F0"/>
    <w:rsid w:val="00B6368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E4B"/>
    <w:rsid w:val="00E365E1"/>
    <w:rsid w:val="00E820A4"/>
    <w:rsid w:val="00EB006A"/>
    <w:rsid w:val="00EB4772"/>
    <w:rsid w:val="00ED169E"/>
    <w:rsid w:val="00ED4235"/>
    <w:rsid w:val="00F04346"/>
    <w:rsid w:val="00F075DC"/>
    <w:rsid w:val="00F149E9"/>
    <w:rsid w:val="00F5134D"/>
    <w:rsid w:val="00F74202"/>
    <w:rsid w:val="00F87713"/>
    <w:rsid w:val="00FB4360"/>
    <w:rsid w:val="00FD0C35"/>
    <w:rsid w:val="00FD0C70"/>
  </w:rsids>
  <w:docVars>
    <w:docVar w:name="dvdocse" w:val="A10-0147/2026"/>
    <w:docVar w:name="dvlangue" w:val="EL"/>
    <w:docVar w:name="dvnumam" w:val="0"/>
    <w:docVar w:name="dvpe" w:val="776.883"/>
    <w:docVar w:name="dvrapporteur" w:val="Εισηγητής: "/>
    <w:docVar w:name="dvtitre" w:val="Ψήφισμα του Ευρωπαϊκού Κοινοβουλίου της ... 2026 σχετικά με την ενίσχυση της αναπτυξιακής συνεργασίας για την αντιμετώπιση των παράτυπων μετακινήσεων πληθυσμών και των βαθύτερων αιτίων τους στις χώρες εταίρους(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8833EB"/>
  <w15:chartTrackingRefBased/>
  <w15:docId w15:val="{6E752EBD-DAC7-4DA1-9545-B917E6613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F23E3"/>
    <w:pPr>
      <w:widowControl/>
      <w:spacing w:after="240"/>
    </w:pPr>
    <w:rPr>
      <w:szCs w:val="24"/>
      <w:lang w:eastAsia="en-US"/>
    </w:rPr>
  </w:style>
  <w:style w:type="paragraph" w:customStyle="1" w:styleId="NormalHanging12a">
    <w:name w:val="NormalHanging12a"/>
    <w:basedOn w:val="Normal"/>
    <w:rsid w:val="00AF23E3"/>
    <w:pPr>
      <w:widowControl/>
      <w:spacing w:after="240"/>
      <w:ind w:left="566" w:hanging="566"/>
    </w:pPr>
    <w:rPr>
      <w:szCs w:val="24"/>
      <w:lang w:eastAsia="en-US"/>
    </w:rPr>
  </w:style>
  <w:style w:type="paragraph" w:customStyle="1" w:styleId="Normal12">
    <w:name w:val="Normal12"/>
    <w:basedOn w:val="Normal"/>
    <w:rsid w:val="00AF23E3"/>
    <w:pPr>
      <w:spacing w:after="240"/>
    </w:pPr>
    <w:rPr>
      <w:szCs w:val="24"/>
      <w:lang w:eastAsia="en-US"/>
    </w:rPr>
  </w:style>
  <w:style w:type="paragraph" w:customStyle="1" w:styleId="NormalHanging">
    <w:name w:val="NormalHanging"/>
    <w:basedOn w:val="Normal"/>
    <w:rsid w:val="00AF23E3"/>
    <w:pPr>
      <w:spacing w:after="240"/>
      <w:ind w:left="566" w:hanging="566"/>
    </w:pPr>
    <w:rPr>
      <w:szCs w:val="24"/>
      <w:lang w:eastAsia="en-US"/>
    </w:rPr>
  </w:style>
  <w:style w:type="paragraph" w:customStyle="1" w:styleId="NormalCenter12a">
    <w:name w:val="NormalCenter12a"/>
    <w:basedOn w:val="Normal"/>
    <w:rsid w:val="00AF23E3"/>
    <w:pPr>
      <w:widowControl/>
      <w:spacing w:after="240"/>
      <w:jc w:val="center"/>
    </w:pPr>
    <w:rPr>
      <w:szCs w:val="24"/>
      <w:lang w:eastAsia="en-US"/>
    </w:rPr>
  </w:style>
  <w:style w:type="character" w:styleId="Hyperlink">
    <w:name w:val="Hyperlink"/>
    <w:basedOn w:val="DefaultParagraphFont"/>
    <w:rsid w:val="00AF23E3"/>
    <w:rPr>
      <w:color w:val="0000FF"/>
      <w:u w:val="single"/>
    </w:rPr>
  </w:style>
  <w:style w:type="paragraph" w:styleId="Revision">
    <w:name w:val="Revision"/>
    <w:hidden/>
    <w:uiPriority w:val="99"/>
    <w:semiHidden/>
    <w:rsid w:val="00DD4E4B"/>
    <w:rPr>
      <w:sz w:val="24"/>
      <w:lang w:val="el-GR"/>
    </w:rPr>
  </w:style>
  <w:style w:type="character" w:styleId="UnresolvedMention">
    <w:name w:val="Unresolved Mention"/>
    <w:basedOn w:val="DefaultParagraphFont"/>
    <w:uiPriority w:val="99"/>
    <w:semiHidden/>
    <w:unhideWhenUsed/>
    <w:rsid w:val="00502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5454</Words>
  <Characters>33186</Characters>
  <Application>Microsoft Office Word</Application>
  <DocSecurity>0</DocSecurity>
  <Lines>663</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2026-07-22T06:05:00Z</dcterms:created>
  <dcterms:modified xsi:type="dcterms:W3CDTF">2026-07-22T06:05:00Z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A10-0147/2026</vt:lpwstr>
  </property>
  <property fmtid="{D5CDD505-2E9C-101B-9397-08002B2CF9AE}" pid="4" name="&lt;Type&gt;">
    <vt:lpwstr>RR</vt:lpwstr>
  </property>
</Properties>
</file>