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D8E139" w14:textId="77777777" w:rsidTr="0010095E">
        <w:tblPrEx>
          <w:tblW w:w="9072" w:type="dxa"/>
          <w:tblLook w:val="01E0"/>
        </w:tblPrEx>
        <w:trPr>
          <w:trHeight w:hRule="exact" w:val="1418"/>
        </w:trPr>
        <w:tc>
          <w:tcPr>
            <w:tcW w:w="6804" w:type="dxa"/>
            <w:shd w:val="clear" w:color="auto" w:fill="auto"/>
            <w:vAlign w:val="center"/>
          </w:tcPr>
          <w:p w:rsidR="00751A4A" w:rsidRPr="009033ED" w:rsidP="00350A1B" w14:paraId="610D04EE" w14:textId="77777777">
            <w:pPr>
              <w:pStyle w:val="EPName"/>
              <w:widowControl/>
            </w:pPr>
            <w:r w:rsidRPr="009033ED">
              <w:t>Euroopan parlamentti</w:t>
            </w:r>
          </w:p>
          <w:p w:rsidR="00751A4A" w:rsidRPr="009033ED" w:rsidP="00350A1B" w14:paraId="4B831479" w14:textId="77777777">
            <w:pPr>
              <w:pStyle w:val="EPTerm"/>
              <w:widowControl/>
              <w:rPr>
                <w:rStyle w:val="HideTWBExt"/>
                <w:noProof w:val="0"/>
                <w:vanish w:val="0"/>
                <w:color w:val="auto"/>
              </w:rPr>
            </w:pPr>
            <w:r w:rsidRPr="009033ED">
              <w:t>2024</w:t>
            </w:r>
            <w:r w:rsidRPr="009033ED" w:rsidR="00817416">
              <w:t>-202</w:t>
            </w:r>
            <w:r w:rsidRPr="009033ED">
              <w:t>9</w:t>
            </w:r>
          </w:p>
        </w:tc>
        <w:tc>
          <w:tcPr>
            <w:tcW w:w="2268" w:type="dxa"/>
            <w:shd w:val="clear" w:color="auto" w:fill="auto"/>
          </w:tcPr>
          <w:p w:rsidR="00751A4A" w:rsidRPr="009033ED" w:rsidP="00350A1B" w14:paraId="7EB54304" w14:textId="77777777">
            <w:pPr>
              <w:pStyle w:val="EPLogo"/>
              <w:widowControl/>
            </w:pPr>
            <w:r w:rsidRPr="009033E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033ED" w:rsidP="00350A1B" w14:paraId="3D45096B" w14:textId="77777777">
      <w:pPr>
        <w:pStyle w:val="LineTop"/>
        <w:widowControl/>
      </w:pPr>
    </w:p>
    <w:p w:rsidR="00680577" w:rsidRPr="009033ED" w:rsidP="00350A1B" w14:paraId="1C87332D" w14:textId="77777777">
      <w:pPr>
        <w:pStyle w:val="EPBodyTA1"/>
        <w:widowControl/>
      </w:pPr>
      <w:r w:rsidRPr="009033ED">
        <w:t>HYVÄKSYTYT TEKSTIT</w:t>
      </w:r>
    </w:p>
    <w:p w:rsidR="00D058B8" w:rsidRPr="009033ED" w:rsidP="00350A1B" w14:paraId="09C30F01" w14:textId="77777777">
      <w:pPr>
        <w:pStyle w:val="LineBottom"/>
        <w:widowControl/>
      </w:pPr>
    </w:p>
    <w:p w:rsidR="00B07912" w:rsidRPr="009033ED" w:rsidP="00350A1B" w14:paraId="1B23620C" w14:textId="1BD3FAB0">
      <w:pPr>
        <w:pStyle w:val="ATHeading1"/>
      </w:pPr>
      <w:bookmarkStart w:id="0" w:name="TANumber"/>
      <w:r w:rsidRPr="009033ED">
        <w:t>P10_TA(2026)0</w:t>
      </w:r>
      <w:r w:rsidR="003243D0">
        <w:t>205</w:t>
      </w:r>
      <w:bookmarkEnd w:id="0"/>
    </w:p>
    <w:p w:rsidR="00B07912" w:rsidRPr="009033ED" w:rsidP="00350A1B" w14:paraId="3775212E" w14:textId="77777777">
      <w:pPr>
        <w:pStyle w:val="ATHeading2"/>
      </w:pPr>
      <w:bookmarkStart w:id="1" w:name="title"/>
      <w:r w:rsidRPr="009033ED">
        <w:t>Kehitysyhteistyön vahvistaminen laittomaan muuttoliikkeeseen ja sen perimmäisiin syihin puuttumiseksi kumppanimaissa</w:t>
      </w:r>
      <w:bookmarkEnd w:id="1"/>
    </w:p>
    <w:p w:rsidR="00B07912" w:rsidRPr="009033ED" w:rsidP="00350A1B" w14:paraId="2386ABBE" w14:textId="77777777">
      <w:pPr>
        <w:widowControl/>
        <w:rPr>
          <w:i/>
          <w:vanish/>
        </w:rPr>
      </w:pPr>
      <w:r>
        <w:rPr>
          <w:i/>
        </w:rPr>
        <w:fldChar w:fldCharType="begin"/>
      </w:r>
      <w:r w:rsidRPr="009033ED">
        <w:rPr>
          <w:i/>
        </w:rPr>
        <w:instrText xml:space="preserve"> TC"(</w:instrText>
      </w:r>
      <w:bookmarkStart w:id="2" w:name="DocNumber"/>
      <w:r w:rsidRPr="009033ED">
        <w:rPr>
          <w:i/>
        </w:rPr>
        <w:instrText>A10-0147/2026</w:instrText>
      </w:r>
      <w:bookmarkEnd w:id="2"/>
      <w:r w:rsidRPr="009033ED">
        <w:rPr>
          <w:i/>
        </w:rPr>
        <w:instrText xml:space="preserve"> - Esittelijä: Lukas Mandl)"\l3 \n&gt; \* MERGEFORMAT </w:instrText>
      </w:r>
      <w:r>
        <w:rPr>
          <w:i/>
        </w:rPr>
        <w:fldChar w:fldCharType="end"/>
      </w:r>
    </w:p>
    <w:p w:rsidR="00B07912" w:rsidRPr="009033ED" w:rsidP="00350A1B" w14:paraId="00775D30" w14:textId="77777777">
      <w:pPr>
        <w:widowControl/>
        <w:rPr>
          <w:vanish/>
        </w:rPr>
      </w:pPr>
      <w:bookmarkStart w:id="3" w:name="Commission"/>
      <w:r w:rsidRPr="009033ED">
        <w:rPr>
          <w:vanish/>
        </w:rPr>
        <w:t>Kehitysvaliokunta</w:t>
      </w:r>
      <w:bookmarkEnd w:id="3"/>
    </w:p>
    <w:p w:rsidR="00B07912" w:rsidRPr="009033ED" w:rsidP="00350A1B" w14:paraId="7E3EA0A6" w14:textId="77777777">
      <w:pPr>
        <w:widowControl/>
        <w:rPr>
          <w:vanish/>
        </w:rPr>
      </w:pPr>
      <w:bookmarkStart w:id="4" w:name="PE"/>
      <w:r w:rsidRPr="009033ED">
        <w:rPr>
          <w:vanish/>
        </w:rPr>
        <w:t>PE776.883</w:t>
      </w:r>
      <w:bookmarkEnd w:id="4"/>
    </w:p>
    <w:p w:rsidR="00B07912" w:rsidRPr="009033ED" w:rsidP="00350A1B" w14:paraId="43A5F292" w14:textId="590273C2">
      <w:pPr>
        <w:pStyle w:val="ATHeading3"/>
      </w:pPr>
      <w:bookmarkStart w:id="5" w:name="Sujet"/>
      <w:r w:rsidRPr="009033ED">
        <w:t xml:space="preserve">Euroopan parlamentin päätöslauselma </w:t>
      </w:r>
      <w:r w:rsidRPr="009033ED" w:rsidR="002B0EF6">
        <w:t>16</w:t>
      </w:r>
      <w:r w:rsidRPr="009033ED">
        <w:t>. kesäkuuta 2026 kehitysyhteistyön vahvistamisesta laittomaan muuttoliikkeeseen ja sen perimmäisiin syihin puuttumiseksi kumppanimaissa</w:t>
      </w:r>
      <w:bookmarkEnd w:id="5"/>
      <w:r w:rsidRPr="009033ED">
        <w:t xml:space="preserve"> </w:t>
      </w:r>
      <w:bookmarkStart w:id="6" w:name="References"/>
      <w:r w:rsidRPr="009033ED">
        <w:t>(2025/2111(INI))</w:t>
      </w:r>
      <w:bookmarkEnd w:id="6"/>
    </w:p>
    <w:p w:rsidR="00E372DD" w:rsidRPr="009033ED" w:rsidP="00350A1B" w14:paraId="2C0EDBFB" w14:textId="77777777">
      <w:pPr>
        <w:pStyle w:val="Normal12"/>
        <w:widowControl/>
      </w:pPr>
      <w:r w:rsidRPr="009033ED">
        <w:rPr>
          <w:i/>
        </w:rPr>
        <w:t>Euroopan parlamentti</w:t>
      </w:r>
      <w:r w:rsidRPr="009033ED">
        <w:t>, joka</w:t>
      </w:r>
    </w:p>
    <w:p w:rsidR="00E372DD" w:rsidRPr="009033ED" w:rsidP="00350A1B" w14:paraId="5119F337" w14:textId="77777777">
      <w:pPr>
        <w:pStyle w:val="NormalHanging"/>
        <w:widowControl/>
      </w:pPr>
      <w:r w:rsidRPr="009033ED">
        <w:t>–</w:t>
      </w:r>
      <w:r w:rsidRPr="009033ED">
        <w:tab/>
        <w:t>ottaa huomioon Euroopan unionin toiminnasta tehdyn sopimuksen (SEUT) 79 ja 208 artiklan,</w:t>
      </w:r>
    </w:p>
    <w:p w:rsidR="00E372DD" w:rsidRPr="009033ED" w:rsidP="00350A1B" w14:paraId="6B94664F" w14:textId="77777777">
      <w:pPr>
        <w:pStyle w:val="NormalHanging"/>
        <w:widowControl/>
      </w:pPr>
      <w:r w:rsidRPr="009033ED">
        <w:t>–</w:t>
      </w:r>
      <w:r w:rsidRPr="009033ED">
        <w:tab/>
        <w:t>ottaa huomioon Euroopan unionista tehdyn sopimuksen (SEU) 3 artiklan 5 kohdan ja 21 artiklan,</w:t>
      </w:r>
    </w:p>
    <w:p w:rsidR="00E372DD" w:rsidRPr="009033ED" w:rsidP="00350A1B" w14:paraId="3725E307" w14:textId="77777777">
      <w:pPr>
        <w:pStyle w:val="NormalHanging"/>
        <w:widowControl/>
      </w:pPr>
      <w:r w:rsidRPr="009033ED">
        <w:t>–</w:t>
      </w:r>
      <w:r w:rsidRPr="009033ED">
        <w:tab/>
        <w:t>ottaa huomioon 30. kesäkuuta 2021 annetun komission yksiköiden valmisteluasiakirjan ”</w:t>
      </w:r>
      <w:r w:rsidRPr="009033ED">
        <w:t>Applying</w:t>
      </w:r>
      <w:r w:rsidRPr="009033ED">
        <w:t xml:space="preserve"> </w:t>
      </w:r>
      <w:r w:rsidRPr="009033ED">
        <w:t>the</w:t>
      </w:r>
      <w:r w:rsidRPr="009033ED">
        <w:t xml:space="preserve"> Human Rights </w:t>
      </w:r>
      <w:r w:rsidRPr="009033ED">
        <w:t>Based</w:t>
      </w:r>
      <w:r w:rsidRPr="009033ED">
        <w:t xml:space="preserve"> </w:t>
      </w:r>
      <w:r w:rsidRPr="009033ED">
        <w:t>Approach</w:t>
      </w:r>
      <w:r w:rsidRPr="009033ED">
        <w:t xml:space="preserve"> to </w:t>
      </w:r>
      <w:r w:rsidRPr="009033ED">
        <w:t>international</w:t>
      </w:r>
      <w:r w:rsidRPr="009033ED">
        <w:t xml:space="preserve"> </w:t>
      </w:r>
      <w:r w:rsidRPr="009033ED">
        <w:t>partnerships</w:t>
      </w:r>
      <w:r w:rsidRPr="009033ED">
        <w:t xml:space="preserve"> – An </w:t>
      </w:r>
      <w:r w:rsidRPr="009033ED">
        <w:t>updated</w:t>
      </w:r>
      <w:r w:rsidRPr="009033ED">
        <w:t xml:space="preserve"> </w:t>
      </w:r>
      <w:r w:rsidRPr="009033ED">
        <w:t>Toolbox</w:t>
      </w:r>
      <w:r w:rsidRPr="009033ED">
        <w:t xml:space="preserve"> for </w:t>
      </w:r>
      <w:r w:rsidRPr="009033ED">
        <w:t>placing</w:t>
      </w:r>
      <w:r w:rsidRPr="009033ED">
        <w:t xml:space="preserve"> </w:t>
      </w:r>
      <w:r w:rsidRPr="009033ED">
        <w:t>rights-holders</w:t>
      </w:r>
      <w:r w:rsidRPr="009033ED">
        <w:t xml:space="preserve"> at </w:t>
      </w:r>
      <w:r w:rsidRPr="009033ED">
        <w:t>the</w:t>
      </w:r>
      <w:r w:rsidRPr="009033ED">
        <w:t xml:space="preserve"> </w:t>
      </w:r>
      <w:r w:rsidRPr="009033ED">
        <w:t>centre</w:t>
      </w:r>
      <w:r w:rsidRPr="009033ED">
        <w:t xml:space="preserve"> of </w:t>
      </w:r>
      <w:r w:rsidRPr="009033ED">
        <w:t>EU’s</w:t>
      </w:r>
      <w:r w:rsidRPr="009033ED">
        <w:t xml:space="preserve"> </w:t>
      </w:r>
      <w:r w:rsidRPr="009033ED">
        <w:t>Neighbourhood</w:t>
      </w:r>
      <w:r w:rsidRPr="009033ED">
        <w:t xml:space="preserve">, </w:t>
      </w:r>
      <w:r w:rsidRPr="009033ED">
        <w:t>Development</w:t>
      </w:r>
      <w:r w:rsidRPr="009033ED">
        <w:t xml:space="preserve"> and International </w:t>
      </w:r>
      <w:r w:rsidRPr="009033ED">
        <w:t>Cooperation</w:t>
      </w:r>
      <w:r w:rsidRPr="009033ED">
        <w:t>” (SWD(2021)0179),</w:t>
      </w:r>
    </w:p>
    <w:p w:rsidR="00E372DD" w:rsidRPr="009033ED" w:rsidP="00350A1B" w14:paraId="438366F9" w14:textId="6F505E77">
      <w:pPr>
        <w:pStyle w:val="NormalHanging"/>
        <w:widowControl/>
      </w:pPr>
      <w:r w:rsidRPr="009033ED">
        <w:t>–</w:t>
      </w:r>
      <w:r w:rsidRPr="009033ED">
        <w:tab/>
        <w:t>ottaa huomioon naapuruus-, kehitys- ja kansainvälisen yhteistyön välineen – Globaali Eurooppa perustamisesta 9. kesäkuuta 2021 annetun Euroopan parlamentin ja neuvoston asetuksen (EU) 2021/947</w:t>
      </w:r>
      <w:r>
        <w:rPr>
          <w:rStyle w:val="FootnoteReference"/>
        </w:rPr>
        <w:footnoteReference w:id="2"/>
      </w:r>
      <w:r w:rsidRPr="009033ED">
        <w:t>,</w:t>
      </w:r>
    </w:p>
    <w:p w:rsidR="00E372DD" w:rsidRPr="009033ED" w:rsidP="00350A1B" w14:paraId="231239B9" w14:textId="77777777">
      <w:pPr>
        <w:pStyle w:val="NormalHanging"/>
        <w:widowControl/>
      </w:pPr>
      <w:r w:rsidRPr="009033ED">
        <w:t>–</w:t>
      </w:r>
      <w:r w:rsidRPr="009033ED">
        <w:tab/>
        <w:t>ottaa huomioon 16. heinäkuuta 2025 annetun komission ehdotuksen Euroopan parlamentin ja neuvoston asetukseksi Globaali Eurooppa ‑välineen perustamisesta (COM(2025)0551),</w:t>
      </w:r>
    </w:p>
    <w:p w:rsidR="00E372DD" w:rsidRPr="009033ED" w:rsidP="00350A1B" w14:paraId="0D3D2AD4" w14:textId="68F4C48E">
      <w:pPr>
        <w:pStyle w:val="NormalHanging"/>
        <w:widowControl/>
      </w:pPr>
      <w:r w:rsidRPr="009033ED">
        <w:t>–</w:t>
      </w:r>
      <w:r w:rsidRPr="009033ED">
        <w:tab/>
        <w:t>ottaa huomioon turvapaikka-asioiden ja muuttoliikkeen hallinnasta, asetusten (EU) 2021/1147 ja (EU) 2021/1060 muuttamisesta ja asetuksen (EU) N:o 604/2013 kumoamisesta 14. toukokuuta 2024 annetun Euroopan parlamentin ja neuvoston asetuksen (EU) 2024/1351</w:t>
      </w:r>
      <w:r>
        <w:rPr>
          <w:rStyle w:val="FootnoteReference"/>
        </w:rPr>
        <w:footnoteReference w:id="3"/>
      </w:r>
      <w:r w:rsidRPr="009033ED">
        <w:t>,</w:t>
      </w:r>
    </w:p>
    <w:p w:rsidR="00E372DD" w:rsidRPr="009033ED" w:rsidP="00350A1B" w14:paraId="7EA0B877" w14:textId="77777777">
      <w:pPr>
        <w:pStyle w:val="NormalHanging"/>
        <w:widowControl/>
      </w:pPr>
      <w:r w:rsidRPr="009033ED">
        <w:t>–</w:t>
      </w:r>
      <w:r w:rsidRPr="009033ED">
        <w:tab/>
        <w:t>ottaa huomioon 11. maaliskuuta 2025 annetun komission ehdotuksen Euroopan parlamentin ja neuvoston asetukseksi yhteisen järjestelmän perustamisesta unionissa laittomasti oleskelevien kolmansien maiden kansalaisten palauttamiseksi ja Euroopan parlamentin ja neuvoston direktiivin 2008/115/EY, neuvoston direktiivin 2001/40/EY ja neuvoston päätöksen 2004/191/EY kumoamisesta (COM(2025)0101),</w:t>
      </w:r>
    </w:p>
    <w:p w:rsidR="00E372DD" w:rsidRPr="009033ED" w:rsidP="00350A1B" w14:paraId="76D1A8EF" w14:textId="72B87AE2">
      <w:pPr>
        <w:pStyle w:val="NormalHanging"/>
        <w:widowControl/>
      </w:pPr>
      <w:r w:rsidRPr="009033ED">
        <w:t>–</w:t>
      </w:r>
      <w:r w:rsidRPr="009033ED">
        <w:tab/>
        <w:t>ottaa huomioon Euroopan unionin ja sen jäsenvaltioiden sekä Afrikan, Karibian ja Tyynenmeren valtioiden järjestön jäsenten välisen kumppanuussopimuksen (Samoan sopimus)</w:t>
      </w:r>
      <w:r>
        <w:rPr>
          <w:rStyle w:val="FootnoteReference"/>
        </w:rPr>
        <w:footnoteReference w:id="4"/>
      </w:r>
      <w:r w:rsidRPr="009033ED">
        <w:t>,</w:t>
      </w:r>
    </w:p>
    <w:p w:rsidR="00E372DD" w:rsidRPr="009033ED" w:rsidP="00350A1B" w14:paraId="644AD4D4" w14:textId="77777777">
      <w:pPr>
        <w:pStyle w:val="NormalHanging"/>
        <w:widowControl/>
      </w:pPr>
      <w:r w:rsidRPr="009033ED">
        <w:t>–</w:t>
      </w:r>
      <w:r w:rsidRPr="009033ED">
        <w:tab/>
        <w:t>ottaa huomioon 27. huhtikuuta 2022 annetun komission tiedonannon ”Osaajien houkutteleminen EU:hun” (COM(2022)0657),</w:t>
      </w:r>
    </w:p>
    <w:p w:rsidR="00E372DD" w:rsidRPr="009033ED" w:rsidP="00350A1B" w14:paraId="25D3BA89" w14:textId="77777777">
      <w:pPr>
        <w:pStyle w:val="NormalHanging"/>
        <w:widowControl/>
      </w:pPr>
      <w:r w:rsidRPr="009033ED">
        <w:t>–</w:t>
      </w:r>
      <w:r w:rsidRPr="009033ED">
        <w:tab/>
        <w:t>ottaa huomioon Välimeren sopimuksen,</w:t>
      </w:r>
    </w:p>
    <w:p w:rsidR="00E372DD" w:rsidRPr="009033ED" w:rsidP="00350A1B" w14:paraId="46A7D45D" w14:textId="77777777">
      <w:pPr>
        <w:pStyle w:val="NormalHanging"/>
        <w:widowControl/>
      </w:pPr>
      <w:r w:rsidRPr="009033ED">
        <w:t>–</w:t>
      </w:r>
      <w:r w:rsidRPr="009033ED">
        <w:tab/>
        <w:t>ottaa huomioon 7. kesäkuuta 2017 annetun neuvoston ja neuvostossa kokoontuneiden jäsenvaltioiden hallitusten edustajien, Euroopan parlamentin ja komission yhteisen julkilausuman uudesta kehityspolitiikkaa koskevasta eurooppalaisesta konsensuksesta ”Meidän maailmamme, meidän ihmisarvomme, meidän tulevaisuutemme”,</w:t>
      </w:r>
    </w:p>
    <w:p w:rsidR="00E372DD" w:rsidRPr="009033ED" w:rsidP="00350A1B" w14:paraId="2F8ACF46" w14:textId="77777777">
      <w:pPr>
        <w:pStyle w:val="NormalHanging"/>
        <w:widowControl/>
      </w:pPr>
      <w:r w:rsidRPr="009033ED">
        <w:t>–</w:t>
      </w:r>
      <w:r w:rsidRPr="009033ED">
        <w:tab/>
        <w:t>ottaa huomioon EU:n Afrikka-hätärahaston ja 25. syyskuuta 2024 annetun Euroopan tilintarkastustuomioistuimen erityiskertomuksen 17/2024 ”EU:n Afrikka‑hätärahasto – Tuki jäi kohdentamattomaksi uusista lähestymistavoista huolimatta”,</w:t>
      </w:r>
    </w:p>
    <w:p w:rsidR="00E372DD" w:rsidRPr="009033ED" w:rsidP="00350A1B" w14:paraId="7B3E81F3" w14:textId="77777777">
      <w:pPr>
        <w:pStyle w:val="NormalHanging"/>
        <w:widowControl/>
      </w:pPr>
      <w:r w:rsidRPr="009033ED">
        <w:t>–</w:t>
      </w:r>
      <w:r w:rsidRPr="009033ED">
        <w:tab/>
        <w:t xml:space="preserve">ottaa huomioon 4. kesäkuuta 2025 annetun komission tiedonannon ”Euroopan </w:t>
      </w:r>
      <w:r w:rsidRPr="009033ED">
        <w:t>vesiresilienssistrategia</w:t>
      </w:r>
      <w:r w:rsidRPr="009033ED">
        <w:t>” (COM(2025)0280),</w:t>
      </w:r>
    </w:p>
    <w:p w:rsidR="00E372DD" w:rsidRPr="009033ED" w:rsidP="00350A1B" w14:paraId="280C3918" w14:textId="10D8C25D">
      <w:pPr>
        <w:pStyle w:val="NormalHanging"/>
        <w:widowControl/>
      </w:pPr>
      <w:r w:rsidRPr="009033ED">
        <w:t>–</w:t>
      </w:r>
      <w:r w:rsidRPr="009033ED">
        <w:tab/>
        <w:t xml:space="preserve">ottaa huomioon 7. toukokuuta 2025 antamansa päätöslauselman eurooppalaisesta </w:t>
      </w:r>
      <w:r w:rsidRPr="009033ED">
        <w:t>vesiresilienssiä</w:t>
      </w:r>
      <w:r w:rsidRPr="009033ED">
        <w:t xml:space="preserve"> koskevasta strategiasta</w:t>
      </w:r>
      <w:r>
        <w:rPr>
          <w:rStyle w:val="FootnoteReference"/>
        </w:rPr>
        <w:footnoteReference w:id="5"/>
      </w:r>
      <w:r w:rsidRPr="009033ED">
        <w:t>,</w:t>
      </w:r>
    </w:p>
    <w:p w:rsidR="00E372DD" w:rsidRPr="009033ED" w:rsidP="00350A1B" w14:paraId="77F72442" w14:textId="579E89B1">
      <w:pPr>
        <w:pStyle w:val="NormalHanging"/>
        <w:widowControl/>
      </w:pPr>
      <w:r w:rsidRPr="009033ED">
        <w:t>–</w:t>
      </w:r>
      <w:r w:rsidRPr="009033ED">
        <w:tab/>
        <w:t xml:space="preserve">ottaa huomioon 1. joulukuuta 2021 annetun komission ja unionin ulkoasioiden ja turvallisuuspolitiikan korkean edustajan yhteisen tiedonannon ”Global </w:t>
      </w:r>
      <w:r w:rsidRPr="009033ED">
        <w:t>Gateway</w:t>
      </w:r>
      <w:r w:rsidRPr="009033ED">
        <w:t>” (</w:t>
      </w:r>
      <w:r w:rsidRPr="009033ED" w:rsidR="002B0EF6">
        <w:t>JOIN(2021)0030</w:t>
      </w:r>
      <w:r w:rsidRPr="009033ED">
        <w:t>),</w:t>
      </w:r>
    </w:p>
    <w:p w:rsidR="00E372DD" w:rsidRPr="009033ED" w:rsidP="00350A1B" w14:paraId="5F36F04F" w14:textId="6E31786D">
      <w:pPr>
        <w:pStyle w:val="NormalHanging"/>
        <w:widowControl/>
      </w:pPr>
      <w:r w:rsidRPr="009033ED">
        <w:t>–</w:t>
      </w:r>
      <w:r w:rsidRPr="009033ED">
        <w:tab/>
        <w:t>ottaa huomioon 2. lokakuuta 2024 annetun komission ja unionin ulkoasioiden ja turvallisuuspolitiikan korkean edustajan yhteisen tiedonannon ”Kohti kestäviä kansainvälisiä kumppanuuksia Team Europe -hengessä” (</w:t>
      </w:r>
      <w:r w:rsidRPr="009033ED" w:rsidR="002B0EF6">
        <w:t>JOIN(2024)0025</w:t>
      </w:r>
      <w:r w:rsidRPr="009033ED">
        <w:t>),</w:t>
      </w:r>
    </w:p>
    <w:p w:rsidR="00E372DD" w:rsidRPr="009033ED" w:rsidP="00350A1B" w14:paraId="59ADFC1C" w14:textId="77777777">
      <w:pPr>
        <w:pStyle w:val="NormalHanging"/>
        <w:widowControl/>
      </w:pPr>
      <w:r w:rsidRPr="009033ED">
        <w:t>–</w:t>
      </w:r>
      <w:r w:rsidRPr="009033ED">
        <w:tab/>
        <w:t>ottaa huomioon muuttoliikkeestä 17. lokakuuta 2024 annetut Eurooppa-neuvoston päätelmät,</w:t>
      </w:r>
    </w:p>
    <w:p w:rsidR="00E372DD" w:rsidRPr="009033ED" w:rsidP="00350A1B" w14:paraId="02ADB038" w14:textId="77777777">
      <w:pPr>
        <w:pStyle w:val="NormalHanging"/>
        <w:widowControl/>
      </w:pPr>
      <w:r w:rsidRPr="009033ED">
        <w:t>–</w:t>
      </w:r>
      <w:r w:rsidRPr="009033ED">
        <w:tab/>
        <w:t xml:space="preserve">ottaa huomioon YK:n yleiskokouksen 19. joulukuuta 2018 antaman päätöslauselman 73/195 turvallista, hallittua ja laillista muuttoliikettä koskevasta Global </w:t>
      </w:r>
      <w:r w:rsidRPr="009033ED">
        <w:t>Compact</w:t>
      </w:r>
      <w:r w:rsidRPr="009033ED">
        <w:t xml:space="preserve"> -aloitteesta,</w:t>
      </w:r>
    </w:p>
    <w:p w:rsidR="00E372DD" w:rsidRPr="009033ED" w:rsidP="00350A1B" w14:paraId="5C4DF2FD" w14:textId="77777777">
      <w:pPr>
        <w:pStyle w:val="NormalHanging"/>
        <w:widowControl/>
      </w:pPr>
      <w:r w:rsidRPr="009033ED">
        <w:t>–</w:t>
      </w:r>
      <w:r w:rsidRPr="009033ED">
        <w:tab/>
        <w:t>ottaa huomioon YK:n yleiskokouksen 19. syyskuuta 2016 antaman päätöslauselman 71/1 pakolaisia ja muuttajia koskevasta New Yorkin julkilausumasta,</w:t>
      </w:r>
    </w:p>
    <w:p w:rsidR="00E372DD" w:rsidRPr="009033ED" w:rsidP="00350A1B" w14:paraId="356FB8EB" w14:textId="77777777">
      <w:pPr>
        <w:pStyle w:val="NormalHanging"/>
        <w:widowControl/>
      </w:pPr>
      <w:r w:rsidRPr="009033ED">
        <w:t>–</w:t>
      </w:r>
      <w:r w:rsidRPr="009033ED">
        <w:tab/>
        <w:t>ottaa huomioon YK:n kestävän kehityksen huippukokouksessa New Yorkissa 25. syyskuuta 2015 hyväksytyn YK:n yleiskokouksen päätöslauselman 70/1 kestävän kehityksen Agenda 2030 -toimintaohjelmasta ”</w:t>
      </w:r>
      <w:r w:rsidRPr="009033ED">
        <w:t>Transforming</w:t>
      </w:r>
      <w:r w:rsidRPr="009033ED">
        <w:t xml:space="preserve"> </w:t>
      </w:r>
      <w:r w:rsidRPr="009033ED">
        <w:t>our</w:t>
      </w:r>
      <w:r w:rsidRPr="009033ED">
        <w:t xml:space="preserve"> </w:t>
      </w:r>
      <w:r w:rsidRPr="009033ED">
        <w:t>world</w:t>
      </w:r>
      <w:r w:rsidRPr="009033ED">
        <w:t xml:space="preserve">: </w:t>
      </w:r>
      <w:r w:rsidRPr="009033ED">
        <w:t>the</w:t>
      </w:r>
      <w:r w:rsidRPr="009033ED">
        <w:t xml:space="preserve"> 2030 Agenda for </w:t>
      </w:r>
      <w:r w:rsidRPr="009033ED">
        <w:t>Sustainable</w:t>
      </w:r>
      <w:r w:rsidRPr="009033ED">
        <w:t xml:space="preserve"> </w:t>
      </w:r>
      <w:r w:rsidRPr="009033ED">
        <w:t>Development</w:t>
      </w:r>
      <w:r w:rsidRPr="009033ED">
        <w:t>”, jossa vahvistetaan kestävän kehityksen tavoitteet, ja erityisesti kestävän kehityksen tavoitteen 10.7,</w:t>
      </w:r>
    </w:p>
    <w:p w:rsidR="00E372DD" w:rsidRPr="009033ED" w:rsidP="00350A1B" w14:paraId="1A15D428" w14:textId="77777777">
      <w:pPr>
        <w:pStyle w:val="NormalHanging"/>
        <w:widowControl/>
      </w:pPr>
      <w:r w:rsidRPr="009033ED">
        <w:t>–</w:t>
      </w:r>
      <w:r w:rsidRPr="009033ED">
        <w:tab/>
        <w:t>ottaa huomioon pakolaisten oikeusasemaa koskevan yleissopimuksen vuodelta 1951 ja siihen liitetyn New Yorkin pöytäkirjan vuodelta 1967,</w:t>
      </w:r>
    </w:p>
    <w:p w:rsidR="00E372DD" w:rsidRPr="009033ED" w:rsidP="00350A1B" w14:paraId="5278D2A1" w14:textId="77777777">
      <w:pPr>
        <w:pStyle w:val="NormalHanging"/>
        <w:widowControl/>
      </w:pPr>
      <w:r w:rsidRPr="009033ED">
        <w:t>–</w:t>
      </w:r>
      <w:r w:rsidRPr="009033ED">
        <w:tab/>
        <w:t>ottaa huomioon Taloudellisen yhteistyön ja kehityksen järjestön kehitysapukomitean suuntaviivat muuttoliikkeeseen liittyvistä toimista virallisessa kehitysavussa ja niihin liittyvän välineistön,</w:t>
      </w:r>
    </w:p>
    <w:p w:rsidR="00E372DD" w:rsidRPr="009033ED" w:rsidP="00350A1B" w14:paraId="00354B00" w14:textId="77777777">
      <w:pPr>
        <w:pStyle w:val="NormalHanging"/>
        <w:widowControl/>
      </w:pPr>
      <w:r w:rsidRPr="009033ED">
        <w:t>–</w:t>
      </w:r>
      <w:r w:rsidRPr="009033ED">
        <w:tab/>
        <w:t>ottaa huomioon vuonna 1950 tehdyn Euroopan ihmisoikeussopimuksen,</w:t>
      </w:r>
    </w:p>
    <w:p w:rsidR="00E372DD" w:rsidRPr="009033ED" w:rsidP="00350A1B" w14:paraId="178AF0AE" w14:textId="416AFD7E">
      <w:pPr>
        <w:pStyle w:val="NormalHanging"/>
        <w:widowControl/>
      </w:pPr>
      <w:r w:rsidRPr="009033ED">
        <w:t>–</w:t>
      </w:r>
      <w:r w:rsidRPr="009033ED">
        <w:tab/>
        <w:t>ottaa huomioon kehitysvaliokunnalle tehdyn tutkimuksen EU:n kehitysyhteistyön roolista laittomaan muuttoliikkeeseen puuttumisessa Afrikassa</w:t>
      </w:r>
      <w:r>
        <w:rPr>
          <w:rStyle w:val="FootnoteReference"/>
        </w:rPr>
        <w:footnoteReference w:id="6"/>
      </w:r>
      <w:r w:rsidRPr="009033ED">
        <w:t>,</w:t>
      </w:r>
    </w:p>
    <w:p w:rsidR="00E372DD" w:rsidRPr="009033ED" w:rsidP="00350A1B" w14:paraId="48400719" w14:textId="3319E67B">
      <w:pPr>
        <w:pStyle w:val="NormalHanging"/>
        <w:widowControl/>
      </w:pPr>
      <w:r w:rsidRPr="009033ED">
        <w:t>–</w:t>
      </w:r>
      <w:r w:rsidRPr="009033ED">
        <w:tab/>
        <w:t>ottaa huomioon 25. maaliskuuta 2021 antamansa päätöslauselman uudesta EU–Afrikka-strategiasta – kestävää ja osallistavaa kehitystä edistävä kumppanuus</w:t>
      </w:r>
      <w:r>
        <w:rPr>
          <w:rStyle w:val="FootnoteReference"/>
        </w:rPr>
        <w:footnoteReference w:id="7"/>
      </w:r>
      <w:r w:rsidRPr="009033ED">
        <w:t>,</w:t>
      </w:r>
    </w:p>
    <w:p w:rsidR="00E372DD" w:rsidRPr="009033ED" w:rsidP="00350A1B" w14:paraId="5B5D21A7" w14:textId="77777777">
      <w:pPr>
        <w:pStyle w:val="NormalHanging"/>
        <w:widowControl/>
      </w:pPr>
      <w:r w:rsidRPr="009033ED">
        <w:t>–</w:t>
      </w:r>
      <w:r w:rsidRPr="009033ED">
        <w:tab/>
        <w:t>ottaa huomioon työjärjestyksen 55 artiklan,</w:t>
      </w:r>
    </w:p>
    <w:p w:rsidR="00E372DD" w:rsidRPr="009033ED" w:rsidP="00350A1B" w14:paraId="1EE0F257" w14:textId="77777777">
      <w:pPr>
        <w:pStyle w:val="NormalHanging"/>
        <w:widowControl/>
      </w:pPr>
      <w:r w:rsidRPr="009033ED">
        <w:t>–</w:t>
      </w:r>
      <w:r w:rsidRPr="009033ED">
        <w:tab/>
        <w:t>ottaa huomioon kehitysvaliokunnan mietinnön (A10-0147/2026),</w:t>
      </w:r>
    </w:p>
    <w:p w:rsidR="00E372DD" w:rsidRPr="009033ED" w:rsidP="00350A1B" w14:paraId="36BDB1F2" w14:textId="3F6B960B">
      <w:pPr>
        <w:pStyle w:val="NormalHanging"/>
        <w:widowControl/>
      </w:pPr>
      <w:r w:rsidRPr="009033ED">
        <w:t>A.</w:t>
      </w:r>
      <w:r w:rsidRPr="009033ED">
        <w:tab/>
        <w:t>ottaa huomioon, että muuttoliike ja liikkuvuus, rauha, hyvä hallintotapa, vakaus, osallistava kasvu ja kestävä kehitys ovat vahvasti kytköksissä toisiinsa; toteaa, että muuttoliikettä lisäävät sekä makro- että mikrotason tekijät, kuten aseelliset konfliktit, poliittinen epävakaus, talousvaikeudet, mahdollisuuksien puute, köyhyys, sosiaalisen suojelun mekanismien rajallinen saatavuus, palvelujen riittämätön tarjonta, syrjäytyminen, haavoittuvassa asemassa olevien henkilöiden syrjintä tai vaino, myös uskonnon tai vakaumuksen vapauden osalta, ruokaturvattomuus, puhtaan veden niukka saatavuus sekä ympäristön pilaantuminen ja ilmastonmuutos</w:t>
      </w:r>
      <w:r>
        <w:rPr>
          <w:rStyle w:val="FootnoteReference"/>
        </w:rPr>
        <w:footnoteReference w:id="8"/>
      </w:r>
      <w:r w:rsidRPr="009033ED">
        <w:t>;</w:t>
      </w:r>
    </w:p>
    <w:p w:rsidR="00E372DD" w:rsidRPr="009033ED" w:rsidP="00350A1B" w14:paraId="26606F8D" w14:textId="77777777">
      <w:pPr>
        <w:pStyle w:val="NormalHanging"/>
        <w:widowControl/>
      </w:pPr>
      <w:r w:rsidRPr="009033ED">
        <w:t>B.</w:t>
      </w:r>
      <w:r w:rsidRPr="009033ED">
        <w:tab/>
        <w:t>ottaa huomioon, että osana laittomia väestön liikkeitä liikkuu erilaisia muuttajia, kuten pakolaisia ja turvapaikanhakijoita, jotka hakevat kansainvälistä suojelua; toteaa, että kansainvälistä suojelua hakevat henkilöt voivat jäädä hakemuksen käsittelystä vastuussa olevaan jäsenvaltioon, kun he odottavat päätöstä hakemuksensa käsittelyssä;</w:t>
      </w:r>
    </w:p>
    <w:p w:rsidR="00E372DD" w:rsidRPr="009033ED" w:rsidP="00350A1B" w14:paraId="5CA43782" w14:textId="77777777">
      <w:pPr>
        <w:pStyle w:val="NormalHanging"/>
        <w:widowControl/>
      </w:pPr>
      <w:r w:rsidRPr="009033ED">
        <w:t>C.</w:t>
      </w:r>
      <w:r w:rsidRPr="009033ED">
        <w:tab/>
        <w:t>ottaa huomioon, että kehitysyhteistyöllä on keskeinen rooli köyhyyden poistamisessa, epävakaisiin tilanteisiin puuttumisessa, inhimillisen kehityksen ja kestävyyden kaikkien eri ulottuvuuksien edistämisessä, maailmanlaajuisiin haasteisiin vastaamisessa sellaisten kansainvälisten kumppanuuksien avulla, joilla vaalitaan ja edistetään eurooppalaisia arvoja ja etuja, sekä rauhan ja vaurauden edistämisessä maailmassa;</w:t>
      </w:r>
    </w:p>
    <w:p w:rsidR="00E372DD" w:rsidRPr="009033ED" w:rsidP="00350A1B" w14:paraId="22F2546A" w14:textId="2868EF76">
      <w:pPr>
        <w:pStyle w:val="NormalHanging"/>
        <w:widowControl/>
      </w:pPr>
      <w:r w:rsidRPr="009033ED">
        <w:t>D.</w:t>
      </w:r>
      <w:r w:rsidRPr="009033ED">
        <w:tab/>
        <w:t>ottaa huomioon, että EU:n kehityspolitiikalla edistetään kehitysmaiden kestävää kehitystä ja vakautta ja että Agenda 2030 -toimintaohjelman ja kestävän kehityksen tavoitteiden mukaisesti sen perimmäisenä tavoitteena on poistaa äärimmäinen köyhyys, kuten SEUT 208 artiklassa todetaan, samalla kun noudatetaan kehitykseen vaikuttavien politiikkojen johdonmukaisuuden periaatetta;</w:t>
      </w:r>
    </w:p>
    <w:p w:rsidR="00E372DD" w:rsidRPr="009033ED" w:rsidP="00350A1B" w14:paraId="459D2659" w14:textId="77777777">
      <w:pPr>
        <w:pStyle w:val="NormalHanging"/>
        <w:widowControl/>
      </w:pPr>
      <w:r w:rsidRPr="009033ED">
        <w:t>E.</w:t>
      </w:r>
      <w:r w:rsidRPr="009033ED">
        <w:tab/>
        <w:t>katsoo, että kehitysyhteistyön on perustuttava todennettavissa oleviin tuloksiin ja konkreettiseen yhteiseen sitoutumiseen kestävään kehitykseen;</w:t>
      </w:r>
    </w:p>
    <w:p w:rsidR="00E372DD" w:rsidRPr="009033ED" w:rsidP="00350A1B" w14:paraId="38D4F4E1" w14:textId="77777777">
      <w:pPr>
        <w:pStyle w:val="NormalHanging"/>
        <w:widowControl/>
      </w:pPr>
      <w:r w:rsidRPr="009033ED">
        <w:t>F.</w:t>
      </w:r>
      <w:r w:rsidRPr="009033ED">
        <w:tab/>
        <w:t>toteaa, että EU:n Afrikka-hätärahasto perustettiin, jotta voidaan puuttua epävakauden, pakkomuuton ja laittoman muuttoliikkeen perimmäisiin syihin ja auttaa hallitsemaan paremmin muuttoliikettä; ottaa huomioon, että Euroopan tilintarkastustuomioistuin havaitsi katsauksessaan, että monet Afrikka-hätärahaston tavoitteet jäivät saavuttamatta, koska tehokkaita strategioita ei ollut aina määritelty selkeästi;</w:t>
      </w:r>
    </w:p>
    <w:p w:rsidR="00E372DD" w:rsidRPr="009033ED" w:rsidP="00350A1B" w14:paraId="5CC33FB1" w14:textId="2F54431B">
      <w:pPr>
        <w:pStyle w:val="NormalHanging"/>
        <w:widowControl/>
      </w:pPr>
      <w:r w:rsidRPr="009033ED">
        <w:t>G.</w:t>
      </w:r>
      <w:r w:rsidRPr="009033ED">
        <w:tab/>
        <w:t xml:space="preserve">ottaa huomioon, että EU:hun on kohdistunut vuodesta 2015 alkaen ennennäkemättömiä muuttovirtoja, joiden hallinta on edellyttänyt jäsenvaltioilta jatkuvia toimia, ja toteaa, että EU:n kehityspolitiikkaa täytyy näin ollen vahvistaa, jotta voidaan puuttua laittoman muuttoliikkeen ja pakkomuuton perimmäisiin syihin, kun otetaan huomioon, että EU:n jäsenvaltioissa jätettiin vuosina 2015–2024 yli 8,5 miljoonaa turvapaikkahakemusta </w:t>
      </w:r>
      <w:r>
        <w:rPr>
          <w:rStyle w:val="FootnoteReference"/>
        </w:rPr>
        <w:footnoteReference w:id="9"/>
      </w:r>
      <w:r w:rsidRPr="009033ED">
        <w:t>; ottaa huomioon, että laittomien rajanylitysten määrä EU:n ulkorajoilla väheni vuonna 2025 yli neljänneksen (26 prosenttia) likimain 178 000 rajanylitykseen</w:t>
      </w:r>
      <w:r>
        <w:rPr>
          <w:rStyle w:val="FootnoteReference"/>
        </w:rPr>
        <w:footnoteReference w:id="10"/>
      </w:r>
      <w:r w:rsidRPr="009033ED">
        <w:t>; ottaa huomioon, että suurin osa Eurooppaan tulevista muuttajista saapuu laillisten väylien kautta; ottaa huomioon, että kestävän kehityksen tavoitteen 10 osatavoitteessa 7 kehotetaan maita helpottamaan ihmisten hallittua, turvallista, laillista ja vastuullista muuttoliikettä ja liikkuvuutta toteuttamalla suunniteltua ja hyvin hallinnoitua muuttoliikepolitiikkaa;</w:t>
      </w:r>
    </w:p>
    <w:p w:rsidR="00E372DD" w:rsidRPr="009033ED" w:rsidP="00350A1B" w14:paraId="496F4EFA" w14:textId="750FECC2">
      <w:pPr>
        <w:pStyle w:val="NormalHanging"/>
        <w:widowControl/>
      </w:pPr>
      <w:r w:rsidRPr="009033ED">
        <w:t>H.</w:t>
      </w:r>
      <w:r w:rsidRPr="009033ED">
        <w:tab/>
        <w:t xml:space="preserve">ottaa huomioon, että vuonna 2024 EU:n ulkopuolisista maista muutti EU:hun 4,2 miljoonaa ihmistä </w:t>
      </w:r>
      <w:r>
        <w:rPr>
          <w:rStyle w:val="FootnoteReference"/>
        </w:rPr>
        <w:footnoteReference w:id="11"/>
      </w:r>
      <w:r w:rsidRPr="009033ED">
        <w:t>;</w:t>
      </w:r>
    </w:p>
    <w:p w:rsidR="00E372DD" w:rsidRPr="009033ED" w:rsidP="00350A1B" w14:paraId="4E35B951" w14:textId="77777777">
      <w:pPr>
        <w:pStyle w:val="NormalHanging"/>
        <w:widowControl/>
      </w:pPr>
      <w:r w:rsidRPr="009033ED">
        <w:t>I.</w:t>
      </w:r>
      <w:r w:rsidRPr="009033ED">
        <w:tab/>
        <w:t>ottaa huomioon, että monet turvapaikanhakijoiden lähtömaat ovat matalan tulotason ja keskitulotason maita; toteaa, että turvapaikkahakemusten hyväksymisaste näistä maista vaihtelee merkittävästi;</w:t>
      </w:r>
    </w:p>
    <w:p w:rsidR="00E372DD" w:rsidRPr="009033ED" w:rsidP="00350A1B" w14:paraId="7E1332DC" w14:textId="77777777">
      <w:pPr>
        <w:pStyle w:val="NormalHanging"/>
        <w:widowControl/>
      </w:pPr>
      <w:r w:rsidRPr="009033ED">
        <w:t>J.</w:t>
      </w:r>
      <w:r w:rsidRPr="009033ED">
        <w:tab/>
        <w:t>ottaa huomioon, että EU:n jäsenvaltiot myönsivät vuonna 2024 suojeluaseman 437 900 turvapaikanhakijalle, mikä on 6,9 prosenttia enemmän kuin vuonna 2023 (409 530); toteaa, että määrä oli suurin sitten Syyrian sotaan vuosina 2016 ja 2017 liittyneen pakolaiskriisin huippulukemien; ottaa huomioon, että vuonna 2024 hyväksymisaste eli myönteisten päätösten osuus kaikista turvapaikkapäätöksistä oli EU:n tasolla ensimmäisessä käsittelyssä tehtyjen päätösten osalta 51,4 prosenttia;</w:t>
      </w:r>
    </w:p>
    <w:p w:rsidR="00E372DD" w:rsidRPr="009033ED" w:rsidP="00350A1B" w14:paraId="41932B57" w14:textId="21D4D431">
      <w:pPr>
        <w:pStyle w:val="NormalHanging"/>
        <w:widowControl/>
      </w:pPr>
      <w:r w:rsidRPr="009033ED">
        <w:t>K.</w:t>
      </w:r>
      <w:r w:rsidRPr="009033ED">
        <w:tab/>
        <w:t>ottaa huomioon, että vuonna 2024 pääsy EU:hun evättiin 124 000:lta EU:n ulkopuolisten maiden kansalaiselta, 919 000 oli ilman virallista asemaa, 453 000:lle annettiin palauttamispäätös ja noin 110 000 palautettiin EU:n ulkopuoliseen maahan</w:t>
      </w:r>
      <w:r>
        <w:rPr>
          <w:rStyle w:val="FootnoteReference"/>
        </w:rPr>
        <w:footnoteReference w:id="12"/>
      </w:r>
      <w:r w:rsidRPr="009033ED">
        <w:t xml:space="preserve">; </w:t>
      </w:r>
      <w:r w:rsidRPr="009033ED">
        <w:t>ottaa huomioon, että noin 20 prosenttia palauttamispäätöksen saaneista henkilöistä palautettiin</w:t>
      </w:r>
      <w:r>
        <w:rPr>
          <w:rStyle w:val="FootnoteReference"/>
        </w:rPr>
        <w:footnoteReference w:id="13"/>
      </w:r>
      <w:r w:rsidRPr="009033ED">
        <w:t>;</w:t>
      </w:r>
    </w:p>
    <w:p w:rsidR="00E372DD" w:rsidRPr="009033ED" w:rsidP="00350A1B" w14:paraId="45F2878A" w14:textId="77777777">
      <w:pPr>
        <w:pStyle w:val="NormalHanging"/>
        <w:widowControl/>
      </w:pPr>
      <w:r w:rsidRPr="009033ED">
        <w:t>L.</w:t>
      </w:r>
      <w:r w:rsidRPr="009033ED">
        <w:tab/>
        <w:t>ottaa huomioon, että kansainväliset muuttomatkat suuntautuvat yleisimmin naapurimaasta toiseen; ottaa huomioon, että matalan ja keskitulotason maat ovat ottaneet vastaan suurimman osan pakolaisista, kansainvälistä suojelua tarvitsevista henkilöistä ja maan sisäisesti siirtymään joutuneista henkilöistä; toteaa, että näiden maiden kantama taloudellinen taakka on suuri ja vaikuttaa niiden omaan sosiaaliseen ja taloudelliseen yhteenkuuluvuuteen ja kehitykseen; toteaa, että kehitysyhteistyöllä on siten ratkaiseva rooli siirtymään joutuneen väestön ja vastaanottavien yhteisöjen tukemisessa;</w:t>
      </w:r>
    </w:p>
    <w:p w:rsidR="00E372DD" w:rsidRPr="009033ED" w:rsidP="00350A1B" w14:paraId="0446984C" w14:textId="77777777">
      <w:pPr>
        <w:pStyle w:val="NormalHanging"/>
        <w:widowControl/>
      </w:pPr>
      <w:r w:rsidRPr="009033ED">
        <w:t>M.</w:t>
      </w:r>
      <w:r w:rsidRPr="009033ED">
        <w:tab/>
        <w:t>ottaa huomioon, että Afrikassa esiintyy sisäistä muuttoliikettä ja noin 80 prosenttia kaikesta Afrikan muuttoliikkeestä tapahtuu maanosan sisällä; ottaa huomioon, että vuonna 2024 Saharan eteläpuolisessa Afrikassa kirjattiin 19,3 miljoonaa uutta maan sisäisesti siirtymään joutunutta henkilöä, joista 11,5 miljoonaa oli joutunut siirtymään konfliktin ja 7,8 miljoonaa katastrofien vuoksi; ottaa huomioon, että maan sisäisesti siirtymään joutuneiden henkilöiden kokonaismäärä nousi Afrikassa vuosina 2015–2024 yhteensä 38,8 miljoonaan, mikä on 46 prosenttia maailman kokonaismäärästä, ja toteaa, että 68 prosenttia heistä oli peräisin Kongon demokraattisesta tasavallasta, Etiopiasta, Nigeriasta, Somaliasta ja Sudanista;</w:t>
      </w:r>
    </w:p>
    <w:p w:rsidR="00E372DD" w:rsidRPr="009033ED" w:rsidP="00350A1B" w14:paraId="234D42F3" w14:textId="6A5EA2B7">
      <w:pPr>
        <w:pStyle w:val="NormalHanging"/>
        <w:widowControl/>
      </w:pPr>
      <w:r w:rsidRPr="009033ED">
        <w:t>N.</w:t>
      </w:r>
      <w:r w:rsidRPr="009033ED">
        <w:tab/>
        <w:t>ottaa huomioon, että kesäkuuhun 2025 mennessä koko maailmassa 117,3 miljoonaa ihmistä oli joutunut pakenemaan kotoaan vainon, konfliktien, väkivallan, ihmisoikeusloukkausten tai yleistä järjestystä vakavasti horjuttavien tapahtumien vuoksi; ottaa huomioon, että heistä 42,5 miljoonaa oli pakolaisia, 67,8 miljoonaa maan sisäisesti siirtymään joutuneita henkilöitä ja 8,42 miljoonaa turvapaikanhakijoita</w:t>
      </w:r>
      <w:r>
        <w:rPr>
          <w:rStyle w:val="FootnoteReference"/>
        </w:rPr>
        <w:footnoteReference w:id="14"/>
      </w:r>
      <w:r w:rsidRPr="009033ED">
        <w:t>;</w:t>
      </w:r>
    </w:p>
    <w:p w:rsidR="00E372DD" w:rsidRPr="009033ED" w:rsidP="00350A1B" w14:paraId="660E259D" w14:textId="77777777">
      <w:pPr>
        <w:pStyle w:val="NormalHanging"/>
        <w:widowControl/>
      </w:pPr>
      <w:r w:rsidRPr="009033ED">
        <w:t>O.</w:t>
      </w:r>
      <w:r w:rsidRPr="009033ED">
        <w:tab/>
        <w:t xml:space="preserve">ottaa huomioon, että YK:n pakolaisjärjestön (UNHCR) Global </w:t>
      </w:r>
      <w:r w:rsidRPr="009033ED">
        <w:t>Trends</w:t>
      </w:r>
      <w:r w:rsidRPr="009033ED">
        <w:t xml:space="preserve"> Report -raportti ja tutkimukset osoittavat, että useimmat pakolaiset ja siirtymään joutuneet henkilöt eivät olisi halunneet lähteä kotimaastaan, mutta he ovat joutuneet pakenemaan erilaisia uhkia, kuten konflikteja, vainoa, väkivaltaa tai äärimmäisiä vaikeuksia; ottaa huomioon, että UNHCR:n vuonna 2023 tekemässä tutkimuksessa todettiin, että suurin osa pakolaisista pysyisi mieluummin yhteisöissään, jos heidän turvallisuutensa ja toimeentulonsa olisi taattu;</w:t>
      </w:r>
    </w:p>
    <w:p w:rsidR="00E372DD" w:rsidRPr="009033ED" w:rsidP="00350A1B" w14:paraId="47C5E0DC" w14:textId="77777777">
      <w:pPr>
        <w:pStyle w:val="NormalHanging"/>
        <w:widowControl/>
      </w:pPr>
      <w:r w:rsidRPr="009033ED">
        <w:t>P.</w:t>
      </w:r>
      <w:r w:rsidRPr="009033ED">
        <w:tab/>
        <w:t>ottaa huomioon, että kehitysyhteistyöllä on keskeinen rooli köyhyyden vähentämisessä ja epävakaisiin tilanteisiin puuttumisessa, sillä sen avulla tuetaan inhimillistä kehitystä, edistetään ja tuetaan demokratian, oikeusvaltion, sukupuolten tasa-arvon, ihmisoikeuksien ja perusoikeuksien periaatteita ja vahvistetaan lainvalvontaa sekä luodaan kestäviä taloudellisia mahdollisuuksia, tehostetaan hallintoa ja edistetään rauhaa ja vakautta ja puututaan siten laittoman muuttoliikkeen perimmäisiin syihin;</w:t>
      </w:r>
    </w:p>
    <w:p w:rsidR="00E372DD" w:rsidRPr="009033ED" w:rsidP="00350A1B" w14:paraId="0D50362F" w14:textId="77777777">
      <w:pPr>
        <w:pStyle w:val="NormalHanging"/>
        <w:widowControl/>
      </w:pPr>
      <w:r w:rsidRPr="009033ED">
        <w:t>Q.</w:t>
      </w:r>
      <w:r w:rsidRPr="009033ED">
        <w:tab/>
        <w:t xml:space="preserve">toteaa, että elinolojen, koulutuksen ja työllistymismahdollisuuksien parantaminen lähtömaissa on keskeisen tärkeää sen varmistamiseksi, että ihmiset voivat rakentaa itselleen tulevaisuuden omissa yhteisöissään eikä heidän tarvitse muuttaa; toteaa, että laittoman muuttoliikkeen kannustimia voidaan näin ollen vähentää kohdennetulla ja </w:t>
      </w:r>
      <w:r w:rsidRPr="009033ED">
        <w:t>tehokkaalla yhteistyöllä, jolla edistetään kumppanimaiden vakautta, turvallisuutta ja omavaraisuutta;</w:t>
      </w:r>
    </w:p>
    <w:p w:rsidR="00E372DD" w:rsidRPr="009033ED" w:rsidP="00350A1B" w14:paraId="593B6FE1" w14:textId="77777777">
      <w:pPr>
        <w:pStyle w:val="NormalHanging"/>
        <w:widowControl/>
      </w:pPr>
      <w:r w:rsidRPr="009033ED">
        <w:t>R.</w:t>
      </w:r>
      <w:r w:rsidRPr="009033ED">
        <w:tab/>
        <w:t>ottaa huomioon, että lisääntynyt haavoittuvuus, joka liittyy myös ilmastonmuutokseen ja ympäristön tilan heikkenemiseen, sekä luonnonvarojen ehtyminen ja liikakäyttö voivat vaikuttaa muuttoliikkeeseen; toteaa, että 90 prosenttia kaikista luonnonkatastrofeista liittyy veteen, mikä voi vaikuttaa ruokaturvattomuuteen, yhteiskunnallisiin konfliktien lisääntymiseen ja muuttoliikkeeseen;</w:t>
      </w:r>
    </w:p>
    <w:p w:rsidR="00E372DD" w:rsidRPr="009033ED" w:rsidP="00350A1B" w14:paraId="583FFD87" w14:textId="77777777">
      <w:pPr>
        <w:pStyle w:val="NormalHanging"/>
        <w:widowControl/>
      </w:pPr>
      <w:r w:rsidRPr="009033ED">
        <w:t>S.</w:t>
      </w:r>
      <w:r w:rsidRPr="009033ED">
        <w:tab/>
        <w:t xml:space="preserve">toteaa, että ruokaturvattomuus johtaa </w:t>
      </w:r>
      <w:r w:rsidRPr="009033ED">
        <w:t>rajatylittävän</w:t>
      </w:r>
      <w:r w:rsidRPr="009033ED">
        <w:t xml:space="preserve"> muuttoliikkeen lisääntymiseen, sillä ruokaturvattomuudesta kärsivien ihmisten määrän kasvu yhdellä prosentilla lisää muuttamaan joutuvien ihmisten määrää 1,9 prosenttia; ottaa huomioon, että vaikka taloudelliset ja ympäristöön liittyvät tekijät eivät ole yksinään perusteita turvapaikan myöntämiselle, ne lisäävät kuitenkin merkittävästi haavoittuvuustekijöitä, jotka saattavat edellyttää kattavaan kansainväliseen suojeluun suuntautuvia toimia;</w:t>
      </w:r>
    </w:p>
    <w:p w:rsidR="00E372DD" w:rsidRPr="009033ED" w:rsidP="00350A1B" w14:paraId="29EE0860" w14:textId="77777777">
      <w:pPr>
        <w:pStyle w:val="NormalHanging"/>
        <w:widowControl/>
      </w:pPr>
      <w:r w:rsidRPr="009033ED">
        <w:t>T.</w:t>
      </w:r>
      <w:r w:rsidRPr="009033ED">
        <w:tab/>
        <w:t xml:space="preserve">ottaa huomioon, että muuttovirrat ovat usein kytköksissä luonnonvarojen, kuten veden, niukkuuteen; ottaa huomioon, että 2,2 miljardilla ihmisellä eri puolilla maailmaa ei edelleenkään ole saatavillaan puhdasta juomavettä; ottaa huomioon, että EU:n </w:t>
      </w:r>
      <w:r w:rsidRPr="009033ED">
        <w:t>vesiresilienssistrategialla</w:t>
      </w:r>
      <w:r w:rsidRPr="009033ED">
        <w:t xml:space="preserve"> pyritään edistämään </w:t>
      </w:r>
      <w:r w:rsidRPr="009033ED">
        <w:t>vesiresilienssiä</w:t>
      </w:r>
      <w:r w:rsidRPr="009033ED">
        <w:t xml:space="preserve"> ja varmistamaan juomaveden ja </w:t>
      </w:r>
      <w:r w:rsidRPr="009033ED">
        <w:t>sanitaation</w:t>
      </w:r>
      <w:r w:rsidRPr="009033ED">
        <w:t xml:space="preserve"> parempi saatavuus vähintään 70 miljoonalle ihmiselle vahvistamalla sitoutumista maiden ja alueiden tasolla Global </w:t>
      </w:r>
      <w:r w:rsidRPr="009033ED">
        <w:t>Gateway</w:t>
      </w:r>
      <w:r w:rsidRPr="009033ED">
        <w:t xml:space="preserve"> -strategian puitteissa;</w:t>
      </w:r>
    </w:p>
    <w:p w:rsidR="00E372DD" w:rsidRPr="009033ED" w:rsidP="00350A1B" w14:paraId="2BC406AB" w14:textId="77777777">
      <w:pPr>
        <w:pStyle w:val="NormalHanging"/>
        <w:widowControl/>
      </w:pPr>
      <w:r w:rsidRPr="009033ED">
        <w:t>U.</w:t>
      </w:r>
      <w:r w:rsidRPr="009033ED">
        <w:tab/>
        <w:t>ottaa huomioon, että EU:n muuttoliike- ja turvapaikkasopimuksessa korostetaan muuttoliikkeen ulkoisen ulottuvuuden merkitystä kehittämällä kattavia kumppanuuksia, jotka perustuvat poliittiseen vuoropuheluun, keskinäiseen sitoumukseen ja koko reitin lähestymistapaan;</w:t>
      </w:r>
    </w:p>
    <w:p w:rsidR="00E372DD" w:rsidRPr="009033ED" w:rsidP="00350A1B" w14:paraId="1A40A604" w14:textId="77777777">
      <w:pPr>
        <w:pStyle w:val="NormalHanging"/>
        <w:widowControl/>
      </w:pPr>
      <w:r w:rsidRPr="009033ED">
        <w:t>V.</w:t>
      </w:r>
      <w:r w:rsidRPr="009033ED">
        <w:tab/>
        <w:t>ottaa huomioon, että Välimeren sopimuksessa kehotetaan laajentamaan Erasmus+ -ohjelma useisiin Lähi-idän ja Afrikan maihin, jotta voidaan luoda yhteyksiä nuorten välille, ja tukemaan yhdennetympää ja osallistavampaa korkea-asteen koulutuksen ja osaamisen kehittämisen ympäristöä; toteaa, että sopimuksessa kehotetaan myös laajentamaan osaamiskumppanuuksia muun muassa perustamalla EU:n osaajareservi, jolla helpotetaan EU:n työnantajien ja kumppanimaista tulevien työnhakijoiden välisiä yhteyksiä;</w:t>
      </w:r>
    </w:p>
    <w:p w:rsidR="00E372DD" w:rsidRPr="009033ED" w:rsidP="00350A1B" w14:paraId="3D2D9D67" w14:textId="77777777">
      <w:pPr>
        <w:pStyle w:val="NormalHanging"/>
        <w:widowControl/>
      </w:pPr>
      <w:r w:rsidRPr="009033ED">
        <w:t>W.</w:t>
      </w:r>
      <w:r w:rsidRPr="009033ED">
        <w:tab/>
        <w:t xml:space="preserve">toteaa, että Global </w:t>
      </w:r>
      <w:r w:rsidRPr="009033ED">
        <w:t>Gateway</w:t>
      </w:r>
      <w:r w:rsidRPr="009033ED">
        <w:t xml:space="preserve"> -strategian ja inhimilliseen kehitykseen tehtävien investointien olisi tarjottava mahdollisuus mukauttaa kehitysyhteistyö kumppanimaiden painopisteisiin, myös muuttoliikkeeseen, edistämällä työpaikkojen luomista, koulutusta, ammatillista koulutusta, demokraattisia arvoja ja korkeita normeja, vahvistamalla hyvää hallintoa ja avoimuutta sekä kestäviä investointeja, myös vesiturvallisuuteen, lähtö- ja kauttakulkumaissa;</w:t>
      </w:r>
    </w:p>
    <w:p w:rsidR="00E372DD" w:rsidRPr="009033ED" w:rsidP="00350A1B" w14:paraId="19FC49DE" w14:textId="77777777">
      <w:pPr>
        <w:pStyle w:val="NormalHanging"/>
        <w:widowControl/>
      </w:pPr>
      <w:r w:rsidRPr="009033ED">
        <w:t>X.</w:t>
      </w:r>
      <w:r w:rsidRPr="009033ED">
        <w:tab/>
        <w:t xml:space="preserve">toteaa, että Global </w:t>
      </w:r>
      <w:r w:rsidRPr="009033ED">
        <w:t>Gateway</w:t>
      </w:r>
      <w:r w:rsidRPr="009033ED">
        <w:t xml:space="preserve"> -strategialla olisi myös pyrittävä edistämään kestäviä ja luotettavia kumppanuuksia vihreän energian ja infrastruktuurin alalla; ottaa huomioon, että ilmastonmuutokseen sopeutuminen ja investoinnit uusiutuvaan energiaan ovat olennaisen tärkeitä, jotta voidaan torjua muuttoliikettä lisääviä sosioekonomisia tekijöitä;</w:t>
      </w:r>
    </w:p>
    <w:p w:rsidR="00E372DD" w:rsidRPr="009033ED" w:rsidP="00350A1B" w14:paraId="7EAA8E21" w14:textId="77777777">
      <w:pPr>
        <w:pStyle w:val="NormalHanging"/>
        <w:widowControl/>
      </w:pPr>
      <w:r w:rsidRPr="009033ED">
        <w:t>Y.</w:t>
      </w:r>
      <w:r w:rsidRPr="009033ED">
        <w:tab/>
        <w:t>toteaa, että talousyhteistyö ja yksityiset investoinnit ovat tärkeitä välineitä köyhyyden vähentämisessä ja omavaraisuuden lisäämisessä sekä kestävän paikallisen kasvun edistämisessä kumppanimaissa;</w:t>
      </w:r>
    </w:p>
    <w:p w:rsidR="00E372DD" w:rsidRPr="009033ED" w:rsidP="00350A1B" w14:paraId="701B88F0" w14:textId="77777777">
      <w:pPr>
        <w:pStyle w:val="NormalHanging"/>
        <w:widowControl/>
      </w:pPr>
      <w:r w:rsidRPr="009033ED">
        <w:t>Z.</w:t>
      </w:r>
      <w:r w:rsidRPr="009033ED">
        <w:tab/>
        <w:t>ottaa huomioon, että teollisuuden kehittäminen on osoittautunut yhdeksi tehokkaimmista tavoista, joilla ihmisiä autetaan nousemaan köyhyydestä; toteaa, että sosiaalisesti vastuullisella ja kestävällä tavalla tehtävät investoinnit tuottavuutta edistäviin valmiuksiin voivat luoda työllistymismahdollisuuksia ja niillä voi olla kerrannaisvaikutuksia;</w:t>
      </w:r>
    </w:p>
    <w:p w:rsidR="00E372DD" w:rsidRPr="009033ED" w:rsidP="00350A1B" w14:paraId="6B615041" w14:textId="77777777">
      <w:pPr>
        <w:pStyle w:val="NormalHanging"/>
        <w:widowControl/>
      </w:pPr>
      <w:r w:rsidRPr="009033ED">
        <w:t>AA.</w:t>
      </w:r>
      <w:r w:rsidRPr="009033ED">
        <w:tab/>
        <w:t>toteaa, että ihmiskauppa ja ihmissalakuljetus loukkaavat räikeästi perusoikeuksia ja riistävät ihmisiltä heidän ihmisarvonsa, vapautensa ja perusoikeutensa; ottaa huomioon, että ihmiskauppaa ja ihmissalakuljetusta harjoittavat rikollisverkostot käyttävät hyväkseen maahanmuuttajia tienaamalla rahaa vaarallisista matkoista;</w:t>
      </w:r>
    </w:p>
    <w:p w:rsidR="00E372DD" w:rsidRPr="009033ED" w:rsidP="00350A1B" w14:paraId="0F50AB34" w14:textId="77777777">
      <w:pPr>
        <w:pStyle w:val="NormalHanging"/>
        <w:widowControl/>
      </w:pPr>
      <w:r w:rsidRPr="009033ED">
        <w:t>AB.</w:t>
      </w:r>
      <w:r w:rsidRPr="009033ED">
        <w:tab/>
        <w:t>ottaa huomioon, että joillakin mailla ei ole välineitä ja resursseja näiden rikosten ehkäisemiseksi ja torjumiseksi; katsoo, että kansainvälisillä kumppanuuksilla voidaan edistää tehokkaasti ihmiskaupan ja salakuljetuksen torjuntaa;</w:t>
      </w:r>
    </w:p>
    <w:p w:rsidR="00E372DD" w:rsidRPr="009033ED" w:rsidP="00350A1B" w14:paraId="24C4986C" w14:textId="77777777">
      <w:pPr>
        <w:pStyle w:val="NormalHanging"/>
        <w:widowControl/>
      </w:pPr>
      <w:r w:rsidRPr="009033ED">
        <w:t>AC.</w:t>
      </w:r>
      <w:r w:rsidRPr="009033ED">
        <w:tab/>
        <w:t>ottaa huomioon, että kehitysyhteistyöllä on keskeinen rooli laittoman muuttoliikkeen ja pakkomuuton perimmäisiin syihin puuttumisessa, ihmissalakuljetuksen torjunnassa, pakolaisten ja kansainvälisen suojelun tarpeessa olevien henkilöiden suojelussa, pakolaisia vastaanottavien maiden tukemisessa ja laillisten muuttoväylien kehittämisessä;</w:t>
      </w:r>
    </w:p>
    <w:p w:rsidR="00E372DD" w:rsidRPr="009033ED" w:rsidP="00350A1B" w14:paraId="2518395C" w14:textId="77777777">
      <w:pPr>
        <w:pStyle w:val="NormalHanging"/>
        <w:widowControl/>
      </w:pPr>
      <w:r w:rsidRPr="009033ED">
        <w:t>AD.</w:t>
      </w:r>
      <w:r w:rsidRPr="009033ED">
        <w:tab/>
        <w:t>ottaa huomioon, että turvallisuus, vakaus, alueellinen koskemattomuus ja hyvä hallinto ovat kestävän kehityksen toimenpiteiden edellytyksiä, ja katsoo, että EU:n olisi myös tuettava kumppanimaita lainvalvontavalmiuksien ja rajaturvallisuuden vahvistamisessa sekä järjestäytyneen rikollisuuden torjunnassa;</w:t>
      </w:r>
    </w:p>
    <w:p w:rsidR="00E372DD" w:rsidRPr="009033ED" w:rsidP="00350A1B" w14:paraId="2D5D34E5" w14:textId="77777777">
      <w:pPr>
        <w:pStyle w:val="NormalHanging"/>
        <w:widowControl/>
      </w:pPr>
      <w:r w:rsidRPr="009033ED">
        <w:t>AE.</w:t>
      </w:r>
      <w:r w:rsidRPr="009033ED">
        <w:tab/>
        <w:t>toteaa, että tehokas muuttoliikkeen hallinta edellyttää myös tiiviimpää yhteistyötä lähtö- ja kauttakulkumaiden kanssa ja haavoittuvassa asemassa olevia ihmisiä hyväksi käyttävien rikollisverkostojen hajottamista; toteaa, että muuttoliikkeen perimmäisiin syihin voidaan puuttua kestävällä tavalla tukemalla paikallista kehitystä ja vakautta kumppanimaissa;</w:t>
      </w:r>
    </w:p>
    <w:p w:rsidR="00E372DD" w:rsidRPr="009033ED" w:rsidP="00350A1B" w14:paraId="6BC3110D" w14:textId="77777777">
      <w:pPr>
        <w:pStyle w:val="NormalHanging"/>
        <w:widowControl/>
      </w:pPr>
      <w:r w:rsidRPr="009033ED">
        <w:t>AF.</w:t>
      </w:r>
      <w:r w:rsidRPr="009033ED">
        <w:tab/>
        <w:t>toteaa, että EU:n osana kehitysyhteistyötä antama tuki kolmansien maiden toimiville turvapaikkajärjestelmille on ratkaisevan tärkeää turvapaikanhakijoiden kansainvälisen suojelun kannalta;</w:t>
      </w:r>
    </w:p>
    <w:p w:rsidR="00E372DD" w:rsidRPr="009033ED" w:rsidP="00350A1B" w14:paraId="35721416" w14:textId="77777777">
      <w:pPr>
        <w:pStyle w:val="NormalHanging"/>
        <w:widowControl/>
      </w:pPr>
      <w:r w:rsidRPr="009033ED">
        <w:t>AG.</w:t>
      </w:r>
      <w:r w:rsidRPr="009033ED">
        <w:tab/>
        <w:t>toteaa, että palauttamis- ja uudelleenkotouttamispolitiikoissa on kunnioitettava tinkimättömästi ihmisoikeuksia; toteaa, että palauttamiseen ja uudelleenkotouttamiseen liittyvä yhteistyö voi hyödyttää molempia osapuolia, kun siinä otetaan huomioon vapaaehtoinen, ihmisarvoinen ja kestävä paluu lähtömaihin;</w:t>
      </w:r>
    </w:p>
    <w:p w:rsidR="00E372DD" w:rsidRPr="009033ED" w:rsidP="00350A1B" w14:paraId="74796D46" w14:textId="77777777">
      <w:pPr>
        <w:pStyle w:val="NormalHanging"/>
        <w:widowControl/>
      </w:pPr>
      <w:r w:rsidRPr="009033ED">
        <w:t>AH.</w:t>
      </w:r>
      <w:r w:rsidRPr="009033ED">
        <w:tab/>
        <w:t>ottaa huomioon, että takaisinottosopimukset ja innovatiiviset räätälöidyt hankkeet, joilla pyritään uudelleenkotouttamaan muuttajat lähtömaihinsa, ovat olennainen osa tehokasta yhteistyötä kumppanimaiden kanssa;</w:t>
      </w:r>
    </w:p>
    <w:p w:rsidR="00E372DD" w:rsidRPr="009033ED" w:rsidP="00350A1B" w14:paraId="71621C19" w14:textId="77777777">
      <w:pPr>
        <w:pStyle w:val="NormalHanging"/>
        <w:widowControl/>
      </w:pPr>
      <w:r w:rsidRPr="009033ED">
        <w:t>AI.</w:t>
      </w:r>
      <w:r w:rsidRPr="009033ED">
        <w:tab/>
        <w:t>ottaa huomioon, että kehitysyhteistyöllä on ratkaiseva rooli sen tukemisessa, että siirtymään joutunut väestö integroituu sosioekonomisesti heidät vastaanottaviin yhteisöihin, sekä haavoittuvassa asemassa olevien henkilöiden, kuten naisten, lasten ja vammaisten henkilöiden, suojelussa;</w:t>
      </w:r>
    </w:p>
    <w:p w:rsidR="00E372DD" w:rsidRPr="009033ED" w:rsidP="00350A1B" w14:paraId="5BDCED15" w14:textId="77777777">
      <w:pPr>
        <w:pStyle w:val="NormalHanging"/>
        <w:widowControl/>
      </w:pPr>
      <w:r w:rsidRPr="009033ED">
        <w:t>AJ.</w:t>
      </w:r>
      <w:r w:rsidRPr="009033ED">
        <w:tab/>
        <w:t>ottaa huomioon, että muuttoliike voi edistää kestävää kehitystä ja osallistavaa kasvua sekä lähtö- että kohdemaissa sekä alueiden sisällä että niiden välillä; ottaa huomioon, että muuttoliikkeellä on taloudellisia vaikutuksia sekä kohde- että lähtömaihin; toteaa, että tämä vaikutus näkyy maahanmuuttajien panoksena julkiseen talouteen, työllisyyteen ja työpaikkojen luomiseen sekä siinä, miten maahanmuuttajayhteisöt tukevat lähtömaidensa talouden kehitystä;</w:t>
      </w:r>
    </w:p>
    <w:p w:rsidR="00E372DD" w:rsidRPr="009033ED" w:rsidP="00350A1B" w14:paraId="45801E2A" w14:textId="77777777">
      <w:pPr>
        <w:pStyle w:val="NormalHanging"/>
        <w:widowControl/>
      </w:pPr>
      <w:r w:rsidRPr="009033ED">
        <w:t>AK.</w:t>
      </w:r>
      <w:r w:rsidRPr="009033ED">
        <w:tab/>
        <w:t xml:space="preserve">ottaa huomioon, että maahanmuuttajayhteisöillä on tärkeä rooli kumppanimaiden kehittämisessä, erityisesti kaupan ja talouden kehityksen edistämisessä, ja monien muuttoliikkeeseen ja liikkuvuuteen liittyvien kysymysten käsittelyssä; toteaa, että EU:n Global Diaspora </w:t>
      </w:r>
      <w:r w:rsidRPr="009033ED">
        <w:t>Facility</w:t>
      </w:r>
      <w:r w:rsidRPr="009033ED">
        <w:t xml:space="preserve"> -välineellä voi olla keskeinen rooli tässä yhteydessä;</w:t>
      </w:r>
    </w:p>
    <w:p w:rsidR="00E372DD" w:rsidRPr="009033ED" w:rsidP="00350A1B" w14:paraId="5F11FB6F" w14:textId="77777777">
      <w:pPr>
        <w:pStyle w:val="NormalHanging"/>
        <w:widowControl/>
      </w:pPr>
      <w:r w:rsidRPr="009033ED">
        <w:t>AL.</w:t>
      </w:r>
      <w:r w:rsidRPr="009033ED">
        <w:tab/>
        <w:t>toteaa, että aivovuoto voi aiheuttaa kolmansille maille haasteita sekä kehitykseen että muuttoliikkeeseen liittyvien politiikkatavoitteiden saavuttamisessa;</w:t>
      </w:r>
    </w:p>
    <w:p w:rsidR="00E372DD" w:rsidRPr="009033ED" w:rsidP="00350A1B" w14:paraId="4FE7CAC8" w14:textId="77777777">
      <w:pPr>
        <w:pStyle w:val="Normal12a"/>
        <w:keepNext/>
      </w:pPr>
      <w:r w:rsidRPr="009033ED">
        <w:rPr>
          <w:b/>
          <w:i/>
        </w:rPr>
        <w:t>Muuttoliikkeen ja kehitysyhteistyön väliset yhteydet</w:t>
      </w:r>
    </w:p>
    <w:p w:rsidR="00E372DD" w:rsidRPr="009033ED" w:rsidP="00350A1B" w14:paraId="0A5B455C" w14:textId="77777777">
      <w:pPr>
        <w:pStyle w:val="NormalHanging12a"/>
      </w:pPr>
      <w:r w:rsidRPr="009033ED">
        <w:t>1.</w:t>
      </w:r>
      <w:r w:rsidRPr="009033ED">
        <w:tab/>
        <w:t>korostaa muuttoliikkeen ja kehitysyhteistyön välistä yhteyttä ja kehottaa komissiota ja jäsenvaltioita sitoutumaan muuttoliikepolitiikassaan edelleen kehitykseen vaikuttavien politiikkojen johdonmukaisuuteen kunnioittaen kaikilta osin ihmisoikeuksia ja YK:n Agenda 2030 -toimintaohjelmaa;</w:t>
      </w:r>
    </w:p>
    <w:p w:rsidR="00E372DD" w:rsidRPr="009033ED" w:rsidP="00350A1B" w14:paraId="6A8080B5" w14:textId="77777777">
      <w:pPr>
        <w:pStyle w:val="NormalHanging12a"/>
      </w:pPr>
      <w:r w:rsidRPr="009033ED">
        <w:t>2.</w:t>
      </w:r>
      <w:r w:rsidRPr="009033ED">
        <w:tab/>
        <w:t>korostaa, että kehitysyhteistyö ja EU:n ulko- ja turvallisuuspolitiikka on aina suunniteltava ja pantava täytäntöön täysin johdonmukaisella tavalla noudattamalla pragmaattista ja molempia osapuolia hyödyttävää tulossuuntautunutta lähestymistapaa, jolla pyritään varmistamaan vakaus ja taloudelliset mahdollisuudet kumppanimaissa, mukaan lukien muuttovirtojen lähtö- ja kauttakulkumaat;</w:t>
      </w:r>
    </w:p>
    <w:p w:rsidR="00E372DD" w:rsidRPr="009033ED" w:rsidP="00350A1B" w14:paraId="5ED698FC" w14:textId="77777777">
      <w:pPr>
        <w:pStyle w:val="NormalHanging12a"/>
      </w:pPr>
      <w:r w:rsidRPr="009033ED">
        <w:t>3.</w:t>
      </w:r>
      <w:r w:rsidRPr="009033ED">
        <w:tab/>
        <w:t>korostaa, että kehitysyhteistyössä olisi asetettava etusijalle köyhyyden poistaminen, eriarvoisuuden vähentäminen ja kestävä kehitys kestävän kehityksen tavoitteiden mukaisesti sekä konfliktien ehkäiseminen ja rauhanrakentaminen kumppanimaissa taloudellisen voimaannuttamisen, hallintoa koskevien uudistusten ja ihmisoikeuksien edistämisen avulla priorisoiden samaan aikaan kumppanimaiden kehitykseen liittyviä painopisteitä ja tarpeisiin perustuvia pitkän aikavälin investointeja, myös silloin, kun puututaan laittoman muuttoliikkeen ja pakkomuuton perimmäisiin syihin, muiden tavoitteiden ohella;</w:t>
      </w:r>
    </w:p>
    <w:p w:rsidR="00E372DD" w:rsidRPr="009033ED" w:rsidP="00350A1B" w14:paraId="69B7F7B3" w14:textId="77777777">
      <w:pPr>
        <w:pStyle w:val="NormalHanging12a"/>
      </w:pPr>
      <w:r w:rsidRPr="009033ED">
        <w:t>4.</w:t>
      </w:r>
      <w:r w:rsidRPr="009033ED">
        <w:tab/>
        <w:t>palauttaa mieliin, että kriisit ja köyhyys vaikuttavat usein suhteettomasti naisiin ja tyttöihin; kehottaa siksi komissiota soveltamaan kehitysohjelmissa ihmisoikeuksiin perustuvaa sekä sukupuolinäkökohdat ja haavoittuvuuden huomioon ottavaa lähestymistapaa ja korostaa, että on tärkeää tunnistaa ihmisoikeusriskit, toteuttaa lieventäviä toimia ja varmistaa, että erityistä huomiota kiinnitetään kaikkiin haavoittuvassa asemassa oleviin henkilöihin – mukaan lukien vammaiset henkilöt, ikääntyneet henkilöt, syrjäytyneet yhteisöt sekä naiset, tytöt ja nuoret –, erityisesti koska naisilla on ratkaisevan tärkeä rooli epävakaissa tilanteissa, rauhanrakentamisessa, konfliktien ehkäisemisessä ja kestävässä kehityksessä, sillä he ovat usein etulinjan toimijoita ja voivat toimia keskeisinä muutoksen, selviytymiskyvyn ja elpymisen liikkeellepanevana voimana; korostaa, että naisten osallistuminen ja osallistava osallistuminen päätöksentekoon, sovitteluun, ilmastotoimiin ja yhteisöjen kehittämiseen johtaa vaikuttavampiin ja kestävämpiin tuloksiin;</w:t>
      </w:r>
    </w:p>
    <w:p w:rsidR="00E372DD" w:rsidRPr="009033ED" w:rsidP="00350A1B" w14:paraId="51A68D68" w14:textId="77777777">
      <w:pPr>
        <w:pStyle w:val="NormalHanging12a"/>
      </w:pPr>
      <w:r w:rsidRPr="009033ED">
        <w:t>5.</w:t>
      </w:r>
      <w:r w:rsidRPr="009033ED">
        <w:tab/>
        <w:t>korostaa Team Europe -lähestymistavan merkitystä, sillä sen avulla varmistetaan johdonmukaisuus muuttoliikkeen ulkoisen ulottuvuuden parissa työskentelevien EU:n toimielinten ja jäsenvaltioiden välillä; korostaa, että Team Europe -lähestymistavan puitteissa olisi koordinoitava poliittisia, diplomaattisia, taloudellisia ja teknisiä toimia, jotta voidaan kehittää ja syventää kattavia kumppanuuksia, joilla tuetaan kumppanimaita muuttoliikkeen hallinnassa turvallisella, hallitulla, laillisella ja vastuullisella tavalla soveltamalla tehokasta ihmisoikeuksiin perustuvaa ja ihmiskeskeistä lähestymistapaa, jossa otetaan huomioon myös pakolaisten ja maan sisäisesti siirtymään joutuneiden henkilöiden tarpeet;</w:t>
      </w:r>
    </w:p>
    <w:p w:rsidR="00E372DD" w:rsidRPr="009033ED" w:rsidP="00350A1B" w14:paraId="7D8BA086" w14:textId="77777777">
      <w:pPr>
        <w:pStyle w:val="NormalHanging12a"/>
      </w:pPr>
      <w:r w:rsidRPr="009033ED">
        <w:t>6.</w:t>
      </w:r>
      <w:r w:rsidRPr="009033ED">
        <w:tab/>
        <w:t>korostaa, että korruption torjumiseksi ja huonon hallinnon välttämiseksi komission olisi varmistettava, että käytössä ovat selkeät seuranta- ja arviointimekanismit, joiden avulla varmistetaan tehokas vastuuvelvollisuus ja avoimuus EU:n talousarvion toteuttamisessa, myös käsiteltäessä kehityksen ja muuttoliikkeen perimmäisten syiden välistä yhteyttä;</w:t>
      </w:r>
    </w:p>
    <w:p w:rsidR="00E372DD" w:rsidRPr="009033ED" w:rsidP="00350A1B" w14:paraId="709A3B66" w14:textId="77777777">
      <w:pPr>
        <w:pStyle w:val="NormalHanging12a"/>
      </w:pPr>
      <w:r w:rsidRPr="009033ED">
        <w:t>7.</w:t>
      </w:r>
      <w:r w:rsidRPr="009033ED">
        <w:tab/>
        <w:t>kehottaa komissiota ja jäsenvaltioita tehostamaan poliittista vuoropuhelua kolmansien maiden kanssa, vahvistamaan ja kehittämään kattavia ja molempia osapuolia hyödyttäviä maakohtaisia lähestymistapoja, joissa otetaan huomioon lähtö- ja kauttakulkumaiden erityiset olosuhteet sekä kehitykseen ja muuttoliikkeeseen liittyvät tarpeet erityisesti inhimillisen kehityksen, ihmisarvoisen työn, sosiaalisen osallisuuden sekä maahanmuuttajien, pakolaisten ja maan sisäisesti siirtymään joutuneiden henkilöiden suojelun osalta; korostaa, että tällaisen yhteistyön olisi perustuttava solidaarisuuteen, yhteiseen vastuuseen ja ihmisoikeuksien kunnioittamiseen;</w:t>
      </w:r>
    </w:p>
    <w:p w:rsidR="00E372DD" w:rsidRPr="009033ED" w:rsidP="00350A1B" w14:paraId="67E5A8AB" w14:textId="77777777">
      <w:pPr>
        <w:pStyle w:val="NormalHanging12a"/>
      </w:pPr>
      <w:r w:rsidRPr="009033ED">
        <w:t>8.</w:t>
      </w:r>
      <w:r w:rsidRPr="009033ED">
        <w:tab/>
        <w:t>korostaa tarvetta saavuttaa selkeä käsitys muuttajien yhdyskunnista ja niiden paikallisista vaikutuksista; kehottaa komissiota ja jäsenvaltioita laatimaan strategian, jossa korostetaan paikallisen näkökulman tarvetta, vahvistamaan paikallista omistajuutta ja hyödyntämään olemassa olevia alueellisia painopisteitä, erityisesti tukemalla mannertenvälisiä muuttoliikejärjestelmiä;</w:t>
      </w:r>
    </w:p>
    <w:p w:rsidR="00E372DD" w:rsidRPr="009033ED" w:rsidP="00350A1B" w14:paraId="7084A89F" w14:textId="77777777">
      <w:pPr>
        <w:pStyle w:val="NormalHanging12a"/>
      </w:pPr>
      <w:r w:rsidRPr="009033ED">
        <w:t>9.</w:t>
      </w:r>
      <w:r w:rsidRPr="009033ED">
        <w:tab/>
        <w:t>kehottaa komissiota asettamaan etusijalle hauraat maantieteelliset toimintaympäristöt ottamalla huomioon myös muuttoliikettä koskevat tiedot ja tutkimukseen perustuvat tiedot, jotta voidaan paremmin tunnistaa kumppanimaiden tarpeet ja kohdentaa toimia niiden painopisteisiin, myös laittoman muuttoliikkeen ja pakkomuuton osalta;</w:t>
      </w:r>
    </w:p>
    <w:p w:rsidR="00E372DD" w:rsidRPr="009033ED" w:rsidP="00350A1B" w14:paraId="2C45C94F" w14:textId="77777777">
      <w:pPr>
        <w:pStyle w:val="NormalHanging12a"/>
      </w:pPr>
      <w:r w:rsidRPr="009033ED">
        <w:t>10.</w:t>
      </w:r>
      <w:r w:rsidRPr="009033ED">
        <w:tab/>
        <w:t xml:space="preserve">korostaa, että Global </w:t>
      </w:r>
      <w:r w:rsidRPr="009033ED">
        <w:t>Gateway</w:t>
      </w:r>
      <w:r w:rsidRPr="009033ED">
        <w:t xml:space="preserve"> -strategialla voi olla keskeinen rooli kestävän talouskehityksen ja työpaikkojen luomisen edistämisessä kumppanimaissa, mikä lisää paikallisyhteisöjen vaikutusmahdollisuuksia ja antaa yksilöille mahdollisuuden osallistua aktiivisesti sekä lähtömaidensa että heidät vastaanottavien yhteisöjen kehittämiseen, minkä avulla puututaan laittoman muuttoliikkeen perimmäisiin syihin;</w:t>
      </w:r>
    </w:p>
    <w:p w:rsidR="00E372DD" w:rsidRPr="009033ED" w:rsidP="00350A1B" w14:paraId="0C48A4C2" w14:textId="77777777">
      <w:pPr>
        <w:pStyle w:val="NormalHanging12a"/>
      </w:pPr>
      <w:r w:rsidRPr="009033ED">
        <w:t>11.</w:t>
      </w:r>
      <w:r w:rsidRPr="009033ED">
        <w:tab/>
        <w:t xml:space="preserve">korostaa tarvetta varmistaa yksityisen sektorin laajempi osallistuminen, monipuolistaa ja panna täytäntöön laillisia väyliä, tunnustaa taitoja, </w:t>
      </w:r>
      <w:r w:rsidRPr="009033ED">
        <w:t>osallistaa</w:t>
      </w:r>
      <w:r w:rsidRPr="009033ED">
        <w:t xml:space="preserve"> EU:n kehityspankkeja ja kehittää innovatiivisia lähestymistapoja varojen yhdistämiseen Team Europe -kehyksessä ja samalla edistää Global </w:t>
      </w:r>
      <w:r w:rsidRPr="009033ED">
        <w:t>Gateway</w:t>
      </w:r>
      <w:r w:rsidRPr="009033ED">
        <w:t xml:space="preserve"> -strategiaa; kannustaa Euroopan yksityistä sektoria osallistumaan kehityshankkeisiin kumppanimaissa, millä varmistetaan tuki turvalliselle ja avoimelle investointikehykselle, joka helpottaa pienten ja keskisuurten yritysten osallistumista ja paikallisten tuotantoketjujen luomista;</w:t>
      </w:r>
    </w:p>
    <w:p w:rsidR="00E372DD" w:rsidRPr="009033ED" w:rsidP="00350A1B" w14:paraId="59E55DC6" w14:textId="77777777">
      <w:pPr>
        <w:pStyle w:val="NormalHanging12a"/>
      </w:pPr>
      <w:r w:rsidRPr="009033ED">
        <w:t>12.</w:t>
      </w:r>
      <w:r w:rsidRPr="009033ED">
        <w:tab/>
        <w:t xml:space="preserve">korostaa, että veden niukkuus, ympäristön ja maaperän huonontuminen, metsäkato ja muut ilmastoon liittyvät katastrofit ovat muuttovirtojen, myös pakkomuuton, taustatekijöitä; korostaa, että ympäristön tilan heikkenemisen ja ilmastosta johtuvien </w:t>
      </w:r>
      <w:r w:rsidRPr="009033ED">
        <w:t>katastrofien vuoksi siirtymään joutuneet henkilöt tarvitsevat asianmukaista tukea; kehottaa komissiota ja jäsenvaltioita asettamaan kehitysohjelmissa etusijalle investoinnit kestävään luonnonvarojen hallintaan, mukaan lukien veden ja maaperän suojelu, uudelleenmetsittäminen, ilmastokestävä maatalous ja uusiutuva energia, jotta voidaan vahvistaa sosiaalista yhteenkuuluvuutta ja yhteisöjen selviytymiskykyä, ehkäistä luonnonvaroihin liittyviä jännitteitä ja lisätä ihmisten mahdollisuuksia elää kestäväpohjaisesti lähtömaissaan;</w:t>
      </w:r>
    </w:p>
    <w:p w:rsidR="00E372DD" w:rsidRPr="009033ED" w:rsidP="00350A1B" w14:paraId="4F4B50B7" w14:textId="77777777">
      <w:pPr>
        <w:pStyle w:val="NormalHanging12a"/>
      </w:pPr>
      <w:r w:rsidRPr="009033ED">
        <w:t>13.</w:t>
      </w:r>
      <w:r w:rsidRPr="009033ED">
        <w:tab/>
        <w:t>korostaa, että EU:n on sovellettava kokonaisvaltaista lähestymistapaa, jossa keskitytään paikallistasoon ja jonka tavoitteena on antaa kehitysapua, jolla edistetään rakenteellista kehitystä tukemalla demokratiaa, oikeusvaltioperiaatetta, sääntöpohjaista järjestystä ja instituutioita, jotta saadaan aikaan kestäviä vaikutuksia;</w:t>
      </w:r>
    </w:p>
    <w:p w:rsidR="00E372DD" w:rsidRPr="009033ED" w:rsidP="00350A1B" w14:paraId="176469E1" w14:textId="77777777">
      <w:pPr>
        <w:pStyle w:val="NormalHanging12a"/>
      </w:pPr>
      <w:r w:rsidRPr="009033ED">
        <w:t>14.</w:t>
      </w:r>
      <w:r w:rsidRPr="009033ED">
        <w:tab/>
        <w:t>korostaa, että on tärkeää toteuttaa kehitysohjelmia tiiviissä yhteistyössä paikallisviranomaisten, kansalaisyhteiskunnan ja yksityisen sektorin kanssa;</w:t>
      </w:r>
    </w:p>
    <w:p w:rsidR="00E372DD" w:rsidRPr="009033ED" w:rsidP="00350A1B" w14:paraId="023E97B6" w14:textId="77777777">
      <w:pPr>
        <w:pStyle w:val="NormalHanging12a"/>
      </w:pPr>
      <w:r w:rsidRPr="009033ED">
        <w:t>15.</w:t>
      </w:r>
      <w:r w:rsidRPr="009033ED">
        <w:tab/>
        <w:t>korostaa tarvetta torjua ihmissalakuljetusta ja ihmiskauppaa vahvistamalla kansainvälistä ja monenvälistä yhteistyötä kumppanimaiden kanssa, mukaan lukien tarvittaessa paikallisviranomaiset, turvallisuusjoukot ja kansalaisjärjestöt, rikosten torjunnan, uhrien suojelun, tehostetun lainvalvonnan, disinformaation torjuntaa koskevien julkisten tiedotuskampanjoiden, rikoksentekijöiden syytteeseenpanon ja rikollisverkostojen ja muuttajien salakuljettajien harjoittaman muuttajien hyväksikäytön ehkäisemisen aloilla ja tarjoamalla turvallisempia vaihtoehtoja niin, että luodaan laillisia kanavia turvalliselle ja lailliselle muuttoliikkeelle ja työvoiman liikkuvuudelle; korostaa, että tiukka rajavalvonta ilman vaihtoehtoisia laillisia muuttoväyliä siirtää muuttoreitit muualle ja sen seurauksena syntyy erilaisia muuttomatkan vaiheita ja siirrytään käyttämään uusia kauttakulkumaita, mikä lisää matkan vaarallisuutta ja muuttajien altistumista salakuljetusverkostoille, kiristykselle ja väkivallalle;</w:t>
      </w:r>
    </w:p>
    <w:p w:rsidR="00E372DD" w:rsidRPr="009033ED" w:rsidP="00350A1B" w14:paraId="364ED2B8" w14:textId="77777777">
      <w:pPr>
        <w:pStyle w:val="NormalHanging12a"/>
      </w:pPr>
      <w:r w:rsidRPr="009033ED">
        <w:t>16.</w:t>
      </w:r>
      <w:r w:rsidRPr="009033ED">
        <w:tab/>
        <w:t>kehottaa komissiota ja jäsenvaltioita edistämään muuttoliikettä koskevaa yhteistyötä kumppanimaiden kanssa;</w:t>
      </w:r>
    </w:p>
    <w:p w:rsidR="00E372DD" w:rsidRPr="009033ED" w:rsidP="00350A1B" w14:paraId="08F6C021" w14:textId="77777777">
      <w:pPr>
        <w:pStyle w:val="NormalHanging12a"/>
      </w:pPr>
      <w:r w:rsidRPr="009033ED">
        <w:t>17.</w:t>
      </w:r>
      <w:r w:rsidRPr="009033ED">
        <w:tab/>
        <w:t>palauttaa mieliin, että humanitaarista apua olisi aina annettava humanitaaristen periaatteiden mukaisesti;</w:t>
      </w:r>
    </w:p>
    <w:p w:rsidR="00E372DD" w:rsidP="00350A1B" w14:paraId="7D356FF3" w14:textId="77777777">
      <w:pPr>
        <w:pStyle w:val="NormalHanging12a"/>
      </w:pPr>
      <w:r w:rsidRPr="009033ED">
        <w:t>18.</w:t>
      </w:r>
      <w:r w:rsidRPr="009033ED">
        <w:tab/>
        <w:t>kehottaa komissiota tukemaan edelleen lähtömaita ja vastaanottavia naapurimaita kasvavien mannertenvälisten muuttovirtojen käsittelyssä;</w:t>
      </w:r>
    </w:p>
    <w:p w:rsidR="003243D0" w:rsidRPr="009033ED" w:rsidP="003243D0" w14:paraId="4D9984AD" w14:textId="2049D0C0">
      <w:pPr>
        <w:pStyle w:val="NormalHanging12a"/>
      </w:pPr>
      <w:r>
        <w:t>19</w:t>
      </w:r>
      <w:r w:rsidRPr="003243D0">
        <w:t>.</w:t>
      </w:r>
      <w:r w:rsidRPr="003243D0">
        <w:tab/>
        <w:t>kehottaa komissiota ja jäsenvaltioita vahvistamaan valmiuksiaan ehkäistä muuttajien välineellistämistä ja vastata siihen; korostaa tarvetta tehostaa yhteistyötä kumppanimaiden ja asiaankuuluvien virastojen kanssa tällaisen toiminnan havaitsemiseksi, ehkäisemiseksi ja torjumiseksi;</w:t>
      </w:r>
    </w:p>
    <w:p w:rsidR="00E372DD" w:rsidRPr="009033ED" w:rsidP="00350A1B" w14:paraId="0614C5CD" w14:textId="57E341C2">
      <w:pPr>
        <w:pStyle w:val="NormalHanging12a"/>
      </w:pPr>
      <w:r>
        <w:t>20</w:t>
      </w:r>
      <w:r w:rsidRPr="009033ED">
        <w:t>.</w:t>
      </w:r>
      <w:r w:rsidRPr="009033ED">
        <w:tab/>
        <w:t>korostaa, että julkinen kehitysrahoitus on ratkaisevan tärkeää kumppanimaille ja että yksityisillä investoinneilla voidaan edistää EU:n kehityspolitiikan tavoitteiden saavuttamista, ja panee merkille, että yrityksiä kannustetaan tekemään investointeja käyttämällä EU:n investointitakuita, joiden edellytyksenä on huolellisuusvelvoitteen tiukka noudattaminen, jotta varmistetaan sosiaali-, ympäristö- ja hallintonormien noudattaminen sekä yhdenmukaisuus kestävän kehityksen tavoitteiden kanssa; palauttaa mieliin, että kestävän kehityksen tavoitteiden saavuttaminen on olennaisen tärkeää, jotta voidaan parantaa toimeentuloa kolmansissa maissa;</w:t>
      </w:r>
    </w:p>
    <w:p w:rsidR="00E372DD" w:rsidRPr="009033ED" w:rsidP="00350A1B" w14:paraId="65F4FB26" w14:textId="2484886B">
      <w:pPr>
        <w:pStyle w:val="NormalHanging12a"/>
      </w:pPr>
      <w:r w:rsidRPr="009033ED">
        <w:t>2</w:t>
      </w:r>
      <w:r w:rsidR="003243D0">
        <w:t>1</w:t>
      </w:r>
      <w:r w:rsidRPr="009033ED">
        <w:t>.</w:t>
      </w:r>
      <w:r w:rsidRPr="009033ED">
        <w:tab/>
        <w:t>toteaa, että EU:n rahoitusvälineiden sekä Euroopan kestävän kehityksen rahasto plussan ja Euroopan investointipankin tavoitteena olisi oltava luoda paikallista taloudellista tuottoa, jotta vahvistetaan taloudellista riippumattomuutta ja pitkän aikavälin kestävyyttä;</w:t>
      </w:r>
    </w:p>
    <w:p w:rsidR="00E372DD" w:rsidRPr="009033ED" w:rsidP="00350A1B" w14:paraId="0253CB0F" w14:textId="7DBCFBCB">
      <w:pPr>
        <w:pStyle w:val="NormalHanging12a"/>
      </w:pPr>
      <w:r w:rsidRPr="009033ED">
        <w:t>2</w:t>
      </w:r>
      <w:r w:rsidR="003243D0">
        <w:t>2</w:t>
      </w:r>
      <w:r w:rsidRPr="009033ED">
        <w:t>.</w:t>
      </w:r>
      <w:r w:rsidRPr="009033ED">
        <w:tab/>
        <w:t>muistuttaa, että julkinen kehitysapu on edelleen keskeinen väline köyhyyden vähentämisessä, eriarvoisuuteen puuttumisessa ja heikoimmassa asemassa olevien yhteisöjen tukemisessa; arvostelee painokkaasti maailman johtavien avunantajien dramaattisia leikkauksia julkiseen kehitysapuun; kehottaa EU:ta ja sen jäsenvaltioita noudattamaan sitoumustaan käyttää 0,7 prosenttia bruttokansantulosta julkiseen kehitysapuun;</w:t>
      </w:r>
    </w:p>
    <w:p w:rsidR="00E372DD" w:rsidRPr="009033ED" w:rsidP="00350A1B" w14:paraId="63A1A14A" w14:textId="659F57B4">
      <w:pPr>
        <w:pStyle w:val="NormalHanging12a"/>
      </w:pPr>
      <w:r w:rsidRPr="009033ED">
        <w:t>2</w:t>
      </w:r>
      <w:r w:rsidR="003243D0">
        <w:t>3</w:t>
      </w:r>
      <w:r w:rsidRPr="009033ED">
        <w:t>.</w:t>
      </w:r>
      <w:r w:rsidRPr="009033ED">
        <w:tab/>
        <w:t>kehottaa komissiota varmistamaan suuremman vastuuvelvollisuuden, avoimuuden ja parlamentaarisen valvonnan kaiken EU:n rahoituksen suunnittelussa ja täytäntöönpanossa, mikä koskee myös tulevaa Globaali Eurooppa -välinettä, jossa on asetettava etusijalle kestävän kehityksen tavoitteiden täytäntöönpano, myös laittomaan muuttoliikkeeseen liittyviin haasteisiin vastaamisen osalta;</w:t>
      </w:r>
    </w:p>
    <w:p w:rsidR="00E372DD" w:rsidRPr="009033ED" w:rsidP="00350A1B" w14:paraId="4AB57F7B" w14:textId="15D8B327">
      <w:pPr>
        <w:pStyle w:val="NormalHanging12a"/>
      </w:pPr>
      <w:r w:rsidRPr="009033ED">
        <w:t>2</w:t>
      </w:r>
      <w:r w:rsidR="003243D0">
        <w:t>4</w:t>
      </w:r>
      <w:r w:rsidRPr="009033ED">
        <w:t>.</w:t>
      </w:r>
      <w:r w:rsidRPr="009033ED">
        <w:tab/>
        <w:t>korostaa, että maatalouden ja maaseudun kehittäminen sekä elintarvike- ja ravitsemuspolitiikka voivat auttaa vastaamaan joihinkin muuttoliikkeen perimmäisiin syihin; muistuttaa, että maan ja luonnonvarojen saatavuus on ratkaisevan tärkeää, jotta voidaan varmistaa paikallisyhteisöjen ruoka- ja ravitsemusturva, parantaa pienviljelijöiden tuottavuutta samalla kun mukautetaan tuotantoa ilmastonmuutokseen sekä edistää YK:n elintarvike- ja maatalousjärjestön maanomistusoikeuksia koskevien vapaaehtoisten suuntaviivojen täytäntöönpanoa, joissa asetetaan etusijalle laillisten maanomistajien, erityisesti naisten, oikeudet ja tarpeet;</w:t>
      </w:r>
    </w:p>
    <w:p w:rsidR="00E372DD" w:rsidRPr="009033ED" w:rsidP="00350A1B" w14:paraId="2FE87C3C" w14:textId="0AFEEAAC">
      <w:pPr>
        <w:pStyle w:val="NormalHanging12a"/>
      </w:pPr>
      <w:r w:rsidRPr="009033ED">
        <w:t>2</w:t>
      </w:r>
      <w:r w:rsidR="003243D0">
        <w:t>5</w:t>
      </w:r>
      <w:r w:rsidRPr="009033ED">
        <w:t>.</w:t>
      </w:r>
      <w:r w:rsidRPr="009033ED">
        <w:tab/>
        <w:t>pyytää komissiota lisäämään osana kehitysstrategiaansa korkeakoulujen sekä teknisen ja ammatillisen koulutuksen tukea kumppanimaissa, jotta voidaan puuttua muuttoliikkeen perimmäisiin syihin; korostaa, että on tärkeää vahvistaa inhimillistä kehitystä investoimalla osaamiseen paikallisesti; kehottaa komissiota tukemaan kumppanimaita valmiuksien kehittämisessä tältä osin; kehottaa lisäksi lisäämään tukea nuorten johtamille aloitteille, joilla vahvistetaan osaamista, innovointia ja vaihtoa ja valjastetaan muuttoliike kestävän kehityksen edistäjäksi;</w:t>
      </w:r>
    </w:p>
    <w:p w:rsidR="00E372DD" w:rsidRPr="009033ED" w:rsidP="00350A1B" w14:paraId="04F2C884" w14:textId="20E11629">
      <w:pPr>
        <w:pStyle w:val="NormalHanging12a"/>
      </w:pPr>
      <w:r w:rsidRPr="009033ED">
        <w:t>2</w:t>
      </w:r>
      <w:r w:rsidR="003243D0">
        <w:t>6</w:t>
      </w:r>
      <w:r w:rsidRPr="009033ED">
        <w:t>.</w:t>
      </w:r>
      <w:r w:rsidRPr="009033ED">
        <w:tab/>
        <w:t>kehottaa komissiota tarkastelemaan edelleen EU:n osaamiskumppanuuksia useampien kolmansien maiden kanssa, erityisesti niiden, joista muutetaan paljon pois;</w:t>
      </w:r>
    </w:p>
    <w:p w:rsidR="00E372DD" w:rsidRPr="009033ED" w:rsidP="00350A1B" w14:paraId="710324B3" w14:textId="2E0BF118">
      <w:pPr>
        <w:pStyle w:val="NormalHanging12a"/>
      </w:pPr>
      <w:r w:rsidRPr="009033ED">
        <w:t>2</w:t>
      </w:r>
      <w:r w:rsidR="003243D0">
        <w:t>7</w:t>
      </w:r>
      <w:r w:rsidRPr="009033ED">
        <w:t>.</w:t>
      </w:r>
      <w:r w:rsidRPr="009033ED">
        <w:tab/>
        <w:t>korostaa, että taloudellinen voimaannuttaminen ja ihmisarvoisten työpaikkojen luominen ovat ensisijaisia keinoja vähentää eriarvoisuutta ja ne parantavat toimeentuloa lähtömaissa ja vähentävät siten syitä laittomalle muuttoliikkeelle; kehottaa tukemaan EU:n rahoituksella myös paikallista yrittäjyyttä ja julkista infrastruktuuria;</w:t>
      </w:r>
    </w:p>
    <w:p w:rsidR="00E372DD" w:rsidRPr="009033ED" w:rsidP="00350A1B" w14:paraId="20A3E270" w14:textId="6E0E2A54">
      <w:pPr>
        <w:pStyle w:val="NormalHanging12a"/>
      </w:pPr>
      <w:r w:rsidRPr="009033ED">
        <w:t>2</w:t>
      </w:r>
      <w:r w:rsidR="003243D0">
        <w:t>8</w:t>
      </w:r>
      <w:r w:rsidRPr="009033ED">
        <w:t>.</w:t>
      </w:r>
      <w:r w:rsidRPr="009033ED">
        <w:tab/>
        <w:t>korostaa, että nuorten on oltava kumppanuuksien ytimessä ja että he ovat olennaisen tärkeitä kestävän kehityksen kannalta; korostaa, että on tärkeää tukea vaihto-ohjelmia, kuten Erasmus+ -ohjelmaa ja muita nuorten liikkuvuus- ja osaamisohjelmia, jotta voidaan tarjota koulutus- ja työllistymismahdollisuuksia ja antaa nuorille mahdollisuus menestyä lähtömaissaan;</w:t>
      </w:r>
    </w:p>
    <w:p w:rsidR="00E372DD" w:rsidRPr="009033ED" w:rsidP="00350A1B" w14:paraId="4A329C75" w14:textId="2BAD423B">
      <w:pPr>
        <w:pStyle w:val="NormalHanging12a"/>
      </w:pPr>
      <w:r w:rsidRPr="009033ED">
        <w:t>2</w:t>
      </w:r>
      <w:r w:rsidR="003243D0">
        <w:t>9</w:t>
      </w:r>
      <w:r w:rsidRPr="009033ED">
        <w:t>.</w:t>
      </w:r>
      <w:r w:rsidRPr="009033ED">
        <w:tab/>
        <w:t>kehottaa komissiota sisällyttämään maatalouden ja vesihuollon yhteistyötä koskeviin painopisteisiinsä ja edistämään hankkeita, joilla parannetaan omavaraisuutta ja vähennetään muuttopainetta;</w:t>
      </w:r>
    </w:p>
    <w:p w:rsidR="00E372DD" w:rsidRPr="009033ED" w:rsidP="00350A1B" w14:paraId="12A91012" w14:textId="1EC35C0F">
      <w:pPr>
        <w:pStyle w:val="NormalHanging12a"/>
      </w:pPr>
      <w:r>
        <w:t>30</w:t>
      </w:r>
      <w:r w:rsidRPr="009033ED">
        <w:t>.</w:t>
      </w:r>
      <w:r w:rsidRPr="009033ED">
        <w:tab/>
        <w:t>panee merkille, että muuttoliike ja aivovuoto voivat aiheuttaa haasteita kumppanimaiden kehitykselle, sillä ne riistävät niiltä saatavilla olevan osaavan työvoiman; muistuttaa, että tätä riskiä voidaan lieventää kehitysyhteistyön avulla kattavilla strategioilla, joilla tuetaan laadukkaita koulutusjärjestelmiä, vahvistetaan paikallisia työllistymismahdollisuuksia ja edistetään tietämyksen ja osaamisen siirtoa; kehottaa siksi komissiota jatkamaan työtään tällä alalla muun muassa puuttumalla aivovuotoon kehityspolitiikan kehyksen ja rahoituksen avulla;</w:t>
      </w:r>
    </w:p>
    <w:p w:rsidR="00E372DD" w:rsidRPr="009033ED" w:rsidP="00350A1B" w14:paraId="7ADA34AA" w14:textId="4DFB19F0">
      <w:pPr>
        <w:pStyle w:val="NormalHanging12a"/>
      </w:pPr>
      <w:r w:rsidRPr="009033ED">
        <w:t>3</w:t>
      </w:r>
      <w:r w:rsidR="003243D0">
        <w:t>1</w:t>
      </w:r>
      <w:r w:rsidRPr="009033ED">
        <w:t>.</w:t>
      </w:r>
      <w:r w:rsidRPr="009033ED">
        <w:tab/>
        <w:t>panee merkille maahanmuuttajayhteisöjen ratkaisevan roolin kestävän kehityksen, investointien ja innovoinnin edistämisessä lähtömaissaan; korostaa, että maahanmuuttajayhteisöjen verkostojen voimaannuttaminen luo vastavuoroisia etuja sekä kumppanimaille että EU:lle; kehottaa EU:ta ja sen jäsenvaltioita tehostamaan yhteistyötä maahanmuuttajajärjestöjen kanssa ja kehittämään osallistavia ohjelmia, joilla edistetään molempia osapuolia hyödyttäviä kiertomuuton muotoja;</w:t>
      </w:r>
    </w:p>
    <w:p w:rsidR="00E372DD" w:rsidRPr="009033ED" w:rsidP="00350A1B" w14:paraId="20234B75" w14:textId="2B758A8C">
      <w:pPr>
        <w:pStyle w:val="NormalHanging12a"/>
      </w:pPr>
      <w:r w:rsidRPr="009033ED">
        <w:t>3</w:t>
      </w:r>
      <w:r w:rsidR="003243D0">
        <w:t>2</w:t>
      </w:r>
      <w:r w:rsidRPr="009033ED">
        <w:t>.</w:t>
      </w:r>
      <w:r w:rsidRPr="009033ED">
        <w:tab/>
        <w:t>kehottaa komissiota ja jäsenvaltioita investoimaan sekä EU:ssa että kolmansissa maissa toteutettaviin tiedotuskampanjoihin, joilla torjutaan disinformaatiota ja levitetään tietoa laittoman muuttoliikkeen riskeistä ja edistetään ymmärrystä EU:n säännöistä, jotka koskevat työperäiseen muuttoliikkeeseen liittyviä velvollisuuksia;</w:t>
      </w:r>
    </w:p>
    <w:p w:rsidR="00E372DD" w:rsidRPr="009033ED" w:rsidP="00350A1B" w14:paraId="051277FD" w14:textId="36478850">
      <w:pPr>
        <w:pStyle w:val="NormalHanging12a"/>
      </w:pPr>
      <w:r w:rsidRPr="009033ED">
        <w:t>3</w:t>
      </w:r>
      <w:r w:rsidR="003243D0">
        <w:t>3</w:t>
      </w:r>
      <w:r w:rsidRPr="009033ED">
        <w:t>.</w:t>
      </w:r>
      <w:r w:rsidRPr="009033ED">
        <w:tab/>
        <w:t>kehottaa komissiota ja jäsenvaltioita lisäämään rahoitusta, jolla parannetaan oikeusvaltioperiaatetta, demokratiatukea, valtiorakenteiden ja valmiuksien kehittämistä sekä julkisia palveluja, kuten terveydenhuoltoa, puhtaan veden saatavuutta ja koulutusta;</w:t>
      </w:r>
    </w:p>
    <w:p w:rsidR="00E372DD" w:rsidRPr="009033ED" w:rsidP="00350A1B" w14:paraId="3091C608" w14:textId="55E06BAD">
      <w:pPr>
        <w:pStyle w:val="NormalHanging12a"/>
      </w:pPr>
      <w:r w:rsidRPr="009033ED">
        <w:t>3</w:t>
      </w:r>
      <w:r w:rsidR="003243D0">
        <w:t>4</w:t>
      </w:r>
      <w:r w:rsidRPr="009033ED">
        <w:t>.</w:t>
      </w:r>
      <w:r w:rsidRPr="009033ED">
        <w:tab/>
        <w:t>tähdentää, että kokonaisvaltainen lähestymistapa, jossa yhdistyvät kehitysyhteistyö ja muuttoliikkeen hallinta, on olennaisen tärkeä, jotta voidaan varmistaa turvallisuus ja solidaarisuus sekä EU:ssa että lähtö- ja kauttakulkumaissa;</w:t>
      </w:r>
    </w:p>
    <w:p w:rsidR="00E372DD" w:rsidRPr="009033ED" w:rsidP="00350A1B" w14:paraId="6366DF52" w14:textId="7D946388">
      <w:pPr>
        <w:pStyle w:val="NormalHanging12a"/>
      </w:pPr>
      <w:r w:rsidRPr="009033ED">
        <w:t>3</w:t>
      </w:r>
      <w:r w:rsidR="003243D0">
        <w:t>5</w:t>
      </w:r>
      <w:r w:rsidRPr="009033ED">
        <w:t>.</w:t>
      </w:r>
      <w:r w:rsidRPr="009033ED">
        <w:tab/>
        <w:t>suhtautuu myönteisesti ratkaisevan tärkeään työhön, jota tekevät humanitaariset, kehitysalan ja rauhantyön toimijat, erityisesti YK:n järjestöt, muut kansainväliset järjestöt ja paikalliset toimijat, mukaan lukien paikallisviranomaiset, kansalaisjärjestöt, ihmisoikeuksien puolustajat, naisjärjestöt, nuorisojärjestöt ja kansalaisjärjestöt sekä uskonnolliset yhteisöt ja järjestöt;</w:t>
      </w:r>
    </w:p>
    <w:p w:rsidR="00E372DD" w:rsidRPr="009033ED" w:rsidP="002B0EF6" w14:paraId="7C923263" w14:textId="6886CC53">
      <w:pPr>
        <w:pStyle w:val="NormalCenter12a"/>
      </w:pPr>
      <w:r w:rsidRPr="009033ED">
        <w:t>°</w:t>
      </w:r>
    </w:p>
    <w:p w:rsidR="00E372DD" w:rsidRPr="009033ED" w:rsidP="00350A1B" w14:paraId="0FA40BDC" w14:textId="70FF0464">
      <w:pPr>
        <w:pStyle w:val="NormalCenter12a"/>
      </w:pPr>
      <w:r w:rsidRPr="009033ED">
        <w:t>°</w:t>
      </w:r>
      <w:r w:rsidRPr="009033ED">
        <w:tab/>
        <w:t>°</w:t>
      </w:r>
    </w:p>
    <w:p w:rsidR="00CA285A" w:rsidRPr="009033ED" w:rsidP="00350A1B" w14:paraId="2367AF32" w14:textId="2E07C311">
      <w:pPr>
        <w:pStyle w:val="NormalHanging12a"/>
      </w:pPr>
      <w:r w:rsidRPr="009033ED">
        <w:t>3</w:t>
      </w:r>
      <w:r w:rsidR="003243D0">
        <w:t>6</w:t>
      </w:r>
      <w:r w:rsidRPr="009033ED">
        <w:t>.</w:t>
      </w:r>
      <w:r w:rsidRPr="009033ED">
        <w:tab/>
        <w:t>kehottaa puhemiestä välittämään tämän päätöslauselman neuvostolle, komissiolle ja Euroopan ulkosuhdehallinnolle.</w:t>
      </w:r>
    </w:p>
    <w:p w:rsidR="00E365E1" w:rsidRPr="009033ED" w:rsidP="00350A1B" w14:paraId="3B26A57A" w14:textId="179A166D">
      <w:pPr>
        <w:widowControl/>
      </w:pPr>
    </w:p>
    <w:sectPr w:rsidSect="00CA285A">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07912" w:rsidRPr="00CA285A" w14:paraId="798478C2" w14:textId="77777777">
      <w:r w:rsidRPr="00CA285A">
        <w:separator/>
      </w:r>
    </w:p>
  </w:footnote>
  <w:footnote w:type="continuationSeparator" w:id="1">
    <w:p w:rsidR="00B07912" w:rsidRPr="00CA285A" w14:paraId="72A4EA56" w14:textId="77777777">
      <w:r w:rsidRPr="00CA285A">
        <w:continuationSeparator/>
      </w:r>
    </w:p>
  </w:footnote>
  <w:footnote w:id="2">
    <w:p w:rsidR="00350A1B" w:rsidRPr="00CA285A" w:rsidP="00CA285A" w14:paraId="71FC18CD" w14:textId="64693A59">
      <w:pPr>
        <w:pStyle w:val="FootnoteText"/>
        <w:ind w:left="567" w:hanging="567"/>
        <w:rPr>
          <w:sz w:val="24"/>
          <w:lang w:val="fi-FI"/>
        </w:rPr>
      </w:pPr>
      <w:r>
        <w:rPr>
          <w:rStyle w:val="FootnoteReference"/>
        </w:rPr>
        <w:footnoteRef/>
      </w:r>
      <w:r w:rsidRPr="00CA285A">
        <w:rPr>
          <w:sz w:val="24"/>
          <w:lang w:val="fi-FI"/>
        </w:rPr>
        <w:t xml:space="preserve"> </w:t>
      </w:r>
      <w:r w:rsidRPr="00CA285A">
        <w:rPr>
          <w:sz w:val="24"/>
          <w:lang w:val="fi-FI"/>
        </w:rPr>
        <w:tab/>
        <w:t xml:space="preserve">EUVL L 209, 14.6.2021, s. 1, ELI: </w:t>
      </w:r>
      <w:hyperlink r:id="rId1" w:tgtFrame="http://data.europa.eu/eli/reg/2021/947/oj" w:history="1">
        <w:r w:rsidRPr="00CA285A">
          <w:rPr>
            <w:rStyle w:val="Hyperlink"/>
            <w:sz w:val="24"/>
            <w:lang w:val="fi-FI"/>
          </w:rPr>
          <w:t>http://data.europa.eu/eli/reg/2021/947/oj</w:t>
        </w:r>
      </w:hyperlink>
      <w:r w:rsidRPr="00CA285A">
        <w:rPr>
          <w:sz w:val="24"/>
          <w:lang w:val="fi-FI"/>
        </w:rPr>
        <w:t>.</w:t>
      </w:r>
    </w:p>
  </w:footnote>
  <w:footnote w:id="3">
    <w:p w:rsidR="00350A1B" w:rsidRPr="00CA285A" w:rsidP="00CA285A" w14:paraId="01565B2F" w14:textId="65FC722A">
      <w:pPr>
        <w:pStyle w:val="FootnoteText"/>
        <w:ind w:left="567" w:hanging="567"/>
        <w:rPr>
          <w:sz w:val="24"/>
          <w:lang w:val="fi-FI"/>
        </w:rPr>
      </w:pPr>
      <w:r>
        <w:rPr>
          <w:rStyle w:val="FootnoteReference"/>
        </w:rPr>
        <w:footnoteRef/>
      </w:r>
      <w:r w:rsidRPr="00CA285A">
        <w:rPr>
          <w:sz w:val="24"/>
          <w:lang w:val="fi-FI"/>
        </w:rPr>
        <w:t xml:space="preserve"> </w:t>
      </w:r>
      <w:r w:rsidRPr="00CA285A">
        <w:rPr>
          <w:sz w:val="24"/>
          <w:lang w:val="fi-FI"/>
        </w:rPr>
        <w:tab/>
        <w:t xml:space="preserve">EUVL L, 2024/1351, 22.5.2024, ELI: </w:t>
      </w:r>
      <w:hyperlink r:id="rId2" w:tgtFrame="http://data.europa.eu/eli/reg/2024/1351/oj" w:history="1">
        <w:r w:rsidRPr="00CA285A">
          <w:rPr>
            <w:rStyle w:val="Hyperlink"/>
            <w:sz w:val="24"/>
            <w:lang w:val="fi-FI"/>
          </w:rPr>
          <w:t>http://data.europa.eu/eli/reg/2024/1351/oj</w:t>
        </w:r>
      </w:hyperlink>
      <w:r w:rsidRPr="00CA285A">
        <w:rPr>
          <w:sz w:val="24"/>
          <w:lang w:val="fi-FI"/>
        </w:rPr>
        <w:t>.</w:t>
      </w:r>
    </w:p>
  </w:footnote>
  <w:footnote w:id="4">
    <w:p w:rsidR="00350A1B" w:rsidRPr="00CA285A" w:rsidP="00CA285A" w14:paraId="3D654FF0" w14:textId="7945B3B0">
      <w:pPr>
        <w:pStyle w:val="FootnoteText"/>
        <w:ind w:left="567" w:hanging="567"/>
        <w:rPr>
          <w:sz w:val="24"/>
          <w:lang w:val="fi-FI"/>
        </w:rPr>
      </w:pPr>
      <w:r>
        <w:rPr>
          <w:rStyle w:val="FootnoteReference"/>
        </w:rPr>
        <w:footnoteRef/>
      </w:r>
      <w:r w:rsidRPr="00CA285A">
        <w:rPr>
          <w:sz w:val="24"/>
          <w:lang w:val="fi-FI"/>
        </w:rPr>
        <w:t xml:space="preserve"> </w:t>
      </w:r>
      <w:r w:rsidRPr="00CA285A">
        <w:rPr>
          <w:sz w:val="24"/>
          <w:lang w:val="fi-FI"/>
        </w:rPr>
        <w:tab/>
        <w:t>EUVL L</w:t>
      </w:r>
      <w:r w:rsidR="002B0EF6">
        <w:rPr>
          <w:sz w:val="24"/>
          <w:lang w:val="fi-FI"/>
        </w:rPr>
        <w:t>,</w:t>
      </w:r>
      <w:r w:rsidRPr="00CA285A">
        <w:rPr>
          <w:sz w:val="24"/>
          <w:lang w:val="fi-FI"/>
        </w:rPr>
        <w:t xml:space="preserve"> 2023/2862, 28.12.2023, ELI: </w:t>
      </w:r>
      <w:hyperlink r:id="rId3" w:tgtFrame="http://data.europa.eu/eli/agree_internation/2023/2862/oj" w:history="1">
        <w:r w:rsidRPr="00CA285A">
          <w:rPr>
            <w:rStyle w:val="Hyperlink"/>
            <w:sz w:val="24"/>
            <w:lang w:val="fi-FI"/>
          </w:rPr>
          <w:t>http://data.europa.eu/eli/agree_internation/2023/2862/oj</w:t>
        </w:r>
      </w:hyperlink>
      <w:r w:rsidRPr="00CA285A">
        <w:rPr>
          <w:sz w:val="24"/>
          <w:lang w:val="fi-FI"/>
        </w:rPr>
        <w:t>.</w:t>
      </w:r>
    </w:p>
  </w:footnote>
  <w:footnote w:id="5">
    <w:p w:rsidR="00350A1B" w:rsidRPr="00CA285A" w:rsidP="00CA285A" w14:paraId="4EDD0A16" w14:textId="6A688217">
      <w:pPr>
        <w:pStyle w:val="FootnoteText"/>
        <w:ind w:left="567" w:hanging="567"/>
        <w:rPr>
          <w:sz w:val="24"/>
          <w:lang w:val="fi-FI"/>
        </w:rPr>
      </w:pPr>
      <w:r>
        <w:rPr>
          <w:rStyle w:val="FootnoteReference"/>
        </w:rPr>
        <w:footnoteRef/>
      </w:r>
      <w:r w:rsidRPr="00CA285A">
        <w:rPr>
          <w:sz w:val="24"/>
          <w:lang w:val="fi-FI"/>
        </w:rPr>
        <w:t xml:space="preserve"> </w:t>
      </w:r>
      <w:r w:rsidRPr="00CA285A">
        <w:rPr>
          <w:sz w:val="24"/>
          <w:lang w:val="fi-FI"/>
        </w:rPr>
        <w:tab/>
        <w:t xml:space="preserve">EUVL C, C/2026/576, 24.2.2026, ELI: </w:t>
      </w:r>
      <w:hyperlink r:id="rId4" w:tgtFrame="http://data.europa.eu/eli/C/2026/576/oj" w:history="1">
        <w:r w:rsidRPr="00CA285A">
          <w:rPr>
            <w:rStyle w:val="Hyperlink"/>
            <w:sz w:val="24"/>
            <w:lang w:val="fi-FI"/>
          </w:rPr>
          <w:t>http://data.europa.eu/eli/C/2026/576/oj</w:t>
        </w:r>
      </w:hyperlink>
      <w:r w:rsidRPr="00CA285A">
        <w:rPr>
          <w:sz w:val="24"/>
          <w:lang w:val="fi-FI"/>
        </w:rPr>
        <w:t>.</w:t>
      </w:r>
    </w:p>
  </w:footnote>
  <w:footnote w:id="6">
    <w:p w:rsidR="00350A1B" w:rsidRPr="00CA285A" w:rsidP="00CA285A" w14:paraId="6819D0C5" w14:textId="47D810F9">
      <w:pPr>
        <w:pStyle w:val="FootnoteText"/>
        <w:ind w:left="567" w:hanging="567"/>
        <w:rPr>
          <w:sz w:val="24"/>
          <w:lang w:val="fi-FI"/>
        </w:rPr>
      </w:pPr>
      <w:r>
        <w:rPr>
          <w:rStyle w:val="FootnoteReference"/>
        </w:rPr>
        <w:footnoteRef/>
      </w:r>
      <w:r w:rsidRPr="00CA285A">
        <w:rPr>
          <w:sz w:val="24"/>
          <w:lang w:val="fi-FI"/>
        </w:rPr>
        <w:t xml:space="preserve"> </w:t>
      </w:r>
      <w:r w:rsidRPr="00CA285A">
        <w:rPr>
          <w:sz w:val="24"/>
          <w:lang w:val="fi-FI"/>
        </w:rPr>
        <w:tab/>
      </w:r>
      <w:r w:rsidRPr="00CA285A">
        <w:rPr>
          <w:sz w:val="24"/>
          <w:lang w:val="fi-FI"/>
        </w:rPr>
        <w:t>Talleraas</w:t>
      </w:r>
      <w:r w:rsidRPr="00CA285A">
        <w:rPr>
          <w:sz w:val="24"/>
          <w:lang w:val="fi-FI"/>
        </w:rPr>
        <w:t xml:space="preserve">, C., </w:t>
      </w:r>
      <w:r w:rsidRPr="00CA285A">
        <w:rPr>
          <w:i/>
          <w:sz w:val="24"/>
          <w:lang w:val="fi-FI"/>
        </w:rPr>
        <w:t>The</w:t>
      </w:r>
      <w:r w:rsidRPr="00CA285A">
        <w:rPr>
          <w:i/>
          <w:sz w:val="24"/>
          <w:lang w:val="fi-FI"/>
        </w:rPr>
        <w:t xml:space="preserve"> </w:t>
      </w:r>
      <w:r w:rsidRPr="00CA285A">
        <w:rPr>
          <w:i/>
          <w:sz w:val="24"/>
          <w:lang w:val="fi-FI"/>
        </w:rPr>
        <w:t>role</w:t>
      </w:r>
      <w:r w:rsidRPr="00CA285A">
        <w:rPr>
          <w:i/>
          <w:sz w:val="24"/>
          <w:lang w:val="fi-FI"/>
        </w:rPr>
        <w:t xml:space="preserve"> of EU </w:t>
      </w:r>
      <w:r w:rsidRPr="00CA285A">
        <w:rPr>
          <w:i/>
          <w:sz w:val="24"/>
          <w:lang w:val="fi-FI"/>
        </w:rPr>
        <w:t>development</w:t>
      </w:r>
      <w:r w:rsidRPr="00CA285A">
        <w:rPr>
          <w:i/>
          <w:sz w:val="24"/>
          <w:lang w:val="fi-FI"/>
        </w:rPr>
        <w:t xml:space="preserve"> </w:t>
      </w:r>
      <w:r w:rsidRPr="00CA285A">
        <w:rPr>
          <w:i/>
          <w:sz w:val="24"/>
          <w:lang w:val="fi-FI"/>
        </w:rPr>
        <w:t>cooperation</w:t>
      </w:r>
      <w:r w:rsidRPr="00CA285A">
        <w:rPr>
          <w:i/>
          <w:sz w:val="24"/>
          <w:lang w:val="fi-FI"/>
        </w:rPr>
        <w:t xml:space="preserve"> in </w:t>
      </w:r>
      <w:r w:rsidRPr="00CA285A">
        <w:rPr>
          <w:i/>
          <w:sz w:val="24"/>
          <w:lang w:val="fi-FI"/>
        </w:rPr>
        <w:t>addressing</w:t>
      </w:r>
      <w:r w:rsidRPr="00CA285A">
        <w:rPr>
          <w:i/>
          <w:sz w:val="24"/>
          <w:lang w:val="fi-FI"/>
        </w:rPr>
        <w:t xml:space="preserve"> </w:t>
      </w:r>
      <w:r w:rsidRPr="00CA285A">
        <w:rPr>
          <w:i/>
          <w:sz w:val="24"/>
          <w:lang w:val="fi-FI"/>
        </w:rPr>
        <w:t>irregular</w:t>
      </w:r>
      <w:r w:rsidRPr="00CA285A">
        <w:rPr>
          <w:i/>
          <w:sz w:val="24"/>
          <w:lang w:val="fi-FI"/>
        </w:rPr>
        <w:t xml:space="preserve"> </w:t>
      </w:r>
      <w:r w:rsidRPr="00CA285A">
        <w:rPr>
          <w:i/>
          <w:sz w:val="24"/>
          <w:lang w:val="fi-FI"/>
        </w:rPr>
        <w:t>migration</w:t>
      </w:r>
      <w:r w:rsidRPr="00CA285A">
        <w:rPr>
          <w:i/>
          <w:sz w:val="24"/>
          <w:lang w:val="fi-FI"/>
        </w:rPr>
        <w:t xml:space="preserve"> in Africa</w:t>
      </w:r>
      <w:r w:rsidRPr="00CA285A">
        <w:rPr>
          <w:sz w:val="24"/>
          <w:lang w:val="fi-FI"/>
        </w:rPr>
        <w:t>, ulkoasioiden analyysi- ja tukiyksikkö, unionin ulkoasioiden pääosasto, lokakuu 2025.</w:t>
      </w:r>
    </w:p>
  </w:footnote>
  <w:footnote w:id="7">
    <w:p w:rsidR="00350A1B" w:rsidRPr="00350A1B" w:rsidP="00CA285A" w14:paraId="160E0671" w14:textId="725D23D5">
      <w:pPr>
        <w:pStyle w:val="FootnoteText"/>
        <w:ind w:left="567" w:hanging="567"/>
        <w:rPr>
          <w:sz w:val="24"/>
          <w:lang w:val="en-GB"/>
        </w:rPr>
      </w:pPr>
      <w:r>
        <w:rPr>
          <w:rStyle w:val="FootnoteReference"/>
        </w:rPr>
        <w:footnoteRef/>
      </w:r>
      <w:r w:rsidRPr="00350A1B">
        <w:rPr>
          <w:sz w:val="24"/>
          <w:lang w:val="en-GB"/>
        </w:rPr>
        <w:t xml:space="preserve"> </w:t>
      </w:r>
      <w:r w:rsidRPr="00350A1B">
        <w:rPr>
          <w:sz w:val="24"/>
          <w:lang w:val="en-GB"/>
        </w:rPr>
        <w:tab/>
        <w:t>EUVL C 494, 8.12.2021, s. 80.</w:t>
      </w:r>
    </w:p>
  </w:footnote>
  <w:footnote w:id="8">
    <w:p w:rsidR="00350A1B" w:rsidRPr="00350A1B" w:rsidP="00CA285A" w14:paraId="59F24C72" w14:textId="3AE63C61">
      <w:pPr>
        <w:pStyle w:val="FootnoteText"/>
        <w:ind w:left="567" w:hanging="567"/>
        <w:rPr>
          <w:sz w:val="24"/>
          <w:lang w:val="en-GB"/>
        </w:rPr>
      </w:pPr>
      <w:r>
        <w:rPr>
          <w:rStyle w:val="FootnoteReference"/>
        </w:rPr>
        <w:footnoteRef/>
      </w:r>
      <w:r w:rsidRPr="00350A1B">
        <w:rPr>
          <w:sz w:val="24"/>
          <w:lang w:val="en-GB"/>
        </w:rPr>
        <w:t xml:space="preserve"> </w:t>
      </w:r>
      <w:r w:rsidRPr="00350A1B">
        <w:rPr>
          <w:sz w:val="24"/>
          <w:lang w:val="en-GB"/>
        </w:rPr>
        <w:tab/>
        <w:t xml:space="preserve">Essentials of Migration Management, ”Drivers of international migration”, </w:t>
      </w:r>
      <w:hyperlink r:id="rId5" w:tgtFrame="https://emm.iom.int/handbooks/global-context-international-migration/drivers-international-migration" w:history="1">
        <w:r w:rsidRPr="00350A1B">
          <w:rPr>
            <w:rStyle w:val="Hyperlink"/>
            <w:sz w:val="24"/>
            <w:lang w:val="en-GB"/>
          </w:rPr>
          <w:t>https://emm.iom.int/handbooks/global-context-international-migration/drivers-international-migration</w:t>
        </w:r>
      </w:hyperlink>
      <w:r w:rsidRPr="00350A1B">
        <w:rPr>
          <w:sz w:val="24"/>
          <w:lang w:val="en-GB"/>
        </w:rPr>
        <w:t>.</w:t>
      </w:r>
    </w:p>
  </w:footnote>
  <w:footnote w:id="9">
    <w:p w:rsidR="00350A1B" w:rsidRPr="00350A1B" w:rsidP="00CA285A" w14:paraId="64078498" w14:textId="244F9725">
      <w:pPr>
        <w:pStyle w:val="FootnoteText"/>
        <w:ind w:left="567" w:hanging="567"/>
        <w:rPr>
          <w:sz w:val="24"/>
          <w:lang w:val="en-GB"/>
        </w:rPr>
      </w:pPr>
      <w:r>
        <w:rPr>
          <w:rStyle w:val="FootnoteReference"/>
        </w:rPr>
        <w:footnoteRef/>
      </w:r>
      <w:r w:rsidRPr="00350A1B">
        <w:rPr>
          <w:sz w:val="24"/>
          <w:lang w:val="en-GB"/>
        </w:rPr>
        <w:t xml:space="preserve"> </w:t>
      </w:r>
      <w:r w:rsidRPr="00350A1B">
        <w:rPr>
          <w:sz w:val="24"/>
          <w:lang w:val="en-GB"/>
        </w:rPr>
        <w:tab/>
      </w:r>
      <w:r w:rsidRPr="00350A1B">
        <w:rPr>
          <w:sz w:val="24"/>
          <w:lang w:val="en-GB"/>
        </w:rPr>
        <w:t>EU:n</w:t>
      </w:r>
      <w:r w:rsidRPr="00350A1B">
        <w:rPr>
          <w:sz w:val="24"/>
          <w:lang w:val="en-GB"/>
        </w:rPr>
        <w:t xml:space="preserve"> </w:t>
      </w:r>
      <w:r w:rsidRPr="00350A1B">
        <w:rPr>
          <w:sz w:val="24"/>
          <w:lang w:val="en-GB"/>
        </w:rPr>
        <w:t>turvapaikkavirasto</w:t>
      </w:r>
      <w:r w:rsidRPr="00350A1B">
        <w:rPr>
          <w:sz w:val="24"/>
          <w:lang w:val="en-GB"/>
        </w:rPr>
        <w:t xml:space="preserve">, ”3.4. Data on applications for international protection”, </w:t>
      </w:r>
      <w:hyperlink r:id="rId6" w:tgtFrame="https://euaa.europa.eu/asylum-report-2025/34-data-applications-international-protection" w:history="1">
        <w:r w:rsidRPr="00350A1B">
          <w:rPr>
            <w:rStyle w:val="Hyperlink"/>
            <w:sz w:val="24"/>
            <w:lang w:val="en-GB"/>
          </w:rPr>
          <w:t>https://euaa.europa.eu/asylum-report-2025/34-data-applications-international-protection</w:t>
        </w:r>
      </w:hyperlink>
      <w:r w:rsidRPr="00350A1B">
        <w:rPr>
          <w:sz w:val="24"/>
          <w:lang w:val="en-GB"/>
        </w:rPr>
        <w:t>.</w:t>
      </w:r>
    </w:p>
  </w:footnote>
  <w:footnote w:id="10">
    <w:p w:rsidR="00350A1B" w:rsidRPr="00350A1B" w:rsidP="00CA285A" w14:paraId="4ABC27EB" w14:textId="4B03BF37">
      <w:pPr>
        <w:pStyle w:val="FootnoteText"/>
        <w:ind w:left="567" w:hanging="567"/>
        <w:rPr>
          <w:sz w:val="24"/>
          <w:lang w:val="en-GB"/>
        </w:rPr>
      </w:pPr>
      <w:r>
        <w:rPr>
          <w:rStyle w:val="FootnoteReference"/>
        </w:rPr>
        <w:footnoteRef/>
      </w:r>
      <w:r w:rsidRPr="00350A1B">
        <w:rPr>
          <w:sz w:val="24"/>
          <w:lang w:val="en-GB"/>
        </w:rPr>
        <w:t xml:space="preserve"> </w:t>
      </w:r>
      <w:r w:rsidRPr="00350A1B">
        <w:rPr>
          <w:sz w:val="24"/>
          <w:lang w:val="en-GB"/>
        </w:rPr>
        <w:tab/>
      </w:r>
      <w:hyperlink r:id="rId7" w:tgtFrame="https://www.frontex.europa.eu/media-centre/news/news-release/frontex-irregular-border-crossings-down-26-in-2025-europe-must-stay-prepared-lyKpVb" w:history="1">
        <w:r w:rsidRPr="00350A1B">
          <w:rPr>
            <w:rStyle w:val="Hyperlink"/>
            <w:sz w:val="24"/>
            <w:lang w:val="en-GB"/>
          </w:rPr>
          <w:t>https://www.frontex.europa.eu/media-centre/news/news-release/frontex-irregular-border-crossings-down-26-in-2025-europe-must-stay-prepared-lyKpVb</w:t>
        </w:r>
      </w:hyperlink>
      <w:r w:rsidRPr="00350A1B">
        <w:rPr>
          <w:sz w:val="24"/>
          <w:lang w:val="en-GB"/>
        </w:rPr>
        <w:t>.</w:t>
      </w:r>
    </w:p>
  </w:footnote>
  <w:footnote w:id="11">
    <w:p w:rsidR="00350A1B" w:rsidRPr="00350A1B" w:rsidP="00CA285A" w14:paraId="477BD7BB" w14:textId="75CF46DA">
      <w:pPr>
        <w:pStyle w:val="FootnoteText"/>
        <w:ind w:left="567" w:hanging="567"/>
        <w:rPr>
          <w:sz w:val="24"/>
          <w:lang w:val="en-GB"/>
        </w:rPr>
      </w:pPr>
      <w:r>
        <w:rPr>
          <w:rStyle w:val="FootnoteReference"/>
        </w:rPr>
        <w:footnoteRef/>
      </w:r>
      <w:r w:rsidRPr="00CA285A">
        <w:rPr>
          <w:sz w:val="24"/>
          <w:lang w:val="fi-FI"/>
        </w:rPr>
        <w:t xml:space="preserve"> </w:t>
      </w:r>
      <w:r w:rsidRPr="00CA285A">
        <w:rPr>
          <w:sz w:val="24"/>
          <w:lang w:val="fi-FI"/>
        </w:rPr>
        <w:tab/>
        <w:t xml:space="preserve">Luku ei sisällä Ukrainasta tulleita turvapaikanhakijoita ja pakolaisia, jotka saavat tilapäistä suojelua osassa jäsenvaltioita. </w:t>
      </w:r>
      <w:r w:rsidRPr="00350A1B">
        <w:rPr>
          <w:sz w:val="24"/>
          <w:lang w:val="en-GB"/>
        </w:rPr>
        <w:t xml:space="preserve">Eurostat, ”Migration to and from the EU”, </w:t>
      </w:r>
      <w:hyperlink r:id="rId8" w:tgtFrame="https://ec.europa.eu/eurostat/statistics-explained/index.php?title=Migration_to_and_from_the_EU" w:history="1">
        <w:r w:rsidRPr="00350A1B">
          <w:rPr>
            <w:rStyle w:val="Hyperlink"/>
            <w:sz w:val="24"/>
            <w:lang w:val="en-GB"/>
          </w:rPr>
          <w:t>https://ec.europa.eu/eurostat/statistics-explained/index.php?title=Migration_to_and_from_the_EU</w:t>
        </w:r>
      </w:hyperlink>
      <w:r w:rsidRPr="00350A1B">
        <w:rPr>
          <w:sz w:val="24"/>
          <w:lang w:val="en-GB"/>
        </w:rPr>
        <w:t>.</w:t>
      </w:r>
    </w:p>
  </w:footnote>
  <w:footnote w:id="12">
    <w:p w:rsidR="00350A1B" w:rsidRPr="00350A1B" w:rsidP="00CA285A" w14:paraId="370C9A2A" w14:textId="6040A705">
      <w:pPr>
        <w:pStyle w:val="FootnoteText"/>
        <w:ind w:left="567" w:hanging="567"/>
        <w:rPr>
          <w:sz w:val="24"/>
          <w:lang w:val="en-GB"/>
        </w:rPr>
      </w:pPr>
      <w:r>
        <w:rPr>
          <w:rStyle w:val="FootnoteReference"/>
        </w:rPr>
        <w:footnoteRef/>
      </w:r>
      <w:r w:rsidRPr="00350A1B">
        <w:rPr>
          <w:sz w:val="24"/>
          <w:lang w:val="en-GB"/>
        </w:rPr>
        <w:t xml:space="preserve"> </w:t>
      </w:r>
      <w:r w:rsidRPr="00350A1B">
        <w:rPr>
          <w:sz w:val="24"/>
          <w:lang w:val="en-GB"/>
        </w:rPr>
        <w:tab/>
        <w:t xml:space="preserve">Eurostat, Migration and asylum in Europe – 2025 edition, ”Irregular migration and return”, </w:t>
      </w:r>
      <w:hyperlink r:id="rId9" w:anchor="irregular-migration-and-return" w:tgtFrame="https://ec.europa.eu/eurostat/web/interactive-publications/migration-2025#irregular-migration-and-return" w:history="1">
        <w:r w:rsidRPr="00350A1B">
          <w:rPr>
            <w:rStyle w:val="Hyperlink"/>
            <w:sz w:val="24"/>
            <w:lang w:val="en-GB"/>
          </w:rPr>
          <w:t>https://ec.europa.eu/eurostat/web/interactive-publications/migration-2025#irregular-migration-and-return</w:t>
        </w:r>
      </w:hyperlink>
      <w:r w:rsidRPr="00350A1B">
        <w:rPr>
          <w:sz w:val="24"/>
          <w:lang w:val="en-GB"/>
        </w:rPr>
        <w:t>.</w:t>
      </w:r>
    </w:p>
  </w:footnote>
  <w:footnote w:id="13">
    <w:p w:rsidR="00350A1B" w:rsidRPr="00350A1B" w:rsidP="00CA285A" w14:paraId="40052E7A" w14:textId="488B9DDC">
      <w:pPr>
        <w:pStyle w:val="FootnoteText"/>
        <w:ind w:left="567" w:hanging="567"/>
        <w:rPr>
          <w:sz w:val="24"/>
          <w:lang w:val="en-GB"/>
        </w:rPr>
      </w:pPr>
      <w:r>
        <w:rPr>
          <w:rStyle w:val="FootnoteReference"/>
        </w:rPr>
        <w:footnoteRef/>
      </w:r>
      <w:r w:rsidRPr="00350A1B">
        <w:rPr>
          <w:sz w:val="24"/>
          <w:lang w:val="en-GB"/>
        </w:rPr>
        <w:t xml:space="preserve"> </w:t>
      </w:r>
      <w:r w:rsidRPr="00350A1B">
        <w:rPr>
          <w:sz w:val="24"/>
          <w:lang w:val="en-GB"/>
        </w:rPr>
        <w:tab/>
        <w:t xml:space="preserve">Eurostat, Migration and asylum in Europe – 2025 edition, ”Orders to leave and returns”, </w:t>
      </w:r>
      <w:hyperlink r:id="rId9" w:anchor="orders-to-leave-and-returns-of-non-eu-citizens" w:tgtFrame="https://ec.europa.eu/eurostat/web/interactive-publications/migration-2025#orders-to-leave-and-returns-of-non-eu-citizens" w:history="1">
        <w:r w:rsidRPr="00350A1B">
          <w:rPr>
            <w:rStyle w:val="Hyperlink"/>
            <w:sz w:val="24"/>
            <w:lang w:val="en-GB"/>
          </w:rPr>
          <w:t>https://ec.europa.eu/eurostat/web/interactive-publications/migration-2025#orders-to-leave-and-returns-of-non-eu-citizens</w:t>
        </w:r>
      </w:hyperlink>
      <w:r w:rsidRPr="00350A1B">
        <w:rPr>
          <w:sz w:val="24"/>
          <w:lang w:val="en-GB"/>
        </w:rPr>
        <w:t>.</w:t>
      </w:r>
    </w:p>
  </w:footnote>
  <w:footnote w:id="14">
    <w:p w:rsidR="00350A1B" w:rsidRPr="00350A1B" w:rsidP="00CA285A" w14:paraId="673EAC23" w14:textId="33B233B4">
      <w:pPr>
        <w:pStyle w:val="FootnoteText"/>
        <w:ind w:left="567" w:hanging="567"/>
        <w:rPr>
          <w:sz w:val="24"/>
          <w:lang w:val="en-GB"/>
        </w:rPr>
      </w:pPr>
      <w:r>
        <w:rPr>
          <w:rStyle w:val="FootnoteReference"/>
        </w:rPr>
        <w:footnoteRef/>
      </w:r>
      <w:r w:rsidRPr="00350A1B">
        <w:rPr>
          <w:sz w:val="24"/>
          <w:lang w:val="en-GB"/>
        </w:rPr>
        <w:t xml:space="preserve"> </w:t>
      </w:r>
      <w:r w:rsidRPr="00350A1B">
        <w:rPr>
          <w:sz w:val="24"/>
          <w:lang w:val="en-GB"/>
        </w:rPr>
        <w:tab/>
      </w:r>
      <w:hyperlink r:id="rId10" w:tgtFrame="https://www.unhcr.org/about-unhcr/overview/figures-glance" w:history="1">
        <w:r w:rsidRPr="00350A1B">
          <w:rPr>
            <w:rStyle w:val="Hyperlink"/>
            <w:sz w:val="24"/>
            <w:lang w:val="en-GB"/>
          </w:rPr>
          <w:t>https://www.unhcr.org/about-unhcr/overview/figures-glance</w:t>
        </w:r>
      </w:hyperlink>
      <w:r w:rsidRPr="00350A1B">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0744855">
    <w:abstractNumId w:val="9"/>
  </w:num>
  <w:num w:numId="2" w16cid:durableId="384909538">
    <w:abstractNumId w:val="9"/>
  </w:num>
  <w:num w:numId="3" w16cid:durableId="1955362712">
    <w:abstractNumId w:val="7"/>
  </w:num>
  <w:num w:numId="4" w16cid:durableId="460078758">
    <w:abstractNumId w:val="7"/>
  </w:num>
  <w:num w:numId="5" w16cid:durableId="1190875303">
    <w:abstractNumId w:val="6"/>
  </w:num>
  <w:num w:numId="6" w16cid:durableId="1855803735">
    <w:abstractNumId w:val="6"/>
  </w:num>
  <w:num w:numId="7" w16cid:durableId="482434281">
    <w:abstractNumId w:val="5"/>
  </w:num>
  <w:num w:numId="8" w16cid:durableId="749080426">
    <w:abstractNumId w:val="5"/>
  </w:num>
  <w:num w:numId="9" w16cid:durableId="1550729437">
    <w:abstractNumId w:val="4"/>
  </w:num>
  <w:num w:numId="10" w16cid:durableId="90668424">
    <w:abstractNumId w:val="4"/>
  </w:num>
  <w:num w:numId="11" w16cid:durableId="583951010">
    <w:abstractNumId w:val="8"/>
  </w:num>
  <w:num w:numId="12" w16cid:durableId="705838443">
    <w:abstractNumId w:val="8"/>
  </w:num>
  <w:num w:numId="13" w16cid:durableId="512262133">
    <w:abstractNumId w:val="3"/>
  </w:num>
  <w:num w:numId="14" w16cid:durableId="808130799">
    <w:abstractNumId w:val="3"/>
  </w:num>
  <w:num w:numId="15" w16cid:durableId="37973202">
    <w:abstractNumId w:val="2"/>
  </w:num>
  <w:num w:numId="16" w16cid:durableId="632370404">
    <w:abstractNumId w:val="2"/>
  </w:num>
  <w:num w:numId="17" w16cid:durableId="376054514">
    <w:abstractNumId w:val="1"/>
  </w:num>
  <w:num w:numId="18" w16cid:durableId="1266646294">
    <w:abstractNumId w:val="1"/>
  </w:num>
  <w:num w:numId="19" w16cid:durableId="1115447697">
    <w:abstractNumId w:val="0"/>
  </w:num>
  <w:num w:numId="20" w16cid:durableId="225146862">
    <w:abstractNumId w:val="0"/>
  </w:num>
  <w:num w:numId="21" w16cid:durableId="646782543">
    <w:abstractNumId w:val="9"/>
  </w:num>
  <w:num w:numId="22" w16cid:durableId="765342552">
    <w:abstractNumId w:val="7"/>
  </w:num>
  <w:num w:numId="23" w16cid:durableId="2020694625">
    <w:abstractNumId w:val="6"/>
  </w:num>
  <w:num w:numId="24" w16cid:durableId="1988892804">
    <w:abstractNumId w:val="5"/>
  </w:num>
  <w:num w:numId="25" w16cid:durableId="690188569">
    <w:abstractNumId w:val="4"/>
  </w:num>
  <w:num w:numId="26" w16cid:durableId="1467159849">
    <w:abstractNumId w:val="8"/>
  </w:num>
  <w:num w:numId="27" w16cid:durableId="122887750">
    <w:abstractNumId w:val="3"/>
  </w:num>
  <w:num w:numId="28" w16cid:durableId="1318192495">
    <w:abstractNumId w:val="2"/>
  </w:num>
  <w:num w:numId="29" w16cid:durableId="1652364994">
    <w:abstractNumId w:val="1"/>
  </w:num>
  <w:num w:numId="30" w16cid:durableId="170727552">
    <w:abstractNumId w:val="0"/>
  </w:num>
  <w:num w:numId="31" w16cid:durableId="774136933">
    <w:abstractNumId w:val="9"/>
  </w:num>
  <w:num w:numId="32" w16cid:durableId="984508833">
    <w:abstractNumId w:val="7"/>
  </w:num>
  <w:num w:numId="33" w16cid:durableId="1577546953">
    <w:abstractNumId w:val="6"/>
  </w:num>
  <w:num w:numId="34" w16cid:durableId="1435049869">
    <w:abstractNumId w:val="5"/>
  </w:num>
  <w:num w:numId="35" w16cid:durableId="1145926571">
    <w:abstractNumId w:val="4"/>
  </w:num>
  <w:num w:numId="36" w16cid:durableId="1213275011">
    <w:abstractNumId w:val="8"/>
  </w:num>
  <w:num w:numId="37" w16cid:durableId="1964192361">
    <w:abstractNumId w:val="3"/>
  </w:num>
  <w:num w:numId="38" w16cid:durableId="50271586">
    <w:abstractNumId w:val="2"/>
  </w:num>
  <w:num w:numId="39" w16cid:durableId="1277634148">
    <w:abstractNumId w:val="1"/>
  </w:num>
  <w:num w:numId="40" w16cid:durableId="1430590033">
    <w:abstractNumId w:val="0"/>
  </w:num>
  <w:num w:numId="41" w16cid:durableId="2132506428">
    <w:abstractNumId w:val="10"/>
  </w:num>
  <w:num w:numId="42" w16cid:durableId="1344674020">
    <w:abstractNumId w:val="10"/>
  </w:num>
  <w:num w:numId="43" w16cid:durableId="84108962">
    <w:abstractNumId w:val="10"/>
  </w:num>
  <w:num w:numId="44" w16cid:durableId="10197409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28" w:allStyles="0" w:alternateStyleNames="0" w:clearFormatting="1" w:customStyles="0" w:directFormattingOnNumbering="1" w:directFormattingOnParagraphs="1" w:directFormattingOnRuns="1" w:directFormattingOnTables="1" w:headingStyles="1"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912"/>
    <w:rsid w:val="00002272"/>
    <w:rsid w:val="00064002"/>
    <w:rsid w:val="000677B9"/>
    <w:rsid w:val="000831BA"/>
    <w:rsid w:val="000A42CC"/>
    <w:rsid w:val="000E7DD9"/>
    <w:rsid w:val="0010095E"/>
    <w:rsid w:val="00125B37"/>
    <w:rsid w:val="00187494"/>
    <w:rsid w:val="001D2CF5"/>
    <w:rsid w:val="001F32AE"/>
    <w:rsid w:val="00212703"/>
    <w:rsid w:val="002767FF"/>
    <w:rsid w:val="002B0EF6"/>
    <w:rsid w:val="002B18FE"/>
    <w:rsid w:val="002B5493"/>
    <w:rsid w:val="003243D0"/>
    <w:rsid w:val="00343214"/>
    <w:rsid w:val="00350A1B"/>
    <w:rsid w:val="00361C00"/>
    <w:rsid w:val="00395FA1"/>
    <w:rsid w:val="003E15D4"/>
    <w:rsid w:val="00411CCE"/>
    <w:rsid w:val="0041666E"/>
    <w:rsid w:val="00421060"/>
    <w:rsid w:val="00471C19"/>
    <w:rsid w:val="00481F35"/>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3ED"/>
    <w:rsid w:val="00930C23"/>
    <w:rsid w:val="0093193B"/>
    <w:rsid w:val="009509D8"/>
    <w:rsid w:val="00950B64"/>
    <w:rsid w:val="00981893"/>
    <w:rsid w:val="009A1135"/>
    <w:rsid w:val="00A1687D"/>
    <w:rsid w:val="00A43E52"/>
    <w:rsid w:val="00A4678D"/>
    <w:rsid w:val="00A778C7"/>
    <w:rsid w:val="00AB441E"/>
    <w:rsid w:val="00AB6293"/>
    <w:rsid w:val="00AE0928"/>
    <w:rsid w:val="00AF3B82"/>
    <w:rsid w:val="00B07912"/>
    <w:rsid w:val="00B12E95"/>
    <w:rsid w:val="00B22876"/>
    <w:rsid w:val="00B558F0"/>
    <w:rsid w:val="00BD48FE"/>
    <w:rsid w:val="00BD7BD8"/>
    <w:rsid w:val="00BE6ADC"/>
    <w:rsid w:val="00C05BFE"/>
    <w:rsid w:val="00C23CD4"/>
    <w:rsid w:val="00C61C0C"/>
    <w:rsid w:val="00C941CB"/>
    <w:rsid w:val="00CA285A"/>
    <w:rsid w:val="00CC2357"/>
    <w:rsid w:val="00CF071A"/>
    <w:rsid w:val="00D058B8"/>
    <w:rsid w:val="00D56C11"/>
    <w:rsid w:val="00D834A0"/>
    <w:rsid w:val="00D872DF"/>
    <w:rsid w:val="00D91E21"/>
    <w:rsid w:val="00DA7FCD"/>
    <w:rsid w:val="00E365E1"/>
    <w:rsid w:val="00E372DD"/>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7/2026"/>
    <w:docVar w:name="dvlangue" w:val="FI"/>
    <w:docVar w:name="dvnumam" w:val="0"/>
    <w:docVar w:name="dvpe" w:val="776.883"/>
    <w:docVar w:name="dvrapporteur" w:val="Esittelijä: "/>
    <w:docVar w:name="dvtitre" w:val="Euroopan parlamentin päätöslauselma xx. kesäkuuta 2026 kehitysyhteistyön vahvistamisesta laittomaan muuttoliikkeeseen ja sen perimmäisiin syihin puuttumiseksi kumppanimaissa(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2B88275"/>
  <w15:chartTrackingRefBased/>
  <w15:docId w15:val="{202B8D90-9467-4A2F-9FBB-2A86FD780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033E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372DD"/>
    <w:pPr>
      <w:widowControl/>
      <w:spacing w:after="240"/>
    </w:pPr>
    <w:rPr>
      <w:szCs w:val="24"/>
      <w:lang w:eastAsia="en-US"/>
    </w:rPr>
  </w:style>
  <w:style w:type="paragraph" w:customStyle="1" w:styleId="NormalHanging12a">
    <w:name w:val="NormalHanging12a"/>
    <w:basedOn w:val="Normal"/>
    <w:rsid w:val="00E372DD"/>
    <w:pPr>
      <w:widowControl/>
      <w:spacing w:after="240"/>
      <w:ind w:left="566" w:hanging="566"/>
    </w:pPr>
    <w:rPr>
      <w:szCs w:val="24"/>
      <w:lang w:eastAsia="en-US"/>
    </w:rPr>
  </w:style>
  <w:style w:type="paragraph" w:customStyle="1" w:styleId="Normal12">
    <w:name w:val="Normal12"/>
    <w:basedOn w:val="Normal"/>
    <w:rsid w:val="00E372DD"/>
    <w:pPr>
      <w:spacing w:after="240"/>
    </w:pPr>
    <w:rPr>
      <w:szCs w:val="24"/>
      <w:lang w:eastAsia="en-US"/>
    </w:rPr>
  </w:style>
  <w:style w:type="paragraph" w:customStyle="1" w:styleId="NormalHanging">
    <w:name w:val="NormalHanging"/>
    <w:basedOn w:val="Normal"/>
    <w:rsid w:val="00E372DD"/>
    <w:pPr>
      <w:spacing w:after="240"/>
      <w:ind w:left="566" w:hanging="566"/>
    </w:pPr>
    <w:rPr>
      <w:szCs w:val="24"/>
      <w:lang w:eastAsia="en-US"/>
    </w:rPr>
  </w:style>
  <w:style w:type="paragraph" w:customStyle="1" w:styleId="NormalCenter12a">
    <w:name w:val="NormalCenter12a"/>
    <w:basedOn w:val="Normal"/>
    <w:rsid w:val="00E372DD"/>
    <w:pPr>
      <w:widowControl/>
      <w:spacing w:after="240"/>
      <w:jc w:val="center"/>
    </w:pPr>
    <w:rPr>
      <w:szCs w:val="24"/>
      <w:lang w:eastAsia="en-US"/>
    </w:rPr>
  </w:style>
  <w:style w:type="character" w:styleId="Hyperlink">
    <w:name w:val="Hyperlink"/>
    <w:basedOn w:val="DefaultParagraphFont"/>
    <w:rsid w:val="00E372DD"/>
    <w:rPr>
      <w:color w:val="0000FF"/>
      <w:u w:val="single"/>
    </w:rPr>
  </w:style>
  <w:style w:type="paragraph" w:styleId="Footer">
    <w:name w:val="footer"/>
    <w:basedOn w:val="Normal"/>
    <w:link w:val="FooterChar"/>
    <w:rsid w:val="00350A1B"/>
    <w:pPr>
      <w:tabs>
        <w:tab w:val="center" w:pos="4513"/>
        <w:tab w:val="right" w:pos="9026"/>
      </w:tabs>
    </w:pPr>
  </w:style>
  <w:style w:type="character" w:customStyle="1" w:styleId="FooterChar">
    <w:name w:val="Footer Char"/>
    <w:basedOn w:val="DefaultParagraphFont"/>
    <w:link w:val="Footer"/>
    <w:rsid w:val="00350A1B"/>
    <w:rPr>
      <w:sz w:val="24"/>
      <w:lang w:val="fi-FI"/>
    </w:rPr>
  </w:style>
  <w:style w:type="paragraph" w:styleId="Revision">
    <w:name w:val="Revision"/>
    <w:hidden/>
    <w:uiPriority w:val="99"/>
    <w:semiHidden/>
    <w:rsid w:val="002B0EF6"/>
    <w:rPr>
      <w:sz w:val="24"/>
      <w:lang w:val="fi-FI"/>
    </w:rPr>
  </w:style>
  <w:style w:type="character" w:styleId="FollowedHyperlink">
    <w:name w:val="FollowedHyperlink"/>
    <w:basedOn w:val="DefaultParagraphFont"/>
    <w:rsid w:val="002B0E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3647</Words>
  <Characters>31293</Characters>
  <Application>Microsoft Office Word</Application>
  <DocSecurity>0</DocSecurity>
  <Lines>260</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2026-06-16T13:31:00Z</dcterms:created>
  <dcterms:modified xsi:type="dcterms:W3CDTF">2026-06-16T13:31:00Z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A10-0147/2026</vt:lpwstr>
  </property>
  <property fmtid="{D5CDD505-2E9C-101B-9397-08002B2CF9AE}" pid="4" name="&lt;Model&gt;">
    <vt:lpwstr/>
  </property>
  <property fmtid="{D5CDD505-2E9C-101B-9397-08002B2CF9AE}" pid="5" name="&lt;Type&gt;">
    <vt:lpwstr>RR</vt:lpwstr>
  </property>
</Properties>
</file>