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1747A8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04F9" w:rsidP="0010095E" w14:paraId="6391C7A6" w14:textId="5D64686C">
            <w:pPr>
              <w:pStyle w:val="EPName"/>
            </w:pPr>
            <w:r w:rsidRPr="007D04F9">
              <w:t>Europski parlament</w:t>
            </w:r>
          </w:p>
          <w:p w:rsidR="00751A4A" w:rsidRPr="007D04F9" w:rsidP="005F1B17" w14:paraId="6AA50B9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04F9">
              <w:t>2024</w:t>
            </w:r>
            <w:r w:rsidRPr="007D04F9" w:rsidR="00817416">
              <w:t>-202</w:t>
            </w:r>
            <w:r w:rsidRPr="007D04F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D04F9" w:rsidP="0010095E" w14:paraId="58BA62FD" w14:textId="77777777">
            <w:pPr>
              <w:pStyle w:val="EPLogo"/>
            </w:pPr>
            <w:r w:rsidRPr="007D04F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04F9" w:rsidP="004C5D52" w14:paraId="6C8D2EC2" w14:textId="77777777">
      <w:pPr>
        <w:pStyle w:val="LineTop"/>
      </w:pPr>
    </w:p>
    <w:p w:rsidR="00680577" w:rsidRPr="007D04F9" w:rsidP="00680577" w14:paraId="7F47BEA3" w14:textId="53AEB39F">
      <w:pPr>
        <w:pStyle w:val="EPBodyTA1"/>
      </w:pPr>
      <w:r w:rsidRPr="007D04F9">
        <w:t>USVOJENI TEKSTOVI</w:t>
      </w:r>
    </w:p>
    <w:p w:rsidR="00D058B8" w:rsidRPr="007D04F9" w:rsidP="00D058B8" w14:paraId="7E6969D3" w14:textId="77777777">
      <w:pPr>
        <w:pStyle w:val="LineBottom"/>
      </w:pPr>
    </w:p>
    <w:p w:rsidR="00836BA8" w:rsidRPr="007D04F9" w:rsidP="00836BA8" w14:paraId="28ED36E7" w14:textId="30810800">
      <w:pPr>
        <w:pStyle w:val="ATHeading1"/>
      </w:pPr>
      <w:bookmarkStart w:id="0" w:name="TANumber"/>
      <w:r w:rsidRPr="007D04F9">
        <w:t>P10_TA(2026)0</w:t>
      </w:r>
      <w:r w:rsidR="008F15B3">
        <w:t>205</w:t>
      </w:r>
      <w:bookmarkEnd w:id="0"/>
    </w:p>
    <w:p w:rsidR="00836BA8" w:rsidRPr="007D04F9" w:rsidP="00836BA8" w14:paraId="7697690B" w14:textId="77777777">
      <w:pPr>
        <w:pStyle w:val="ATHeading2"/>
      </w:pPr>
      <w:bookmarkStart w:id="1" w:name="title"/>
      <w:r w:rsidRPr="007D04F9">
        <w:t>Jačanje razvojne suradnje radi rješavanja neregularnih kretanja stanovništva i njihovih temeljnih uzroka u partnerskim zemljama</w:t>
      </w:r>
      <w:bookmarkEnd w:id="1"/>
    </w:p>
    <w:p w:rsidR="00836BA8" w:rsidRPr="007D04F9" w:rsidP="00836BA8" w14:paraId="7D0F5F0D" w14:textId="77777777">
      <w:pPr>
        <w:rPr>
          <w:i/>
          <w:vanish/>
        </w:rPr>
      </w:pPr>
      <w:r>
        <w:rPr>
          <w:i/>
        </w:rPr>
        <w:fldChar w:fldCharType="begin"/>
      </w:r>
      <w:r w:rsidRPr="007D04F9">
        <w:rPr>
          <w:i/>
        </w:rPr>
        <w:instrText xml:space="preserve"> TC"(</w:instrText>
      </w:r>
      <w:bookmarkStart w:id="2" w:name="DocNumber"/>
      <w:r w:rsidRPr="007D04F9">
        <w:rPr>
          <w:i/>
        </w:rPr>
        <w:instrText>A10-0147/2026</w:instrText>
      </w:r>
      <w:bookmarkEnd w:id="2"/>
      <w:r w:rsidRPr="007D04F9">
        <w:rPr>
          <w:i/>
        </w:rPr>
        <w:instrText xml:space="preserve"> - Izvjestitelj: Lukas Mandl)"\l3 \n&gt; \* MERGEFORMAT </w:instrText>
      </w:r>
      <w:r>
        <w:rPr>
          <w:i/>
        </w:rPr>
        <w:fldChar w:fldCharType="end"/>
      </w:r>
    </w:p>
    <w:p w:rsidR="00836BA8" w:rsidRPr="007D04F9" w:rsidP="00836BA8" w14:paraId="5FB507BE" w14:textId="77777777">
      <w:pPr>
        <w:rPr>
          <w:vanish/>
        </w:rPr>
      </w:pPr>
      <w:bookmarkStart w:id="3" w:name="Commission"/>
      <w:r w:rsidRPr="007D04F9">
        <w:rPr>
          <w:vanish/>
        </w:rPr>
        <w:t>Odbor za razvoj</w:t>
      </w:r>
      <w:bookmarkEnd w:id="3"/>
    </w:p>
    <w:p w:rsidR="00836BA8" w:rsidRPr="007D04F9" w:rsidP="00836BA8" w14:paraId="6D69EAA0" w14:textId="77777777">
      <w:pPr>
        <w:rPr>
          <w:vanish/>
        </w:rPr>
      </w:pPr>
      <w:bookmarkStart w:id="4" w:name="PE"/>
      <w:r w:rsidRPr="007D04F9">
        <w:rPr>
          <w:vanish/>
        </w:rPr>
        <w:t>PE776.883</w:t>
      </w:r>
      <w:bookmarkEnd w:id="4"/>
    </w:p>
    <w:p w:rsidR="00836BA8" w:rsidRPr="007D04F9" w:rsidP="00836BA8" w14:paraId="0E243C92" w14:textId="58805021">
      <w:pPr>
        <w:pStyle w:val="ATHeading3"/>
      </w:pPr>
      <w:bookmarkStart w:id="5" w:name="Sujet"/>
      <w:r w:rsidRPr="007D04F9">
        <w:t>Rezolucija Europskog parlamenta od</w:t>
      </w:r>
      <w:r w:rsidR="005368E2">
        <w:t xml:space="preserve"> 16.</w:t>
      </w:r>
      <w:r w:rsidRPr="007D04F9">
        <w:t xml:space="preserve"> </w:t>
      </w:r>
      <w:r w:rsidR="00225378">
        <w:t>lipnja</w:t>
      </w:r>
      <w:r w:rsidRPr="007D04F9">
        <w:t xml:space="preserve"> 2026. o jačanju razvojne suradnje radi rješavanja nezakonitih kretanja stanovništva i njihovih temeljnih uzroka u partnerskim zemljama</w:t>
      </w:r>
      <w:bookmarkEnd w:id="5"/>
      <w:r w:rsidRPr="007D04F9">
        <w:t xml:space="preserve"> </w:t>
      </w:r>
      <w:bookmarkStart w:id="6" w:name="References"/>
      <w:r w:rsidRPr="007D04F9">
        <w:t>(2025/2111(INI))</w:t>
      </w:r>
      <w:bookmarkEnd w:id="6"/>
    </w:p>
    <w:p w:rsidR="004B6073" w:rsidRPr="007D04F9" w:rsidP="004B6073" w14:paraId="43591D59" w14:textId="77777777">
      <w:pPr>
        <w:pStyle w:val="Normal12"/>
      </w:pPr>
      <w:r w:rsidRPr="007D04F9">
        <w:rPr>
          <w:i/>
        </w:rPr>
        <w:t>Europski parlament</w:t>
      </w:r>
      <w:r w:rsidRPr="007D04F9">
        <w:t>,</w:t>
      </w:r>
    </w:p>
    <w:p w:rsidR="004B6073" w:rsidRPr="007D04F9" w:rsidP="004B6073" w14:paraId="4CC7C89B" w14:textId="77777777">
      <w:pPr>
        <w:pStyle w:val="NormalHanging"/>
      </w:pPr>
      <w:r w:rsidRPr="007D04F9">
        <w:t>–</w:t>
      </w:r>
      <w:r w:rsidRPr="007D04F9">
        <w:tab/>
        <w:t>uzimajući u obzir članke 79. i 208. Ugovora o funkcioniranju Europske unije (UFEU),</w:t>
      </w:r>
    </w:p>
    <w:p w:rsidR="004B6073" w:rsidRPr="007D04F9" w:rsidP="004B6073" w14:paraId="2767C404" w14:textId="77777777">
      <w:pPr>
        <w:pStyle w:val="NormalHanging"/>
      </w:pPr>
      <w:r w:rsidRPr="007D04F9">
        <w:t>–</w:t>
      </w:r>
      <w:r w:rsidRPr="007D04F9">
        <w:tab/>
        <w:t>uzimajući u obzir članak 3. stavak 5. i članak 21. Ugovora o Europskoj uniji (UEU),</w:t>
      </w:r>
    </w:p>
    <w:p w:rsidR="004B6073" w:rsidRPr="007D04F9" w:rsidP="004B6073" w14:paraId="52D7A1E6" w14:textId="77777777">
      <w:pPr>
        <w:pStyle w:val="NormalHanging"/>
      </w:pPr>
      <w:r w:rsidRPr="007D04F9">
        <w:t>–</w:t>
      </w:r>
      <w:r w:rsidRPr="007D04F9">
        <w:tab/>
        <w:t>uzimajući u obzir radni dokument službi Komisije od 30. lipnja 2021. naslovljen „Primjena pristupa međunarodnim partnerstvima koji se temelji na ljudskim pravima – ažurirani paket instrumenata kojim se nositelji prava stavljaju u središte politike EU-a za susjedstvo, razvoj i međunarodnu suradnju” (SWD(2021)0179),</w:t>
      </w:r>
    </w:p>
    <w:p w:rsidR="004B6073" w:rsidRPr="007D04F9" w:rsidP="004B6073" w14:paraId="356AC33B" w14:textId="4A7DC8C0">
      <w:pPr>
        <w:pStyle w:val="NormalHanging"/>
      </w:pPr>
      <w:r w:rsidRPr="007D04F9">
        <w:t>–</w:t>
      </w:r>
      <w:r w:rsidRPr="007D04F9">
        <w:tab/>
        <w:t>uzimajući u obzir Uredbu (EU) 2021/947 Europskog parlamenta i Vijeća od 9. lipnja 2021. o uspostavi Instrumenta za susjedstvo, razvoj i međunarodnu suradnju – Globalna Europa</w:t>
      </w:r>
      <w:r>
        <w:rPr>
          <w:rStyle w:val="FootnoteReference"/>
        </w:rPr>
        <w:footnoteReference w:id="2"/>
      </w:r>
      <w:r w:rsidRPr="007D04F9">
        <w:t>,</w:t>
      </w:r>
    </w:p>
    <w:p w:rsidR="004B6073" w:rsidRPr="007D04F9" w:rsidP="004B6073" w14:paraId="5BD07DA2" w14:textId="77777777">
      <w:pPr>
        <w:pStyle w:val="NormalHanging"/>
      </w:pPr>
      <w:r w:rsidRPr="007D04F9">
        <w:t>–</w:t>
      </w:r>
      <w:r w:rsidRPr="007D04F9">
        <w:tab/>
        <w:t>uzimajući u obzir Komisijin Prijedlog uredbe Europskog parlamenta i Vijeća od 16. srpnja 2025. o uspostavi Globalne Europe (COM(2025)0551),</w:t>
      </w:r>
    </w:p>
    <w:p w:rsidR="004B6073" w:rsidRPr="007D04F9" w:rsidP="004B6073" w14:paraId="68708977" w14:textId="682C895F">
      <w:pPr>
        <w:pStyle w:val="NormalHanging"/>
      </w:pPr>
      <w:r w:rsidRPr="007D04F9">
        <w:t>–</w:t>
      </w:r>
      <w:r w:rsidRPr="007D04F9">
        <w:tab/>
        <w:t>uzimajući u obzir Uredbu (EU) 2024/1351 Europskog parlamenta i Vijeća od 14. svibnja 2024. o upravljanju azilom i migracijama, izmjeni uredbi (EU) 2021/1147 i (EU) 2021/1060 i stavljanju izvan snage Uredbe (EU) br. 604/2013</w:t>
      </w:r>
      <w:r>
        <w:rPr>
          <w:rStyle w:val="FootnoteReference"/>
        </w:rPr>
        <w:footnoteReference w:id="3"/>
      </w:r>
      <w:r w:rsidRPr="007D04F9">
        <w:t>,</w:t>
      </w:r>
    </w:p>
    <w:p w:rsidR="004B6073" w:rsidRPr="007D04F9" w:rsidP="004B6073" w14:paraId="40567D5C" w14:textId="1848FA24">
      <w:pPr>
        <w:pStyle w:val="NormalHanging"/>
      </w:pPr>
      <w:r w:rsidRPr="007D04F9">
        <w:t>–</w:t>
      </w:r>
      <w:r w:rsidRPr="007D04F9">
        <w:tab/>
        <w:t>uzimajući u obzir Komisijin Prijedlog uredbe Europskog parlamenta i Vijeća</w:t>
      </w:r>
      <w:r w:rsidR="00DF1E65">
        <w:t xml:space="preserve"> od 11. ožujka 2025.</w:t>
      </w:r>
      <w:r w:rsidRPr="007D04F9">
        <w:t xml:space="preserve"> o uspostavi zajedničkog sustava za vraćanje državljana trećih zemalja koji nezakonito borave u Uniji te o stavljanju izvan snage Direktive 2008/115/EZ Europskog parlamenta i Vijeća, Direktive Vijeća 2001/40/EZ i Odluke Vijeća 2004/191/EZ (COM(2025)0101),</w:t>
      </w:r>
    </w:p>
    <w:p w:rsidR="004B6073" w:rsidRPr="007D04F9" w:rsidP="004B6073" w14:paraId="5114182C" w14:textId="5B1F0903">
      <w:pPr>
        <w:pStyle w:val="NormalHanging"/>
      </w:pPr>
      <w:r w:rsidRPr="007D04F9">
        <w:t>–</w:t>
      </w:r>
      <w:r w:rsidRPr="007D04F9">
        <w:tab/>
        <w:t xml:space="preserve">uzimajući u obzir Sporazum o partnerstvu između Europske unije i njezinih država </w:t>
      </w:r>
      <w:r w:rsidRPr="007D04F9">
        <w:t>članica, s jedne strane, i članica Organizacije afričkih, karipskih i pacifičkih država, s druge strane (Sporazum iz Samoe)</w:t>
      </w:r>
      <w:r>
        <w:rPr>
          <w:rStyle w:val="FootnoteReference"/>
        </w:rPr>
        <w:footnoteReference w:id="4"/>
      </w:r>
      <w:r w:rsidRPr="007D04F9">
        <w:t>,</w:t>
      </w:r>
    </w:p>
    <w:p w:rsidR="004B6073" w:rsidRPr="007D04F9" w:rsidP="004B6073" w14:paraId="0AF04374" w14:textId="77777777">
      <w:pPr>
        <w:pStyle w:val="NormalHanging"/>
      </w:pPr>
      <w:r w:rsidRPr="007D04F9">
        <w:t>–</w:t>
      </w:r>
      <w:r w:rsidRPr="007D04F9">
        <w:tab/>
        <w:t>uzimajući u obzir komunikaciju Komisije od 27. travnja 2022. naslovljenu „Privlačenje vještina i talenata u EU” (COM(2022)0657),</w:t>
      </w:r>
    </w:p>
    <w:p w:rsidR="004B6073" w:rsidRPr="007D04F9" w:rsidP="004B6073" w14:paraId="3E586918" w14:textId="77777777">
      <w:pPr>
        <w:pStyle w:val="NormalHanging"/>
      </w:pPr>
      <w:r w:rsidRPr="007D04F9">
        <w:t>–</w:t>
      </w:r>
      <w:r w:rsidRPr="007D04F9">
        <w:tab/>
        <w:t>uzimajući u obzir Pakt za Mediteran,</w:t>
      </w:r>
    </w:p>
    <w:p w:rsidR="004B6073" w:rsidRPr="007D04F9" w:rsidP="004B6073" w14:paraId="60C4A126" w14:textId="77777777">
      <w:pPr>
        <w:pStyle w:val="NormalHanging"/>
      </w:pPr>
      <w:r w:rsidRPr="007D04F9">
        <w:t>–</w:t>
      </w:r>
      <w:r w:rsidRPr="007D04F9">
        <w:tab/>
        <w:t>uzimajući u obzir zajedničku izjavu Vijeća i predstavnika vlada država članica koji su se sastali u Vijeću, Europskog parlamenta i Komisije od 7. lipnja 2017. naslovljenu „Novi europski konsenzus o razvoju – naš svijet, naše dostojanstvo, naša budućnost”,</w:t>
      </w:r>
    </w:p>
    <w:p w:rsidR="004B6073" w:rsidRPr="007D04F9" w:rsidP="004B6073" w14:paraId="72670A11" w14:textId="77777777">
      <w:pPr>
        <w:pStyle w:val="NormalHanging"/>
      </w:pPr>
      <w:r w:rsidRPr="007D04F9">
        <w:t>–</w:t>
      </w:r>
      <w:r w:rsidRPr="007D04F9">
        <w:tab/>
        <w:t>uzimajući u obzir krizni uzajamni fond EU-a za Afriku (EUTF) i tematsko izvješće Revizorskog suda br. 17/2024 od 25. rujna 2024. naslovljeno „Uzajamni fond EU-a za Afriku – Unatoč primjeni novih pristupa i dalje se ne pruža usmjerena potpora”,</w:t>
      </w:r>
    </w:p>
    <w:p w:rsidR="004B6073" w:rsidRPr="007D04F9" w:rsidP="004B6073" w14:paraId="75FA1127" w14:textId="77777777">
      <w:pPr>
        <w:pStyle w:val="NormalHanging"/>
      </w:pPr>
      <w:r w:rsidRPr="007D04F9">
        <w:t>–</w:t>
      </w:r>
      <w:r w:rsidRPr="007D04F9">
        <w:tab/>
        <w:t>uzimajući u obzir komunikaciju Komisije od 4. lipnja 2025. naslovljenu „Europska strategija za otpornost vodoopskrbe” (COM(2025)0280),</w:t>
      </w:r>
    </w:p>
    <w:p w:rsidR="004B6073" w:rsidRPr="007D04F9" w:rsidP="004B6073" w14:paraId="1571036D" w14:textId="116ECA9F">
      <w:pPr>
        <w:pStyle w:val="NormalHanging"/>
      </w:pPr>
      <w:r w:rsidRPr="007D04F9">
        <w:t>–</w:t>
      </w:r>
      <w:r w:rsidRPr="007D04F9">
        <w:tab/>
        <w:t>uzimajući u obzir svoju Rezoluciju od 7. svibnja 2025. o Europskoj strategiji za otpornost vodoopskrbe</w:t>
      </w:r>
      <w:r>
        <w:rPr>
          <w:rStyle w:val="FootnoteReference"/>
        </w:rPr>
        <w:footnoteReference w:id="5"/>
      </w:r>
      <w:r w:rsidRPr="007D04F9">
        <w:t>,</w:t>
      </w:r>
    </w:p>
    <w:p w:rsidR="004B6073" w:rsidRPr="007D04F9" w:rsidP="004B6073" w14:paraId="2B9D229F" w14:textId="1DD1299F">
      <w:pPr>
        <w:pStyle w:val="NormalHanging"/>
      </w:pPr>
      <w:r w:rsidRPr="007D04F9">
        <w:t>–</w:t>
      </w:r>
      <w:r w:rsidRPr="007D04F9">
        <w:tab/>
        <w:t xml:space="preserve">uzimajući u obzir zajedničku komunikaciju Komisije i Visokog predstavnika Unije za vanjske poslove i sigurnosnu politiku od 1. prosinca 2021. naslovljenu „Global </w:t>
      </w:r>
      <w:r w:rsidRPr="007D04F9">
        <w:t>Gateway</w:t>
      </w:r>
      <w:r w:rsidRPr="007D04F9">
        <w:t>” (</w:t>
      </w:r>
      <w:r w:rsidRPr="00416127" w:rsidR="005368E2">
        <w:t>JOIN(2021)0030</w:t>
      </w:r>
      <w:r w:rsidRPr="007D04F9">
        <w:t>),</w:t>
      </w:r>
    </w:p>
    <w:p w:rsidR="004B6073" w:rsidRPr="007D04F9" w:rsidP="004B6073" w14:paraId="4646062D" w14:textId="7C368722">
      <w:pPr>
        <w:pStyle w:val="NormalHanging"/>
      </w:pPr>
      <w:r w:rsidRPr="007D04F9">
        <w:t>–</w:t>
      </w:r>
      <w:r w:rsidRPr="007D04F9">
        <w:tab/>
        <w:t>uzimajući u obzir zajedničku komunikaciju Komisije i Visokog predstavnika Unije za vanjske poslove i sigurnosnu politiku od 2. listopada 2024. naslovljenu „Razvoj održivih međunarodnih partnerstava Tima Europa” (</w:t>
      </w:r>
      <w:r w:rsidRPr="00416127" w:rsidR="005368E2">
        <w:t>JOIN(2024)0025</w:t>
      </w:r>
      <w:r w:rsidRPr="007D04F9">
        <w:t>),</w:t>
      </w:r>
    </w:p>
    <w:p w:rsidR="004B6073" w:rsidRPr="007D04F9" w:rsidP="004B6073" w14:paraId="0767D314" w14:textId="77777777">
      <w:pPr>
        <w:pStyle w:val="NormalHanging"/>
      </w:pPr>
      <w:r w:rsidRPr="007D04F9">
        <w:t>–</w:t>
      </w:r>
      <w:r w:rsidRPr="007D04F9">
        <w:tab/>
        <w:t>uzimajući u obzir zaključke Europskog vijeća o migracijama od 17. listopada 2024.,</w:t>
      </w:r>
    </w:p>
    <w:p w:rsidR="004B6073" w:rsidRPr="007D04F9" w:rsidP="004B6073" w14:paraId="35195ADE" w14:textId="6F0CD22D">
      <w:pPr>
        <w:pStyle w:val="NormalHanging"/>
      </w:pPr>
      <w:r w:rsidRPr="007D04F9">
        <w:t>–</w:t>
      </w:r>
      <w:r w:rsidRPr="007D04F9">
        <w:tab/>
        <w:t>uzimajući u obzir rezoluciju Opće skupštine UN-a 73/195 od 19. prosinca 2018. naslovljenu „Globalni sporazum za sigurnu, uređenu i zakonitu migraciju”,</w:t>
      </w:r>
    </w:p>
    <w:p w:rsidR="004B6073" w:rsidRPr="007D04F9" w:rsidP="004B6073" w14:paraId="28BFBDC2" w14:textId="5E6AFEBB">
      <w:pPr>
        <w:pStyle w:val="NormalHanging"/>
      </w:pPr>
      <w:r w:rsidRPr="007D04F9">
        <w:t>–</w:t>
      </w:r>
      <w:r w:rsidRPr="007D04F9">
        <w:tab/>
        <w:t>uzimajući u obzir rezoluciju Opće skupštine UN-a 71/1 od 19. rujna 2016. naslovljenu „Deklaracija iz New Yorka o izbjeglicama i migrantima”,</w:t>
      </w:r>
    </w:p>
    <w:p w:rsidR="004B6073" w:rsidRPr="007D04F9" w:rsidP="004B6073" w14:paraId="5EDF7D69" w14:textId="0D26C1AB">
      <w:pPr>
        <w:pStyle w:val="NormalHanging"/>
      </w:pPr>
      <w:r w:rsidRPr="007D04F9">
        <w:t>–</w:t>
      </w:r>
      <w:r w:rsidRPr="007D04F9">
        <w:tab/>
        <w:t>uzimajući u obzir rezoluciju Opće skupštine UN-a 70/1 od 25. rujna 2015. naslovljenu „Promijeniti svijet: program održivog razvoja do 2030.”, usvojenu na sastanku na vrhu UN-a o održivom razvoju u New Yorku, kojom su utvrđeni ciljevi održivog razvoja a posebno cilj održivog razvoja 10.7,</w:t>
      </w:r>
    </w:p>
    <w:p w:rsidR="004B6073" w:rsidRPr="007D04F9" w:rsidP="004B6073" w14:paraId="3EDB1F5A" w14:textId="77777777">
      <w:pPr>
        <w:pStyle w:val="NormalHanging"/>
      </w:pPr>
      <w:r w:rsidRPr="007D04F9">
        <w:t>–</w:t>
      </w:r>
      <w:r w:rsidRPr="007D04F9">
        <w:tab/>
        <w:t>uzimajući u obzir Konvenciju o statusu izbjeglica iz 1951. i njezin Protokol iz New Yorka iz 1967. godine,</w:t>
      </w:r>
    </w:p>
    <w:p w:rsidR="004B6073" w:rsidRPr="007D04F9" w:rsidP="004B6073" w14:paraId="774EA359" w14:textId="77777777">
      <w:pPr>
        <w:pStyle w:val="NormalHanging"/>
      </w:pPr>
      <w:r w:rsidRPr="007D04F9">
        <w:t>–</w:t>
      </w:r>
      <w:r w:rsidRPr="007D04F9">
        <w:tab/>
        <w:t xml:space="preserve">uzimajući u obzir Smjernice o aktivnostima vezanim uz migracije u okviru službene razvojne pomoći Odbora za razvojnu pomoć Organizacije za ekonomsku suradnju i </w:t>
      </w:r>
      <w:r w:rsidRPr="007D04F9">
        <w:t>razvoj (OECD) i povezani skup alata,</w:t>
      </w:r>
    </w:p>
    <w:p w:rsidR="004B6073" w:rsidRPr="007D04F9" w:rsidP="004B6073" w14:paraId="1EDD7D81" w14:textId="77777777">
      <w:pPr>
        <w:pStyle w:val="NormalHanging"/>
      </w:pPr>
      <w:r w:rsidRPr="007D04F9">
        <w:t>–</w:t>
      </w:r>
      <w:r w:rsidRPr="007D04F9">
        <w:tab/>
        <w:t>uzimajući u obzir Europsku konvenciju o ljudskim pravima iz 1950.,</w:t>
      </w:r>
    </w:p>
    <w:p w:rsidR="004B6073" w:rsidRPr="007D04F9" w:rsidP="004B6073" w14:paraId="32246E31" w14:textId="0CB47290">
      <w:pPr>
        <w:pStyle w:val="NormalHanging"/>
      </w:pPr>
      <w:r w:rsidRPr="007D04F9">
        <w:t>–</w:t>
      </w:r>
      <w:r w:rsidRPr="007D04F9">
        <w:tab/>
        <w:t>uzimajući u obzir studiju koju je proveo Odbor za razvoj o ulozi razvojne suradnje EU-a u rješavanju problema nezakonitih migracija u Africi</w:t>
      </w:r>
      <w:r>
        <w:rPr>
          <w:rStyle w:val="FootnoteReference"/>
        </w:rPr>
        <w:footnoteReference w:id="6"/>
      </w:r>
      <w:r w:rsidRPr="007D04F9">
        <w:t>,</w:t>
      </w:r>
    </w:p>
    <w:p w:rsidR="004B6073" w:rsidRPr="007D04F9" w:rsidP="004B6073" w14:paraId="3AA42DB6" w14:textId="23CA101C">
      <w:pPr>
        <w:pStyle w:val="NormalHanging"/>
      </w:pPr>
      <w:r w:rsidRPr="007D04F9">
        <w:t>–</w:t>
      </w:r>
      <w:r w:rsidRPr="007D04F9">
        <w:tab/>
        <w:t>uzimajući u obzir svoju Rezoluciju od 25. ožujka 2021. o novoj strategiji EU-a i Afrike: partnerstvo za održiv i uključiv razvoj</w:t>
      </w:r>
      <w:r>
        <w:rPr>
          <w:rStyle w:val="FootnoteReference"/>
        </w:rPr>
        <w:footnoteReference w:id="7"/>
      </w:r>
      <w:r w:rsidRPr="007D04F9">
        <w:t>,</w:t>
      </w:r>
    </w:p>
    <w:p w:rsidR="004B6073" w:rsidRPr="007D04F9" w:rsidP="004B6073" w14:paraId="477A65C6" w14:textId="77777777">
      <w:pPr>
        <w:pStyle w:val="NormalHanging"/>
      </w:pPr>
      <w:r w:rsidRPr="007D04F9">
        <w:t>–</w:t>
      </w:r>
      <w:r w:rsidRPr="007D04F9">
        <w:tab/>
        <w:t>uzimajući u obzir članak 55. Poslovnika,</w:t>
      </w:r>
    </w:p>
    <w:p w:rsidR="004B6073" w:rsidRPr="007D04F9" w:rsidP="004B6073" w14:paraId="3D9F41C9" w14:textId="77777777">
      <w:pPr>
        <w:pStyle w:val="NormalHanging"/>
      </w:pPr>
      <w:r w:rsidRPr="007D04F9">
        <w:t>–</w:t>
      </w:r>
      <w:r w:rsidRPr="007D04F9">
        <w:tab/>
        <w:t>uzimajući u obzir izvješće Odbora za razvoj (A10-0147/2026),</w:t>
      </w:r>
    </w:p>
    <w:p w:rsidR="004B6073" w:rsidRPr="007D04F9" w:rsidP="004B6073" w14:paraId="21AB823B" w14:textId="287DC956">
      <w:pPr>
        <w:pStyle w:val="NormalHanging"/>
      </w:pPr>
      <w:r w:rsidRPr="007D04F9">
        <w:t>A.</w:t>
      </w:r>
      <w:r w:rsidRPr="007D04F9">
        <w:tab/>
        <w:t>budući da su migracije i mobilnost, mir, dobro upravljanje, stabilnost, uključiv rast i održiv razvoj snažno međusobno povezani; budući da su migracije potaknute čimbenicima na makro i mikro razini kao što su oružani sukobi, politička nestabilnost, gospodarske poteškoće, nedostatak prilika i siromaštvo, ograničen pristup mehanizmima socijalne zaštite, neodgovarajuće pružanje usluga, marginalizacija, diskriminacija ili progon ranjivih osoba, među ostalim u pogledu njihove slobode vjeroispovijesti ili uvjerenja, nesigurnost opskrbe hranom i ograničen pristup čistoj vodi te uništavanje okoliša i klimatske promjene</w:t>
      </w:r>
      <w:r>
        <w:rPr>
          <w:rStyle w:val="FootnoteReference"/>
        </w:rPr>
        <w:footnoteReference w:id="8"/>
      </w:r>
      <w:r w:rsidRPr="007D04F9">
        <w:t>;</w:t>
      </w:r>
    </w:p>
    <w:p w:rsidR="004B6073" w:rsidRPr="007D04F9" w:rsidP="004B6073" w14:paraId="4BAFCC7A" w14:textId="77777777">
      <w:pPr>
        <w:pStyle w:val="NormalHanging"/>
      </w:pPr>
      <w:r w:rsidRPr="007D04F9">
        <w:t>B.</w:t>
      </w:r>
      <w:r w:rsidRPr="007D04F9">
        <w:tab/>
        <w:t>budući da nezakonita kretanja stanovništva uključuju različite kategorije migranata, kao što su izbjeglice i tražitelji azila koji traže međunarodnu zaštitu; budući da podnositelji zahtjeva za međunarodnu zaštitu mogu ostati u nadležnim državama članicama do donošenja odluke o njihovu zahtjevu;</w:t>
      </w:r>
    </w:p>
    <w:p w:rsidR="004B6073" w:rsidRPr="007D04F9" w:rsidP="004B6073" w14:paraId="32444341" w14:textId="77777777">
      <w:pPr>
        <w:pStyle w:val="NormalHanging"/>
      </w:pPr>
      <w:r w:rsidRPr="007D04F9">
        <w:t>C.</w:t>
      </w:r>
      <w:r w:rsidRPr="007D04F9">
        <w:tab/>
        <w:t>budući da razvojna suradnja ima ključnu ulogu u iskorjenjivanju siromaštva, suočavanju s nestabilnim kontekstima, promicanju ljudskog razvoja i održivosti u svim njegovim dimenzijama, suočavanju s globalnim izazovima putem međunarodnih partnerstava kojima se podupiru i promiču europske vrijednosti i interesi te doprinosu miru i blagostanju u svijetu;</w:t>
      </w:r>
    </w:p>
    <w:p w:rsidR="004B6073" w:rsidRPr="007D04F9" w:rsidP="004B6073" w14:paraId="7FD4F3C5" w14:textId="77777777">
      <w:pPr>
        <w:pStyle w:val="NormalHanging"/>
      </w:pPr>
      <w:r w:rsidRPr="007D04F9">
        <w:t>D.</w:t>
      </w:r>
      <w:r w:rsidRPr="007D04F9">
        <w:tab/>
        <w:t>budući da se razvojnom politikom EU-a potiče održivi razvoj i stabilnost u zemljama u razvoju, s krajnjim ciljem iskorjenjivanja ekstremnog siromaštva u skladu s Programom održivog razvoja do 2030. i ciljevima održivog razvoja, u skladu s člankom 208. UFEU-a, uz istodobno poštovanje načela usklađenosti politika radi razvoja;</w:t>
      </w:r>
    </w:p>
    <w:p w:rsidR="004B6073" w:rsidRPr="007D04F9" w:rsidP="004B6073" w14:paraId="2798C0A2" w14:textId="77777777">
      <w:pPr>
        <w:pStyle w:val="NormalHanging"/>
      </w:pPr>
      <w:r w:rsidRPr="007D04F9">
        <w:t>E.</w:t>
      </w:r>
      <w:r w:rsidRPr="007D04F9">
        <w:tab/>
        <w:t>budući da se razvojna suradnja mora temeljiti na provjerljivim rezultatima i konkretnoj zajedničkoj predanosti održivom razvoju;</w:t>
      </w:r>
    </w:p>
    <w:p w:rsidR="004B6073" w:rsidRPr="007D04F9" w:rsidP="004B6073" w14:paraId="2A22C844" w14:textId="77777777">
      <w:pPr>
        <w:pStyle w:val="NormalHanging"/>
      </w:pPr>
      <w:r w:rsidRPr="007D04F9">
        <w:t>F.</w:t>
      </w:r>
      <w:r w:rsidRPr="007D04F9">
        <w:tab/>
        <w:t xml:space="preserve">budući da je Uzajamni fond EU-a uspostavljen kako bi se otklonili temeljni uzroci nestabilnosti, prisilnog raseljavanja i nezakonitih migracija te doprinijelo boljem </w:t>
      </w:r>
      <w:r w:rsidRPr="007D04F9">
        <w:t>upravljanju migracijama; budući da je Revizorski sud u svojem pregledu utvrdio da Uzajamni fond EU-a nije uspio ostvariti mnoge od svojih ciljeva jer učinkovite strategije nisu uvijek bile jasno utvrđene;</w:t>
      </w:r>
    </w:p>
    <w:p w:rsidR="004B6073" w:rsidRPr="007D04F9" w:rsidP="004B6073" w14:paraId="1369A223" w14:textId="1B701F63">
      <w:pPr>
        <w:pStyle w:val="NormalHanging"/>
      </w:pPr>
      <w:r w:rsidRPr="007D04F9">
        <w:t>G.</w:t>
      </w:r>
      <w:r w:rsidRPr="007D04F9">
        <w:tab/>
        <w:t>budući da se EU od 2015. suočava s dosad nezabilježenim migracijskim tokovima, a upravljanje njima iziskivalo je stalne napore država članica, te budući da je stoga potrebno ojačati europske razvojne politike kako bi se uklonili temeljni uzroci nezakonitih migracija i prisilnog raseljavanja, s obzirom na to da je u razdoblju od 2015. do 2024. u državama članicama EU-a podneseno više od 8,5 milijuna zahtjeva za azil</w:t>
      </w:r>
      <w:r>
        <w:rPr>
          <w:rStyle w:val="FootnoteReference"/>
        </w:rPr>
        <w:footnoteReference w:id="9"/>
      </w:r>
      <w:r w:rsidRPr="007D04F9">
        <w:t>; budući da se broj nezakonitih prelazaka vanjskih granica EU-a 2025. smanjio za više od jedne četvrtine (26 %) na gotovo 178 000</w:t>
      </w:r>
      <w:r>
        <w:rPr>
          <w:rStyle w:val="FootnoteReference"/>
        </w:rPr>
        <w:footnoteReference w:id="10"/>
      </w:r>
      <w:r w:rsidRPr="007D04F9">
        <w:t>; budući da većina migranata u Europu dolazi zakonitim putem; budući da u skladu s ciljem održivog razvoja br. 10.7 zemlje trebaju olakšati uredne, sigurne, zakonite i odgovorne migracije i mobilnost ljudi planiranim i dobro vođenim migracijskim politikama;</w:t>
      </w:r>
    </w:p>
    <w:p w:rsidR="004B6073" w:rsidRPr="007D04F9" w:rsidP="004B6073" w14:paraId="567DCC7D" w14:textId="2340F62C">
      <w:pPr>
        <w:pStyle w:val="NormalHanging"/>
      </w:pPr>
      <w:r w:rsidRPr="007D04F9">
        <w:t>H.</w:t>
      </w:r>
      <w:r w:rsidRPr="007D04F9">
        <w:tab/>
        <w:t>budući da je 2024. 4,2 milijuna ljudi uselilo u EU iz zemalja koje nisu članice EU-a</w:t>
      </w:r>
      <w:r>
        <w:rPr>
          <w:rStyle w:val="FootnoteReference"/>
        </w:rPr>
        <w:footnoteReference w:id="11"/>
      </w:r>
      <w:r w:rsidRPr="007D04F9">
        <w:t>;</w:t>
      </w:r>
    </w:p>
    <w:p w:rsidR="004B6073" w:rsidRPr="007D04F9" w:rsidP="004B6073" w14:paraId="331AC4F5" w14:textId="77777777">
      <w:pPr>
        <w:pStyle w:val="NormalHanging"/>
      </w:pPr>
      <w:r w:rsidRPr="007D04F9">
        <w:t>I.</w:t>
      </w:r>
      <w:r w:rsidRPr="007D04F9">
        <w:tab/>
        <w:t>budući da su mnoge zemlje podrijetla podnositelja zahtjeva za azil zemlje s niskim i srednjim dohotkom; budući da je stopa prihvaćanja za tražitelje azila tih zemalja prilično neravnomjerna;</w:t>
      </w:r>
    </w:p>
    <w:p w:rsidR="004B6073" w:rsidRPr="007D04F9" w:rsidP="004B6073" w14:paraId="2502B3E9" w14:textId="77777777">
      <w:pPr>
        <w:pStyle w:val="NormalHanging"/>
      </w:pPr>
      <w:r w:rsidRPr="007D04F9">
        <w:t>J.</w:t>
      </w:r>
      <w:r w:rsidRPr="007D04F9">
        <w:tab/>
        <w:t>budući da su 2024. zemlje EU-a odobrile status zaštite za 437 900 tražitelja azila, što je povećanje od 6,9 % u odnosu na 2023. (409 530); budući da je to najveći broj od najviših razina zabilježenih nakon izbjegličke krize povezane s ratom u Siriji 2016. i 2017.; budući da je stopa priznavanja statusa na razini EU-a, koja predstavlja udio pozitivnih odluka o azilu u ukupnom broju odluka, 2024. iznosila 51,4 % za prvostupanjske odluke;</w:t>
      </w:r>
    </w:p>
    <w:p w:rsidR="004B6073" w:rsidRPr="007D04F9" w:rsidP="004B6073" w14:paraId="73BCC15E" w14:textId="6AEF974D">
      <w:pPr>
        <w:pStyle w:val="NormalHanging"/>
      </w:pPr>
      <w:r w:rsidRPr="007D04F9">
        <w:t>K.</w:t>
      </w:r>
      <w:r w:rsidRPr="007D04F9">
        <w:tab/>
        <w:t>budući da je 2024. ulazak u EU odbijen za 124 000 državljana trećih zemalja, da je za 919 000 osoba utvrđeno da su bez statusa, da su izdane odluke o vraćanju za 453 000 osoba i da je oko 110 000 osoba stvarno vraćeno u zemlju izvan EU-a</w:t>
      </w:r>
      <w:r>
        <w:rPr>
          <w:rStyle w:val="FootnoteReference"/>
        </w:rPr>
        <w:footnoteReference w:id="12"/>
      </w:r>
      <w:r w:rsidRPr="007D04F9">
        <w:t>; budući da je otprilike 20 % osoba kojima su izdane odluke o vraćanju stvarno vraćeno</w:t>
      </w:r>
      <w:r>
        <w:rPr>
          <w:rStyle w:val="FootnoteReference"/>
        </w:rPr>
        <w:footnoteReference w:id="13"/>
      </w:r>
      <w:r w:rsidRPr="007D04F9">
        <w:t>;</w:t>
      </w:r>
    </w:p>
    <w:p w:rsidR="004B6073" w:rsidRPr="007D04F9" w:rsidP="004B6073" w14:paraId="2B53172E" w14:textId="77777777">
      <w:pPr>
        <w:pStyle w:val="NormalHanging"/>
      </w:pPr>
      <w:r w:rsidRPr="007D04F9">
        <w:t>L.</w:t>
      </w:r>
      <w:r w:rsidRPr="007D04F9">
        <w:tab/>
        <w:t xml:space="preserve">budući da se međunarodna migracijska putovanja najčešće odvijaju između susjednih zemalja; budući da je velika većina izbjeglica, osoba kojima je potrebna međunarodna </w:t>
      </w:r>
      <w:r w:rsidRPr="007D04F9">
        <w:t>zaštita i interno raseljenih osoba smještena u zemljama s niskim i srednjim dohotkom; budući da je gospodarsko opterećenje za te zemlje veliko i utječe na njihovu socijalnu i gospodarsku koheziju i razvoj; budući da razvojna suradnja stoga ima ključnu ulogu u pružanju potpore raseljenom stanovništvu i zajednicama domaćinima;</w:t>
      </w:r>
    </w:p>
    <w:p w:rsidR="004B6073" w:rsidRPr="007D04F9" w:rsidP="004B6073" w14:paraId="2DAD0612" w14:textId="77777777">
      <w:pPr>
        <w:pStyle w:val="NormalHanging"/>
      </w:pPr>
      <w:r w:rsidRPr="007D04F9">
        <w:t>M.</w:t>
      </w:r>
      <w:r w:rsidRPr="007D04F9">
        <w:tab/>
        <w:t xml:space="preserve">budući da se Afrika suočava s unutarnjom migracijom, pri čemu se oko 80 % sve afričke migracije događa unutar tog kontinenta; budući da je 2024. u </w:t>
      </w:r>
      <w:r w:rsidRPr="007D04F9">
        <w:t>supsaharskoj</w:t>
      </w:r>
      <w:r w:rsidRPr="007D04F9">
        <w:t xml:space="preserve"> Africi zabilježeno 19,3 milijuna novih slučajeva interno raseljenih osoba, od čega je 11,5 milijuna posljedica sukoba, a 7,8 milijuna posljedica katastrofa; budući da je ukupan broj interno raseljenih osoba u Africi u razdoblju od 2015. do 2024. dosegnuo 38,8 milijuna, što čini 46 % ukupnog globalnog broja, od kojih 68 % dolazi iz Demokratske Republike Konga, Etiopije, Nigerije, Somalije i Sudana;</w:t>
      </w:r>
    </w:p>
    <w:p w:rsidR="004B6073" w:rsidRPr="007D04F9" w:rsidP="004B6073" w14:paraId="61CEA984" w14:textId="661E3F5A">
      <w:pPr>
        <w:pStyle w:val="NormalHanging"/>
      </w:pPr>
      <w:r w:rsidRPr="007D04F9">
        <w:t>N.</w:t>
      </w:r>
      <w:r w:rsidRPr="007D04F9">
        <w:tab/>
        <w:t>budući da je od lipnja 2025. 117,3 milijuna ljudi bilo prisiljeno napustiti svoje domove diljem svijeta zbog progona, sukoba, nasilja, kršenja ljudskih prava ili događaja koji ozbiljno narušavaju javni poredak; budući da su 42,5 milijuna tih osoba bile izbjeglice, 67,8 milijuna interno raseljene osobe, a 8,42 milijuna tražitelji azila</w:t>
      </w:r>
      <w:r>
        <w:rPr>
          <w:rStyle w:val="FootnoteReference"/>
        </w:rPr>
        <w:footnoteReference w:id="14"/>
      </w:r>
      <w:r w:rsidRPr="007D04F9">
        <w:t>;</w:t>
      </w:r>
    </w:p>
    <w:p w:rsidR="004B6073" w:rsidRPr="007D04F9" w:rsidP="004B6073" w14:paraId="504A2A02" w14:textId="77777777">
      <w:pPr>
        <w:pStyle w:val="NormalHanging"/>
      </w:pPr>
      <w:r w:rsidRPr="007D04F9">
        <w:t>O.</w:t>
      </w:r>
      <w:r w:rsidRPr="007D04F9">
        <w:tab/>
        <w:t>budući da izvješće i istraživanja UN-ove agencije za izbjeglice (UNHCR) o globalnim trendovima pokazuju da većina izbjeglica i raseljenih osoba ne želi napustiti svoje zemlje, već su na to prisiljeni zbog prijetnji kao što su sukobi, progoni, nasilje ili ekstremne poteškoće; budući da je istraživanje UNHCR-a iz 2023. pokazalo da bi velika većina izbjeglica radije ostala u svojim zajednicama da su im zajamčeni sigurnost i sredstva za život;</w:t>
      </w:r>
    </w:p>
    <w:p w:rsidR="004B6073" w:rsidRPr="007D04F9" w:rsidP="004B6073" w14:paraId="483A6EA2" w14:textId="77777777">
      <w:pPr>
        <w:pStyle w:val="NormalHanging"/>
      </w:pPr>
      <w:r w:rsidRPr="007D04F9">
        <w:t>P.</w:t>
      </w:r>
      <w:r w:rsidRPr="007D04F9">
        <w:tab/>
        <w:t>budući da razvojna suradnja ima ključnu ulogu u smanjenju siromaštva i sprječavanju nestabilnih situacija podupiranjem ljudskog razvoja, promicanjem i podupiranjem načela demokracije, vladavine prava, rodne ravnopravnosti, ljudskih prava i temeljnih prava te jačanjem izvršavanja zakonodavstva, kao i stvaranjem održivih gospodarskih prilika, poboljšanjem upravljanja te poticanjem mira i stabilnosti, čime se uklanjaju temeljni uzroci nezakonitih migracija;</w:t>
      </w:r>
    </w:p>
    <w:p w:rsidR="004B6073" w:rsidRPr="007D04F9" w:rsidP="004B6073" w14:paraId="04B329E0" w14:textId="77777777">
      <w:pPr>
        <w:pStyle w:val="NormalHanging"/>
      </w:pPr>
      <w:r w:rsidRPr="007D04F9">
        <w:t>Q.</w:t>
      </w:r>
      <w:r w:rsidRPr="007D04F9">
        <w:tab/>
        <w:t>budući da je poboljšanje životnih uvjeta, obrazovanja i izgleda za zapošljavanje u zemljama podrijetla ključno kako bi se osiguralo da ljudi mogu izgraditi budućnost za sebe u svojim zajednicama umjesto da budu prisiljeni migrirati; budući da se ciljanom i učinkovitom suradnjom stoga mogu smanjiti poticaji za nezakonite migracije promicanjem stabilnosti, sigurnosti i samodostatnosti u partnerskim zemljama;</w:t>
      </w:r>
    </w:p>
    <w:p w:rsidR="004B6073" w:rsidRPr="007D04F9" w:rsidP="004B6073" w14:paraId="685A34DD" w14:textId="77777777">
      <w:pPr>
        <w:pStyle w:val="NormalHanging"/>
      </w:pPr>
      <w:r w:rsidRPr="007D04F9">
        <w:t>R.</w:t>
      </w:r>
      <w:r w:rsidRPr="007D04F9">
        <w:tab/>
        <w:t>budući da povećana nestabilnost, među ostalim u vezi s klimatskim promjenama i uništavanjem okoliša te iscrpljivanjem i prekomjernim iskorištavanjem prirodnih resursa, može utjecati na migracije; budući da je 90 % svih prirodnih katastrofa povezano s vodom, s mogućim posljedicama za nesigurnost opskrbe hranom, povećane društvene sukobe i migracije;</w:t>
      </w:r>
    </w:p>
    <w:p w:rsidR="004B6073" w:rsidRPr="007D04F9" w:rsidP="004B6073" w14:paraId="67AAEEDB" w14:textId="77777777">
      <w:pPr>
        <w:pStyle w:val="NormalHanging"/>
      </w:pPr>
      <w:r w:rsidRPr="007D04F9">
        <w:t>S.</w:t>
      </w:r>
      <w:r w:rsidRPr="007D04F9">
        <w:tab/>
        <w:t xml:space="preserve">budući da visoke razine nesigurnosti opskrbe hranom dovode do većih razina prekograničnih migracija, pri čemu povećanje nesigurnosti opskrbe hranom od 1 % u određenoj populaciji prisiljava 1,9 % više ljudi na migraciju; budući da gospodarski i ekološki čimbenici, iako sami po sebi nisu temelj za azil, znatno doprinose čimbenicima ranjivosti koji mogu zahtijevati sveobuhvatan međunarodni odgovor usmjeren na </w:t>
      </w:r>
      <w:r w:rsidRPr="007D04F9">
        <w:t>zaštitu;</w:t>
      </w:r>
    </w:p>
    <w:p w:rsidR="004B6073" w:rsidRPr="007D04F9" w:rsidP="004B6073" w14:paraId="239A28F8" w14:textId="77777777">
      <w:pPr>
        <w:pStyle w:val="NormalHanging"/>
      </w:pPr>
      <w:r w:rsidRPr="007D04F9">
        <w:t>T.</w:t>
      </w:r>
      <w:r w:rsidRPr="007D04F9">
        <w:tab/>
        <w:t xml:space="preserve">budući da su migracijski tokovi često povezani s oskudicom prirodnih resursa, uključujući vodu; budući da 2,2 milijarde ljudi u svijetu i dalje nema pristup vodi sigurnoj za piće; budući da je cilj europske strategije za otpornost vodoopskrbe promicanje otpornosti vodoopskrbe i osiguravanje pristupa poboljšanoj vodi za piće i sanitarnim uvjetima za najmanje 70 milijuna osoba pojačanim djelovanjem zemalja i regija u okviru strategije Global </w:t>
      </w:r>
      <w:r w:rsidRPr="007D04F9">
        <w:t>Gateway</w:t>
      </w:r>
      <w:r w:rsidRPr="007D04F9">
        <w:t>;</w:t>
      </w:r>
    </w:p>
    <w:p w:rsidR="004B6073" w:rsidRPr="007D04F9" w:rsidP="004B6073" w14:paraId="6C226AAA" w14:textId="77777777">
      <w:pPr>
        <w:pStyle w:val="NormalHanging"/>
      </w:pPr>
      <w:r w:rsidRPr="007D04F9">
        <w:t>U.</w:t>
      </w:r>
      <w:r w:rsidRPr="007D04F9">
        <w:tab/>
        <w:t>budući da se u Paktu EU-a o migracijama i azilu ističe važnost vanjske dimenzije migracije razvojem sveobuhvatnih partnerstava koja se temelje na političkom dijalogu, uzajamnoj predanosti i pristupu na svim razinama rute;</w:t>
      </w:r>
    </w:p>
    <w:p w:rsidR="004B6073" w:rsidRPr="007D04F9" w:rsidP="004B6073" w14:paraId="7F62DAEA" w14:textId="77777777">
      <w:pPr>
        <w:pStyle w:val="NormalHanging"/>
      </w:pPr>
      <w:r w:rsidRPr="007D04F9">
        <w:t>V.</w:t>
      </w:r>
      <w:r w:rsidRPr="007D04F9">
        <w:tab/>
        <w:t xml:space="preserve">budući da se Paktom za Mediteran poziva na proširenje programa Erasmus+ na nekoliko zemalja na Bliskom istoku i u Africi kako bi se povezali mladi i poduprlo integriranije i </w:t>
      </w:r>
      <w:r w:rsidRPr="007D04F9">
        <w:t>uključivije</w:t>
      </w:r>
      <w:r w:rsidRPr="007D04F9">
        <w:t xml:space="preserve"> okruženje za visoko obrazovanje i razvoj vještina; budući da Pakt također poziva na proširenje partnerstava radi privlačenja talenata, uključujući uspostavu baze talenata EU-a radi olakšavanja povezivanja između poslodavaca EU-a i tražitelja posla iz partnerskih zemalja;</w:t>
      </w:r>
    </w:p>
    <w:p w:rsidR="004B6073" w:rsidRPr="007D04F9" w:rsidP="004B6073" w14:paraId="0E75373A" w14:textId="77777777">
      <w:pPr>
        <w:pStyle w:val="NormalHanging"/>
      </w:pPr>
      <w:r w:rsidRPr="007D04F9">
        <w:t>W.</w:t>
      </w:r>
      <w:r w:rsidRPr="007D04F9">
        <w:tab/>
        <w:t xml:space="preserve">budući da bi strategija Global </w:t>
      </w:r>
      <w:r w:rsidRPr="007D04F9">
        <w:t>Gateway</w:t>
      </w:r>
      <w:r w:rsidRPr="007D04F9">
        <w:t xml:space="preserve"> i ulaganja u ljudski razvoj trebali pružiti priliku za usklađivanje razvojne suradnje s prioritetima partnerskih zemalja, uključujući migraciju, promicanjem otvaranja radnih mjesta, obrazovanja, strukovnog osposobljavanja, demokratskih vrijednosti i visokih standarda, jačanjem dobrog upravljanja i transparentnosti i održivim ulaganjima, uključujući sigurnost opskrbe vodom, u zemljama podrijetla i tranzitnim zemljama;</w:t>
      </w:r>
    </w:p>
    <w:p w:rsidR="004B6073" w:rsidRPr="007D04F9" w:rsidP="004B6073" w14:paraId="41D4550E" w14:textId="77777777">
      <w:pPr>
        <w:pStyle w:val="NormalHanging"/>
      </w:pPr>
      <w:r w:rsidRPr="007D04F9">
        <w:t>X.</w:t>
      </w:r>
      <w:r w:rsidRPr="007D04F9">
        <w:tab/>
        <w:t xml:space="preserve">budući da bi cilj strategije Global </w:t>
      </w:r>
      <w:r w:rsidRPr="007D04F9">
        <w:t>Gateway</w:t>
      </w:r>
      <w:r w:rsidRPr="007D04F9">
        <w:t xml:space="preserve"> također trebao biti promicanje održivih i pouzdanih partnerstava u području zelene energije i infrastrukture; budući da su prilagodba klimatskim promjenama i ulaganja u obnovljivu energiju ključni za rješavanje socioekonomskih pokretača migracija;</w:t>
      </w:r>
    </w:p>
    <w:p w:rsidR="004B6073" w:rsidRPr="007D04F9" w:rsidP="004B6073" w14:paraId="09CFE1A4" w14:textId="77777777">
      <w:pPr>
        <w:pStyle w:val="NormalHanging"/>
      </w:pPr>
      <w:r w:rsidRPr="007D04F9">
        <w:t>Y.</w:t>
      </w:r>
      <w:r w:rsidRPr="007D04F9">
        <w:tab/>
        <w:t>budući da su gospodarska suradnja i privatna ulaganja ključni alati za smanjenje siromaštva i povećanje samodostatnosti te za poticanje održivog i lokalnog rasta u partnerskim zemljama;</w:t>
      </w:r>
    </w:p>
    <w:p w:rsidR="004B6073" w:rsidRPr="007D04F9" w:rsidP="004B6073" w14:paraId="0710051B" w14:textId="77777777">
      <w:pPr>
        <w:pStyle w:val="NormalHanging"/>
      </w:pPr>
      <w:r w:rsidRPr="007D04F9">
        <w:t>Z.</w:t>
      </w:r>
      <w:r w:rsidRPr="007D04F9">
        <w:tab/>
        <w:t>budući da se pokazalo da je industrijski razvoj jedan od najmoćnijih načina za izlazak ljudi iz siromaštva; budući da društveno odgovorno i održivo ulaganje u kapacitete produktivnosti može stvoriti mogućnosti zapošljavanja i da može imati multiplikacijski učinak;</w:t>
      </w:r>
    </w:p>
    <w:p w:rsidR="004B6073" w:rsidRPr="007D04F9" w:rsidP="004B6073" w14:paraId="0CA09CF3" w14:textId="77777777">
      <w:pPr>
        <w:pStyle w:val="NormalHanging"/>
      </w:pPr>
      <w:r w:rsidRPr="007D04F9">
        <w:t>AA.</w:t>
      </w:r>
      <w:r w:rsidRPr="007D04F9">
        <w:tab/>
        <w:t>budući da trgovina ljudima i krijumčarenje ljudi predstavljaju teško kršenje temeljnih prava i da lišavaju ljude njihova dostojanstva, slobode i temeljnih prava; budući da mreže za trgovinu ljudima i krijumčarenje ljudi iskorištavaju migrante tako što zarađuju od njihovih opasnih putovanja;</w:t>
      </w:r>
    </w:p>
    <w:p w:rsidR="004B6073" w:rsidRPr="007D04F9" w:rsidP="004B6073" w14:paraId="08B1DC57" w14:textId="77777777">
      <w:pPr>
        <w:pStyle w:val="NormalHanging"/>
      </w:pPr>
      <w:r w:rsidRPr="007D04F9">
        <w:t>AB.</w:t>
      </w:r>
      <w:r w:rsidRPr="007D04F9">
        <w:tab/>
        <w:t>budući da neke zemlje nemaju alate i resurse za sprečavanje i borbu protiv tih kaznenih djela; budući da međunarodna partnerstva mogu učinkovito doprinijeti borbi protiv trgovine ljudima i krijumčarenja ljudi;</w:t>
      </w:r>
    </w:p>
    <w:p w:rsidR="004B6073" w:rsidRPr="007D04F9" w:rsidP="004B6073" w14:paraId="2A5EA2B7" w14:textId="77777777">
      <w:pPr>
        <w:pStyle w:val="NormalHanging"/>
      </w:pPr>
      <w:r w:rsidRPr="007D04F9">
        <w:t>AC.</w:t>
      </w:r>
      <w:r w:rsidRPr="007D04F9">
        <w:tab/>
        <w:t xml:space="preserve">budući da razvojna suradnja ima ključnu ulogu u rješavanju temeljnih uzroka nezakonitih migracija i prisilnog raseljavanja, kao i u borbi protiv krijumčarenja ljudi, u zaštiti izbjeglica i osoba kojima je potrebna međunarodna zaštita, pružanju potpore </w:t>
      </w:r>
      <w:r w:rsidRPr="007D04F9">
        <w:t>zemljama koje su prihvatile izbjeglice i razvoju zakonitih načina migracije;</w:t>
      </w:r>
    </w:p>
    <w:p w:rsidR="004B6073" w:rsidRPr="007D04F9" w:rsidP="004B6073" w14:paraId="0B95074C" w14:textId="77777777">
      <w:pPr>
        <w:pStyle w:val="NormalHanging"/>
      </w:pPr>
      <w:r w:rsidRPr="007D04F9">
        <w:t>AD.</w:t>
      </w:r>
      <w:r w:rsidRPr="007D04F9">
        <w:tab/>
        <w:t>budući da su sigurnost, stabilnost, teritorijalna cjelovitost i dobro upravljanje preduvjeti za djelovanje u području održivog razvoja te budući da bi EU također trebao podupirati partnerske zemlje u jačanju kapaciteta za izvršavanje zakonodavstva i upravljanje granicama i borbi protiv organiziranog kriminala;</w:t>
      </w:r>
    </w:p>
    <w:p w:rsidR="004B6073" w:rsidRPr="007D04F9" w:rsidP="004B6073" w14:paraId="6F45A6A7" w14:textId="77777777">
      <w:pPr>
        <w:pStyle w:val="NormalHanging"/>
      </w:pPr>
      <w:r w:rsidRPr="007D04F9">
        <w:t>AE.</w:t>
      </w:r>
      <w:r w:rsidRPr="007D04F9">
        <w:tab/>
        <w:t>budući da učinkovito upravljanje migracijama također zahtijeva čvršću suradnju sa zemljama podrijetla i tranzita te razbijanje kriminalnih mreža koje iskorištavaju ranjive osobe; budući da potpora lokalnom razvoju i stabilnosti u partnerskim zemljama pomaže u tome da se temeljni uzroci migracija riješe na održiv način;</w:t>
      </w:r>
    </w:p>
    <w:p w:rsidR="004B6073" w:rsidRPr="007D04F9" w:rsidP="004B6073" w14:paraId="5E174FC6" w14:textId="77777777">
      <w:pPr>
        <w:pStyle w:val="NormalHanging"/>
      </w:pPr>
      <w:r w:rsidRPr="007D04F9">
        <w:t>AF.</w:t>
      </w:r>
      <w:r w:rsidRPr="007D04F9">
        <w:tab/>
        <w:t>budući da je europska potpora funkcionalnim sustavima za dobivanje azila u trećim zemljama kao dio razvojne suradnje od ključne važnosti za međunarodnu zaštitu tražitelja azila;</w:t>
      </w:r>
    </w:p>
    <w:p w:rsidR="004B6073" w:rsidRPr="007D04F9" w:rsidP="004B6073" w14:paraId="3F5C498E" w14:textId="77777777">
      <w:pPr>
        <w:pStyle w:val="NormalHanging"/>
      </w:pPr>
      <w:r w:rsidRPr="007D04F9">
        <w:t>AG.</w:t>
      </w:r>
      <w:r w:rsidRPr="007D04F9">
        <w:tab/>
        <w:t>budući da se politikama vraćanja i reintegracije moraju u potpunosti poštovati ljudska prava; budući da suradnja u pogledu vraćanja i reintegracije može donijeti uzajamnu korist kada se u obzir uzima dobrovoljno, dostojanstveno i održivo vraćanje u zemlje podrijetla;</w:t>
      </w:r>
    </w:p>
    <w:p w:rsidR="004B6073" w:rsidRPr="007D04F9" w:rsidP="004B6073" w14:paraId="527E9245" w14:textId="77777777">
      <w:pPr>
        <w:pStyle w:val="NormalHanging"/>
      </w:pPr>
      <w:r w:rsidRPr="007D04F9">
        <w:t>AH.</w:t>
      </w:r>
      <w:r w:rsidRPr="007D04F9">
        <w:tab/>
        <w:t>budući da sporazumi o ponovnom prihvatu i inovativni prilagođeni projekti čiji je cilj reintegracija migranata u njihove zemlje podrijetla čine sastavni dio učinkovite suradnje s partnerskim zemljama;</w:t>
      </w:r>
    </w:p>
    <w:p w:rsidR="004B6073" w:rsidRPr="007D04F9" w:rsidP="004B6073" w14:paraId="5CBE380F" w14:textId="77777777">
      <w:pPr>
        <w:pStyle w:val="NormalHanging"/>
      </w:pPr>
      <w:r w:rsidRPr="007D04F9">
        <w:t>AI.</w:t>
      </w:r>
      <w:r w:rsidRPr="007D04F9">
        <w:tab/>
        <w:t>budući da razvojna suradnja ima ključnu ulogu u podupiranju socioekonomske integracije raseljenog stanovništva i zajednica domaćina i u zaštiti osoba u ranjivom položaju, uključujući žene, djecu i osobe s invaliditetom;</w:t>
      </w:r>
    </w:p>
    <w:p w:rsidR="004B6073" w:rsidRPr="007D04F9" w:rsidP="004B6073" w14:paraId="08796CDF" w14:textId="77777777">
      <w:pPr>
        <w:pStyle w:val="NormalHanging"/>
      </w:pPr>
      <w:r w:rsidRPr="007D04F9">
        <w:t>AJ.</w:t>
      </w:r>
      <w:r w:rsidRPr="007D04F9">
        <w:tab/>
        <w:t>budući da migracije mogu doprinijeti održivom razvoju i uključivom rastu i u zemljama podrijetla i u odredišnim zemljama, kao i unutar regija i među njima; budući da migracije ostavljaju gospodarski učinak i na zemlju odredišta i na zemlju podrijetla; budući da se taj učinak može vidjeti u doprinosu migranata javnim financijama, zapošljavanju i otvaranju radnih mjesta, kao i ulozi koju zajednice u dijaspori mogu imati u podupiranju gospodarskog razvoja svojih zemalja podrijetla;</w:t>
      </w:r>
    </w:p>
    <w:p w:rsidR="004B6073" w:rsidRPr="007D04F9" w:rsidP="004B6073" w14:paraId="35525D30" w14:textId="77777777">
      <w:pPr>
        <w:pStyle w:val="NormalHanging"/>
      </w:pPr>
      <w:r w:rsidRPr="007D04F9">
        <w:t>AK.</w:t>
      </w:r>
      <w:r w:rsidRPr="007D04F9">
        <w:tab/>
        <w:t>budući da zajednice u dijaspori imaju važnu ulogu u razvoju partnerskih zemalja, posebno u poticanju trgovine i gospodarskog razvoja, kao i u rješavanju niza aspekata povezanih s migracijama i mobilnošću; budući da instrument EU-a za globalnu dijasporu može imati ključnu ulogu u tom kontekstu;</w:t>
      </w:r>
    </w:p>
    <w:p w:rsidR="004B6073" w:rsidRPr="007D04F9" w:rsidP="004B6073" w14:paraId="33CDBA6D" w14:textId="77777777">
      <w:pPr>
        <w:pStyle w:val="NormalHanging"/>
      </w:pPr>
      <w:r w:rsidRPr="007D04F9">
        <w:t>AL.</w:t>
      </w:r>
      <w:r w:rsidRPr="007D04F9">
        <w:tab/>
        <w:t>budući da odljev mozgova može predstavljati izazov za treće zemlje u postizanju njihovih ciljeva politike povezanih s razvojem i migracijama;</w:t>
      </w:r>
    </w:p>
    <w:p w:rsidR="004B6073" w:rsidRPr="007D04F9" w:rsidP="004B6073" w14:paraId="7675C614" w14:textId="77777777">
      <w:pPr>
        <w:pStyle w:val="Normal12a"/>
      </w:pPr>
      <w:r w:rsidRPr="007D04F9">
        <w:rPr>
          <w:b/>
          <w:i/>
        </w:rPr>
        <w:t>Međusobna povezanost migracija i razvojne suradnje</w:t>
      </w:r>
    </w:p>
    <w:p w:rsidR="004B6073" w:rsidRPr="007D04F9" w:rsidP="004B6073" w14:paraId="1F3CEF58" w14:textId="77777777">
      <w:pPr>
        <w:pStyle w:val="NormalHanging12a"/>
      </w:pPr>
      <w:r w:rsidRPr="007D04F9">
        <w:t>1.</w:t>
      </w:r>
      <w:r w:rsidRPr="007D04F9">
        <w:tab/>
        <w:t>ističe međusobnu povezanost migracija i razvojne suradnje te poziva Komisiju i države članice da nastave biti predane usklađenosti politika radi razvoja u svojim migracijskim politikama, uz potpuno poštovanje ljudskih prava i Programa održivog razvoja UN-a do 2030.;</w:t>
      </w:r>
    </w:p>
    <w:p w:rsidR="004B6073" w:rsidRPr="007D04F9" w:rsidP="004B6073" w14:paraId="7FB6C307" w14:textId="77777777">
      <w:pPr>
        <w:pStyle w:val="NormalHanging12a"/>
      </w:pPr>
      <w:r w:rsidRPr="007D04F9">
        <w:t>2.</w:t>
      </w:r>
      <w:r w:rsidRPr="007D04F9">
        <w:tab/>
        <w:t xml:space="preserve">naglašava da se razvojna suradnja i vanjska i sigurnosna politika EU-a uvijek moraju razraditi i provoditi na potpuno dosljedan način, uz pragmatičan i uzajamno koristan </w:t>
      </w:r>
      <w:r w:rsidRPr="007D04F9">
        <w:t>pristup usmjeren na rezultate čiji je cilj jamčenje stabilnosti i gospodarskih mogućnosti u partnerskim zemljama, uključujući zemlje podrijetla i tranzitne zemlje za migracijske tokove;</w:t>
      </w:r>
    </w:p>
    <w:p w:rsidR="004B6073" w:rsidRPr="007D04F9" w:rsidP="004B6073" w14:paraId="2164EF5D" w14:textId="77777777">
      <w:pPr>
        <w:pStyle w:val="NormalHanging12a"/>
      </w:pPr>
      <w:r w:rsidRPr="007D04F9">
        <w:t>3.</w:t>
      </w:r>
      <w:r w:rsidRPr="007D04F9">
        <w:tab/>
        <w:t>naglašava da bi se u razvojnoj suradnji prednost trebala dati iskorjenjivanju siromaštva, smanjenju nejednakosti i održivom razvoju u skladu s ciljevima održivog razvoja, sprečavanju sukoba i izgradnji mira gospodarskim osnaživanjem, reformama upravljanja i promicanjem ljudskih prava u partnerskim zemljama, pri čemu bi se prednost trebala također dati dugoročnim ulaganjima na temelju razvojnih prioriteta i potreba partnerskih zemalja, među ostalim ciljevima, prilikom uklanjanja temeljnih uzroka nezakonitih migracija i prisilnog raseljavanja;</w:t>
      </w:r>
    </w:p>
    <w:p w:rsidR="004B6073" w:rsidRPr="007D04F9" w:rsidP="004B6073" w14:paraId="383F742A" w14:textId="77777777">
      <w:pPr>
        <w:pStyle w:val="NormalHanging12a"/>
      </w:pPr>
      <w:r w:rsidRPr="007D04F9">
        <w:t>4.</w:t>
      </w:r>
      <w:r w:rsidRPr="007D04F9">
        <w:tab/>
        <w:t>podsjeća da su žene i djevojčice često nerazmjerno pogođene krizama i siromaštvom; stoga poziva Komisiju da u razvojnim programima primijeni rodno osjetljiv pristup koji se temelji na ljudskim pravima i kojim se uzima u obzir ranjivost, naglašavajući važnost utvrđivanja rizika za ljudska prava, poduzimanja mjera ublažavanja i osiguravanja da se poseban naglasak stavi na sve osobe u ranjivom položaju, uključujući osobe s invaliditetom, starije osobe, marginalizirane zajednice te žene, djevojčice i mlade, posebno s obzirom na to da je uloga žena u nestabilnim kontekstima i izgradnji mira, sprečavanju sukoba i održivom razvoju ključna jer su one često osobe koje prve dolaze u kontakt s onima kojima je potrebna pomoć i mogu biti ključni katalizatori promjena, otpornosti i oporavka; ističe da uključivo sudjelovanje žena u donošenju odluka, posredovanju, djelovanju u području klime i razvoju zajednice dovodi do učinkovitijih i održivijih ishoda;</w:t>
      </w:r>
    </w:p>
    <w:p w:rsidR="004B6073" w:rsidRPr="007D04F9" w:rsidP="004B6073" w14:paraId="75583DA1" w14:textId="77777777">
      <w:pPr>
        <w:pStyle w:val="NormalHanging12a"/>
      </w:pPr>
      <w:r w:rsidRPr="007D04F9">
        <w:t>5.</w:t>
      </w:r>
      <w:r w:rsidRPr="007D04F9">
        <w:tab/>
        <w:t>ističe važnost pristupa Tima Europa kojim se osigurava usklađenost između institucija EU-a i država članica kada je riječ o radu na vanjskim dimenzijama migracija; naglašava da Tim Europa treba koordinirati političke, diplomatske, financijske i tehničke napore za razvoj i produbljivanje sveobuhvatnih partnerstava kojima se podupiru partnerske zemlje u upravljanju migracijama na siguran, uredan, zakonit i odgovoran način primjenom učinkovitog pristupa koji se temelji na ljudskim pravima i usmjeren je na čovjeka te kojim se također odgovara na potrebe izbjeglica i interno raseljenih osoba;</w:t>
      </w:r>
    </w:p>
    <w:p w:rsidR="004B6073" w:rsidRPr="007D04F9" w:rsidP="004B6073" w14:paraId="5541498A" w14:textId="77777777">
      <w:pPr>
        <w:pStyle w:val="NormalHanging12a"/>
      </w:pPr>
      <w:r w:rsidRPr="007D04F9">
        <w:t>6.</w:t>
      </w:r>
      <w:r w:rsidRPr="007D04F9">
        <w:tab/>
        <w:t>naglašava da bi u cilju sprečavanja korupcije i izbjegavanja lošeg upravljanja Komisija trebala osigurati postojanje jasnih mehanizama praćenja i evaluacije kako bi se osigurala učinkovita odgovornost i transparentnost u izvršenju proračuna EU-a, među ostalim pri rješavanju veze između razvoja i temeljnih uzroka migracija;</w:t>
      </w:r>
    </w:p>
    <w:p w:rsidR="004B6073" w:rsidRPr="007D04F9" w:rsidP="004B6073" w14:paraId="44AF1D4E" w14:textId="77777777">
      <w:pPr>
        <w:pStyle w:val="NormalHanging12a"/>
      </w:pPr>
      <w:r w:rsidRPr="007D04F9">
        <w:t>7.</w:t>
      </w:r>
      <w:r w:rsidRPr="007D04F9">
        <w:tab/>
        <w:t>poziva Komisiju i države članice da poboljšaju politički dijalog s trećim zemljama kako bi se ojačali i razvili sveobuhvatni i uzajamno korisni pristupi prilagođeni svakoj zemlji pojedinačno kojima se uzimaju u obzir specifični konteksti i razvoj i migracijske potrebe zemalja podrijetla i tranzitnih zemalja, posebno u pogledu ljudskog razvoja, dostojanstvenog rada, društvene uključenosti i zaštite migranata, izbjeglica i interno raseljenih osoba; naglašava da bi se takva suradnja trebala temeljiti na solidarnosti, zajedničkoj odgovornosti i poštovanju ljudskih prava;</w:t>
      </w:r>
    </w:p>
    <w:p w:rsidR="004B6073" w:rsidRPr="007D04F9" w:rsidP="004B6073" w14:paraId="0D0421F0" w14:textId="77777777">
      <w:pPr>
        <w:pStyle w:val="NormalHanging12a"/>
      </w:pPr>
      <w:r w:rsidRPr="007D04F9">
        <w:t>8.</w:t>
      </w:r>
      <w:r w:rsidRPr="007D04F9">
        <w:tab/>
        <w:t>naglašava potrebu za jasnim razumijevanjem naseljavanja migranata i njihovih lokalnih učinaka; poziva Komisiju i države članice da razviju strategiju u kojoj se naglašava potreba za lokalnom perspektivom kako bi se ojačala lokalna odgovornost i nadogradili postojeći regionalni prioriteti, posebno podupiranjem migracijskih sustava unutar kontinenta;</w:t>
      </w:r>
    </w:p>
    <w:p w:rsidR="004B6073" w:rsidRPr="007D04F9" w:rsidP="004B6073" w14:paraId="7296BD8A" w14:textId="77777777">
      <w:pPr>
        <w:pStyle w:val="NormalHanging12a"/>
      </w:pPr>
      <w:r w:rsidRPr="007D04F9">
        <w:t>9.</w:t>
      </w:r>
      <w:r w:rsidRPr="007D04F9">
        <w:tab/>
        <w:t>poziva Komisiju da prednost da nestabilnim geografskim kontekstima uzimajući u obzir i podatke specifične za migracije i informacije koje se temelje na istraživanju kako bi se bolje utvrdile potrebe partnerskih zemalja i usmjerilo na njihove prioritete, među ostalim u pogledu nezakonitih migracija i prisilnog raseljavanja;</w:t>
      </w:r>
    </w:p>
    <w:p w:rsidR="004B6073" w:rsidRPr="007D04F9" w:rsidP="004B6073" w14:paraId="1BF250AB" w14:textId="77777777">
      <w:pPr>
        <w:pStyle w:val="NormalHanging12a"/>
      </w:pPr>
      <w:r w:rsidRPr="007D04F9">
        <w:t>10.</w:t>
      </w:r>
      <w:r w:rsidRPr="007D04F9">
        <w:tab/>
        <w:t xml:space="preserve">naglašava da strategija Global </w:t>
      </w:r>
      <w:r w:rsidRPr="007D04F9">
        <w:t>Gateway</w:t>
      </w:r>
      <w:r w:rsidRPr="007D04F9">
        <w:t xml:space="preserve"> može imati ključnu ulogu u poticanju održivoga gospodarskog razvoja i otvaranju dostojanstvenih radnih mjesta u partnerskim zemljama, čime se osnažuju lokalne zajednice i pojedincima omogućuje da aktivno doprinose razvoju svojih zemalja podrijetla i zajednica domaćina, čime se uklanjaju uzroci nezakonitih migracija;</w:t>
      </w:r>
    </w:p>
    <w:p w:rsidR="004B6073" w:rsidRPr="007D04F9" w:rsidP="004B6073" w14:paraId="3A0D7B93" w14:textId="77777777">
      <w:pPr>
        <w:pStyle w:val="NormalHanging12a"/>
      </w:pPr>
      <w:r w:rsidRPr="007D04F9">
        <w:t>11.</w:t>
      </w:r>
      <w:r w:rsidRPr="007D04F9">
        <w:tab/>
        <w:t xml:space="preserve">ističe da je potrebno osigurati veću uključenost privatnog sektora, diversificirati i provesti zakonite putove, prepoznati vještine, uključiti razvojne banke EU-a i razviti inovativne pristupe mješovitom financiranju u okviru Tima Europa i doprinijeti strategiji Global </w:t>
      </w:r>
      <w:r w:rsidRPr="007D04F9">
        <w:t>Gateway</w:t>
      </w:r>
      <w:r w:rsidRPr="007D04F9">
        <w:t>; potiče sudjelovanje europskog privatnog sektora u razvojnim projektima u partnerskim zemljama, pri čemu je potrebno zajamčiti potporu za siguran i transparentan investicijski okvir kojim se potiče sudjelovanje malih i srednjih poduzeća i stvaranje lokalnih proizvodnih lanaca;</w:t>
      </w:r>
    </w:p>
    <w:p w:rsidR="004B6073" w:rsidRPr="007D04F9" w:rsidP="004B6073" w14:paraId="324A8CDF" w14:textId="77777777">
      <w:pPr>
        <w:pStyle w:val="NormalHanging12a"/>
      </w:pPr>
      <w:r w:rsidRPr="007D04F9">
        <w:t>12.</w:t>
      </w:r>
      <w:r w:rsidRPr="007D04F9">
        <w:tab/>
        <w:t>ističe da su nestašica vode, uništavanje okoliša, degradacija zemljišta, krčenje šuma i druge katastrofe povezane s klimom faktori koji stoje iza migracijskih tokova, uključujući prisilno raseljavanje; naglašava da je pojedincima raseljenima zbog uništavanja okoliša i katastrofa uzrokovanih klimatskim promjenama potrebna odgovarajuća potpora; poziva Komisiju i države članice da u okviru razvojnih programa prednost daju ulaganjima u održivo upravljanje prirodnim resursima, uključujući očuvanje vode i tla, ponovno pošumljavanje, poljoprivredu otpornu na klimatske promjene i obnovljivu energiju, kako bi se ojačala socijalna kohezija i otpornost zajednica, spriječile napetosti u pogledu prirodnih resursa i povećale mogućnosti ljudi da izgrade održive živote u svojim zemljama podrijetla;</w:t>
      </w:r>
    </w:p>
    <w:p w:rsidR="004B6073" w:rsidRPr="007D04F9" w:rsidP="004B6073" w14:paraId="710B1203" w14:textId="77777777">
      <w:pPr>
        <w:pStyle w:val="NormalHanging12a"/>
      </w:pPr>
      <w:r w:rsidRPr="007D04F9">
        <w:t>13.</w:t>
      </w:r>
      <w:r w:rsidRPr="007D04F9">
        <w:tab/>
        <w:t>naglašava da EU mora primijeniti holistički pristup, usredotočujući se na lokalnu razinu, s ciljem pružanja razvojne pomoći radi doprinosa strukturnom razvoju podupiranjem demokracije, vladavine prava, poretka utemeljenog na pravilima i institucija kako bi se ostvario održiv učinak;</w:t>
      </w:r>
    </w:p>
    <w:p w:rsidR="004B6073" w:rsidRPr="007D04F9" w:rsidP="004B6073" w14:paraId="50BEF679" w14:textId="77777777">
      <w:pPr>
        <w:pStyle w:val="NormalHanging12a"/>
      </w:pPr>
      <w:r w:rsidRPr="007D04F9">
        <w:t>14.</w:t>
      </w:r>
      <w:r w:rsidRPr="007D04F9">
        <w:tab/>
        <w:t>ističe važnost provedbe razvojnih programa u bliskoj suradnji s lokalnim vlastima, civilnim društvom i privatnim sektorom;</w:t>
      </w:r>
    </w:p>
    <w:p w:rsidR="004B6073" w:rsidRPr="007D04F9" w:rsidP="004B6073" w14:paraId="490263B0" w14:textId="77777777">
      <w:pPr>
        <w:pStyle w:val="NormalHanging12a"/>
      </w:pPr>
      <w:r w:rsidRPr="007D04F9">
        <w:t>15.</w:t>
      </w:r>
      <w:r w:rsidRPr="007D04F9">
        <w:tab/>
        <w:t>naglašava potrebu za borbom protiv krijumčarenja ljudi i trgovine ljudima pojačanom međunarodnom i multilateralnom suradnjom s partnerskim zemljama, uključujući, prema potrebi, s lokalnim vlastima, sigurnosnim snagama i organizacijama civilnog društva, u području sprečavanja kriminala, zaštite žrtava, pojačanog izvršavanja zakonodavstva, kampanja za podizanje razine osviještenosti javnosti radi suzbijanja dezinformacija, kaznenog progona počinitelja i sprečavanja kriminalnih mreža i krijumčara migranata da izrabljuju migrante, kao i pružanjem sigurnijih alternativa stvaranjem zakonitih kanala za sigurne i zakonite migracije i mobilnost radne snage; naglašava da stroga granična kontrola bez alternativnih zakonitih putova za migracije mijenja rute, uvodeći različite korake putovanja i nove tranzitne zemlje, čime se povećava nesigurnost putovanja i izloženost migranata krijumčarskim mrežama, iznudi i nasilju;</w:t>
      </w:r>
    </w:p>
    <w:p w:rsidR="004B6073" w:rsidRPr="007D04F9" w:rsidP="004B6073" w14:paraId="7BB727B5" w14:textId="77777777">
      <w:pPr>
        <w:pStyle w:val="NormalHanging12a"/>
      </w:pPr>
      <w:r w:rsidRPr="007D04F9">
        <w:t>16.</w:t>
      </w:r>
      <w:r w:rsidRPr="007D04F9">
        <w:tab/>
        <w:t>poziva Komisiju i države članice da promiču suradnju s partnerskim zemljama u području migracija;</w:t>
      </w:r>
    </w:p>
    <w:p w:rsidR="004B6073" w:rsidRPr="007D04F9" w:rsidP="004B6073" w14:paraId="3C7B439D" w14:textId="77777777">
      <w:pPr>
        <w:pStyle w:val="NormalHanging12a"/>
      </w:pPr>
      <w:r w:rsidRPr="007D04F9">
        <w:t>17.</w:t>
      </w:r>
      <w:r w:rsidRPr="007D04F9">
        <w:tab/>
        <w:t>podsjeća da bi humanitarnu pomoć uvijek trebalo pružati u skladu s humanitarnim načelima;</w:t>
      </w:r>
    </w:p>
    <w:p w:rsidR="004B6073" w:rsidP="004B6073" w14:paraId="5FDDB76C" w14:textId="77777777">
      <w:pPr>
        <w:pStyle w:val="NormalHanging12a"/>
      </w:pPr>
      <w:r w:rsidRPr="007D04F9">
        <w:t>18.</w:t>
      </w:r>
      <w:r w:rsidRPr="007D04F9">
        <w:tab/>
        <w:t>poziva Komisiju da dodatno podupre zemlje podrijetla i susjedne zemlje domaćine u suočavanju s povećanim međukontinentalnim migracijskim tokovima;</w:t>
      </w:r>
    </w:p>
    <w:p w:rsidR="008F15B3" w:rsidRPr="008F15B3" w:rsidP="004B6073" w14:paraId="219949BA" w14:textId="460D6741">
      <w:pPr>
        <w:pStyle w:val="NormalHanging12a"/>
        <w:rPr>
          <w:bCs/>
          <w:iCs/>
        </w:rPr>
      </w:pPr>
      <w:r>
        <w:rPr>
          <w:bCs/>
          <w:iCs/>
        </w:rPr>
        <w:t>19</w:t>
      </w:r>
      <w:r w:rsidRPr="00416127">
        <w:rPr>
          <w:bCs/>
          <w:iCs/>
        </w:rPr>
        <w:t>.</w:t>
      </w:r>
      <w:r w:rsidRPr="008F15B3">
        <w:rPr>
          <w:bCs/>
          <w:iCs/>
        </w:rPr>
        <w:tab/>
      </w:r>
      <w:r w:rsidRPr="00416127">
        <w:rPr>
          <w:bCs/>
          <w:iCs/>
        </w:rPr>
        <w:t xml:space="preserve">poziva Komisiju i države članice da ojačaju svoje kapacitete za sprečavanje </w:t>
      </w:r>
      <w:r w:rsidRPr="00416127">
        <w:rPr>
          <w:bCs/>
          <w:iCs/>
        </w:rPr>
        <w:t>instrumentalizacije</w:t>
      </w:r>
      <w:r w:rsidRPr="00416127">
        <w:rPr>
          <w:bCs/>
          <w:iCs/>
        </w:rPr>
        <w:t xml:space="preserve"> migranata te za odgovor na nju; ističe potrebu za pojačanom suradnjom s partnerskim zemljama i relevantnim agencijama radi otkrivanja, sprečavanja i suzbijanja takvog djelovanja;</w:t>
      </w:r>
    </w:p>
    <w:p w:rsidR="004B6073" w:rsidRPr="007D04F9" w:rsidP="004B6073" w14:paraId="57D29ED2" w14:textId="52EB2367">
      <w:pPr>
        <w:pStyle w:val="NormalHanging12a"/>
      </w:pPr>
      <w:r>
        <w:t>20</w:t>
      </w:r>
      <w:r w:rsidRPr="007D04F9">
        <w:t>.</w:t>
      </w:r>
      <w:r w:rsidRPr="007D04F9">
        <w:tab/>
        <w:t>naglašava da je javno financiranje razvoja ključno za partnerske zemlje i da privatna ulaganja mogu doprinijeti postizanju ciljeva razvojne politike EU-a, konstatira da jamstva EU-a za ulaganja potiču poduzeća na ulaganja, pod uvjetom da se provodi stroga dužna pažnja kako bi se osigurala usklađenost sa socijalnim, ekološkim i upravljačkim standardima, kao i usklađenost s ciljevima održivog razvoja; podsjeća da je postizanje ciljeva održivog razvoja ključno za poboljšanje životnih uvjeta u trećim zemljama;</w:t>
      </w:r>
    </w:p>
    <w:p w:rsidR="004B6073" w:rsidRPr="007D04F9" w:rsidP="004B6073" w14:paraId="4623D068" w14:textId="21BA1098">
      <w:pPr>
        <w:pStyle w:val="NormalHanging12a"/>
      </w:pPr>
      <w:r>
        <w:t>21</w:t>
      </w:r>
      <w:r w:rsidRPr="007D04F9">
        <w:t>.</w:t>
      </w:r>
      <w:r w:rsidRPr="007D04F9">
        <w:tab/>
        <w:t>poziva na to da se financijski instrumenti EU-a, Europski fond za održivi razvoj plus i Europska investicijska banka usmjere na stvaranje lokalne gospodarske dobiti u cilju jačanja gospodarske autonomije i dugoročne održivosti;</w:t>
      </w:r>
    </w:p>
    <w:p w:rsidR="004B6073" w:rsidRPr="007D04F9" w:rsidP="004B6073" w14:paraId="66FEF1C2" w14:textId="7A1B5974">
      <w:pPr>
        <w:pStyle w:val="NormalHanging12a"/>
      </w:pPr>
      <w:r>
        <w:t>22</w:t>
      </w:r>
      <w:r w:rsidRPr="007D04F9">
        <w:t>.</w:t>
      </w:r>
      <w:r w:rsidRPr="007D04F9">
        <w:tab/>
        <w:t>podsjeća na to da je službena razvojna pomoć i dalje ključan alat za smanjenje siromaštva te za suzbijanje nejednakosti te pružanje potpore najugroženijim zajednicama; oštro kritizira drastične rezove u službenoj razvojnoj pomoći vodećih svjetskih donatora; poziva EU i njegove države članice da poštuju svoju obvezu potrošnje 0,7 % bruto nacionalnog dohotka na službenu razvojnu pomoć;</w:t>
      </w:r>
    </w:p>
    <w:p w:rsidR="004B6073" w:rsidRPr="007D04F9" w:rsidP="004B6073" w14:paraId="5D8D805B" w14:textId="0643A6DD">
      <w:pPr>
        <w:pStyle w:val="NormalHanging12a"/>
      </w:pPr>
      <w:r>
        <w:t>23</w:t>
      </w:r>
      <w:r w:rsidRPr="007D04F9">
        <w:t>.</w:t>
      </w:r>
      <w:r w:rsidRPr="007D04F9">
        <w:tab/>
        <w:t>poziva Komisiju da osigura veću odgovornost, transparentnost i parlamentarni nadzor u osmišljavanju i provedbi svih financijskih sredstava EU-a, uključujući predstojeći Instrument Globalna Europa, u kojem se prednost mora dati provedbi ciljeva održivog razvoja, među ostalim u pogledu rješavanja izazova povezanih s nezakonitim migracijama;</w:t>
      </w:r>
    </w:p>
    <w:p w:rsidR="004B6073" w:rsidRPr="007D04F9" w:rsidP="004B6073" w14:paraId="18821DF2" w14:textId="6C65192A">
      <w:pPr>
        <w:pStyle w:val="NormalHanging12a"/>
      </w:pPr>
      <w:r>
        <w:t>24</w:t>
      </w:r>
      <w:r w:rsidRPr="007D04F9">
        <w:t>.</w:t>
      </w:r>
      <w:r w:rsidRPr="007D04F9">
        <w:tab/>
        <w:t>ističe da poljoprivredni i ruralni razvoj, zajedno s politikama usmjerenima na opskrbu hranom i ishranu, mogu pridonijeti odgovoru na neke od temeljenih uzroka migracija; podsjeća da je pristup zemljištu i prirodnim resursima ključan za jamčenje sigurnosti opskrbe hranom i ishrane lokalnih zajednica, poboljšanje produktivnosti malih poljoprivrednika uz istodobnu prilagodbu proizvodnje klimatskim promjenama te promicanje provedbe neobvezujućih smjernica Organizacije za hranu i poljoprivredu o posjedovanju zemljišta, u kojima se prednost daje pravima i potrebama zakonitih nositelja zemljišnih prava, posebno žena;</w:t>
      </w:r>
    </w:p>
    <w:p w:rsidR="004B6073" w:rsidRPr="007D04F9" w:rsidP="004B6073" w14:paraId="52C37C31" w14:textId="7D8358E4">
      <w:pPr>
        <w:pStyle w:val="NormalHanging12a"/>
      </w:pPr>
      <w:r>
        <w:t>25</w:t>
      </w:r>
      <w:r w:rsidRPr="007D04F9">
        <w:t>.</w:t>
      </w:r>
      <w:r w:rsidRPr="007D04F9">
        <w:tab/>
        <w:t xml:space="preserve">poziva Komisiju da poveća potporu za ustanove višeg obrazovanja i tehničko i strukovno obrazovanje i osposobljavanje u partnerskim zemljama u okviru svojih razvojnih strategija kako bi se riješili temeljni uzroci migracija; naglašava važnost jačanja ljudskog razvoja ulaganjem u vještine na lokalnoj razini; poziva Komisiju da pomogne partnerskim zemljama u izgradnji kapaciteta u tom pogledu; nadalje, poziva </w:t>
      </w:r>
      <w:r w:rsidRPr="007D04F9">
        <w:t>na veću potporu inicijativama pod vodstvom mladih za jačanje vještina, inovacija i razmjene te za iskorištavanje migracija kao pokretača održivog razvoja;</w:t>
      </w:r>
    </w:p>
    <w:p w:rsidR="004B6073" w:rsidRPr="007D04F9" w:rsidP="004B6073" w14:paraId="3080553E" w14:textId="32F60DC0">
      <w:pPr>
        <w:pStyle w:val="NormalHanging12a"/>
      </w:pPr>
      <w:r>
        <w:t>26</w:t>
      </w:r>
      <w:r w:rsidRPr="007D04F9">
        <w:t>.</w:t>
      </w:r>
      <w:r w:rsidRPr="007D04F9">
        <w:tab/>
        <w:t>poziva Komisiju da dodatno istraži partnerstvo EU-a za traženje talenata s više trećih zemalja, posebno onih s visokim stopama iseljavanja;</w:t>
      </w:r>
    </w:p>
    <w:p w:rsidR="004B6073" w:rsidRPr="007D04F9" w:rsidP="004B6073" w14:paraId="46530583" w14:textId="247A6062">
      <w:pPr>
        <w:pStyle w:val="NormalHanging12a"/>
      </w:pPr>
      <w:r>
        <w:t>27</w:t>
      </w:r>
      <w:r w:rsidRPr="007D04F9">
        <w:t>.</w:t>
      </w:r>
      <w:r w:rsidRPr="007D04F9">
        <w:tab/>
        <w:t>naglašava da su ekonomsko osnaživanje i otvaranje pristojnih radnih mjesta primarni alati za smanjenje nejednakosti te da poboljšavaju životne uvjete u zemljama podrijetla i time smanjuju razloge za nezakonite migracije; poziva na to da se financiranje EU-a koristi i za potporu lokalnom poduzetništvu i javnoj infrastrukturi;</w:t>
      </w:r>
    </w:p>
    <w:p w:rsidR="004B6073" w:rsidRPr="007D04F9" w:rsidP="004B6073" w14:paraId="7A075232" w14:textId="05D05D15">
      <w:pPr>
        <w:pStyle w:val="NormalHanging12a"/>
      </w:pPr>
      <w:r>
        <w:t>28</w:t>
      </w:r>
      <w:r w:rsidRPr="007D04F9">
        <w:t>.</w:t>
      </w:r>
      <w:r w:rsidRPr="007D04F9">
        <w:tab/>
        <w:t>naglašava da mladi moraju biti u središtu partnerstava te da su oni ključni za održivi razvoj; ističe važnost podupiranja programa razmjene kao što su Erasmus+ i drugi programi mobilnosti i stjecanja vještina za mlade kako bi se mladima pružile mogućnosti obrazovanja i zapošljavanja te kako bi im se omogućilo da napreduju u svojim zemljama podrijetla;</w:t>
      </w:r>
    </w:p>
    <w:p w:rsidR="004B6073" w:rsidRPr="007D04F9" w:rsidP="004B6073" w14:paraId="05E93FAE" w14:textId="258F9B10">
      <w:pPr>
        <w:pStyle w:val="NormalHanging12a"/>
      </w:pPr>
      <w:r>
        <w:t>29</w:t>
      </w:r>
      <w:r w:rsidRPr="007D04F9">
        <w:t>.</w:t>
      </w:r>
      <w:r w:rsidRPr="007D04F9">
        <w:tab/>
        <w:t>poziva Komisiju da poljoprivredu i upravljanje vodama uvrsti među prioritete suradnje te da promiče projekte kojima se poboljšava samodostatnost i smanjuje migracijski pritisak;</w:t>
      </w:r>
    </w:p>
    <w:p w:rsidR="004B6073" w:rsidRPr="007D04F9" w:rsidP="004B6073" w14:paraId="603C9EE5" w14:textId="113C83A4">
      <w:pPr>
        <w:pStyle w:val="NormalHanging12a"/>
      </w:pPr>
      <w:r>
        <w:t>30</w:t>
      </w:r>
      <w:r w:rsidRPr="007D04F9">
        <w:t>.</w:t>
      </w:r>
      <w:r w:rsidRPr="007D04F9">
        <w:tab/>
        <w:t>napominje da migracije i odljev mozgova mogu predstavljati izazove za razvoj partnerske zemlje jer se smanjuje dostupnost kvalificirane radne snage; podsjeća da se razvojnom suradnjom taj rizik može ublažiti kroz sveobuhvatne strategije kojima se podupiru kvalitetni sustavi obrazovanja i osposobljavanja, jačaju lokalne mogućnosti zapošljavanja i promiče prijenos znanja i vještina; stoga poziva Komisiju da nastavi s radom u tom području, uključujući rješavanje pitanja odljeva mozgova s pomoću okvira razvojne politike i financiranja;</w:t>
      </w:r>
    </w:p>
    <w:p w:rsidR="004B6073" w:rsidRPr="007D04F9" w:rsidP="004B6073" w14:paraId="10A8A93C" w14:textId="5992E159">
      <w:pPr>
        <w:pStyle w:val="NormalHanging12a"/>
      </w:pPr>
      <w:r>
        <w:t>31</w:t>
      </w:r>
      <w:r w:rsidRPr="007D04F9">
        <w:t>.</w:t>
      </w:r>
      <w:r w:rsidRPr="007D04F9">
        <w:tab/>
        <w:t>prepoznaje ključnu ulogu zajednica dijaspore u promicanju održivog razvoja, ulaganja i inovacija u njihovim zemljama podrijetla; naglašava da se osnaživanjem mreža dijaspore stvaraju uzajamne koristi i za partnerske zemlje i za EU; poziva EU i njegove države članice da ojačaju suradnju s organizacijama dijaspore i da razviju uključive programe kojima se doprinosi uzajamno korisnim oblicima kružne migracije;</w:t>
      </w:r>
    </w:p>
    <w:p w:rsidR="004B6073" w:rsidRPr="007D04F9" w:rsidP="004B6073" w14:paraId="317127CF" w14:textId="72DC0B11">
      <w:pPr>
        <w:pStyle w:val="NormalHanging12a"/>
      </w:pPr>
      <w:r>
        <w:t>32</w:t>
      </w:r>
      <w:r w:rsidRPr="007D04F9">
        <w:t>.</w:t>
      </w:r>
      <w:r w:rsidRPr="007D04F9">
        <w:tab/>
        <w:t>poziva Komisiju i države članice da ulažu u kampanje za podizanje razine osviještenosti unutar EU-a i u trećim zemljama radi borbe protiv dezinformacija i širenja informacija o rizicima nezakonitih migracija te da promiču razumijevanje pravila EU-a o obvezama u pogledu migracija radne snage;</w:t>
      </w:r>
    </w:p>
    <w:p w:rsidR="004B6073" w:rsidRPr="007D04F9" w:rsidP="004B6073" w14:paraId="5D10EED6" w14:textId="7EA16F0D">
      <w:pPr>
        <w:pStyle w:val="NormalHanging12a"/>
      </w:pPr>
      <w:r>
        <w:t>33</w:t>
      </w:r>
      <w:r w:rsidRPr="007D04F9">
        <w:t>.</w:t>
      </w:r>
      <w:r w:rsidRPr="007D04F9">
        <w:tab/>
        <w:t>poziva Komisiju i države članice da povećaju financijska sredstva u svrhe podupiranja vladavine prava, demokracije, izgradnje države i kapaciteta, javnih usluga, uključujući zdravstvo, pristupa čistoj vodi i obrazovanja;</w:t>
      </w:r>
    </w:p>
    <w:p w:rsidR="004B6073" w:rsidRPr="007D04F9" w:rsidP="004B6073" w14:paraId="6DA7823F" w14:textId="122E4AE0">
      <w:pPr>
        <w:pStyle w:val="NormalHanging12a"/>
      </w:pPr>
      <w:r>
        <w:t>34</w:t>
      </w:r>
      <w:r w:rsidRPr="007D04F9">
        <w:t>.</w:t>
      </w:r>
      <w:r w:rsidRPr="007D04F9">
        <w:tab/>
        <w:t>ponovno potvrđuje da je holistički pristup koji objedinjuje razvojnu suradnju i upravljanje migracijama ključan za učinkovito jamčenje sigurnosti i solidarnosti i unutar EU-a i u zemljama podrijetla i tranzita;</w:t>
      </w:r>
    </w:p>
    <w:p w:rsidR="004B6073" w:rsidRPr="007D04F9" w:rsidP="004B6073" w14:paraId="4E3CAA6A" w14:textId="14FB1E50">
      <w:pPr>
        <w:pStyle w:val="NormalHanging12a"/>
      </w:pPr>
      <w:r>
        <w:t>35</w:t>
      </w:r>
      <w:r w:rsidRPr="007D04F9">
        <w:t>.</w:t>
      </w:r>
      <w:r w:rsidRPr="007D04F9">
        <w:tab/>
        <w:t>pozdravlja ključan rad humanitarnih, razvojnih i mirovnih aktera, posebno organizacija UN-a, drugih međunarodnih organizacija i lokalnih aktera, uključujući lokalna tijela, organizacije civilnog društva, borce za ljudska prava, organizacije žena, organizacije mladih i nevladine organizacije te vjerske zajednice i organizacije;</w:t>
      </w:r>
    </w:p>
    <w:p w:rsidR="00225378" w:rsidP="00225378" w14:paraId="486253B7" w14:textId="789B44C8">
      <w:pPr>
        <w:pStyle w:val="NormalCenter12a"/>
      </w:pPr>
      <w:r>
        <w:t>°</w:t>
      </w:r>
    </w:p>
    <w:p w:rsidR="00225378" w:rsidP="00225378" w14:paraId="40AFFDC9" w14:textId="3AA7DF16">
      <w:pPr>
        <w:pStyle w:val="NormalCenter12a"/>
      </w:pPr>
      <w:r>
        <w:t>°     °</w:t>
      </w:r>
    </w:p>
    <w:p w:rsidR="007D04F9" w:rsidRPr="007D04F9" w:rsidP="007D04F9" w14:paraId="19D98D02" w14:textId="00C6999D">
      <w:pPr>
        <w:pStyle w:val="NormalHanging12a"/>
      </w:pPr>
      <w:r>
        <w:t>36</w:t>
      </w:r>
      <w:r w:rsidRPr="007D04F9" w:rsidR="004B6073">
        <w:t>.</w:t>
      </w:r>
      <w:r w:rsidRPr="007D04F9" w:rsidR="004B6073">
        <w:tab/>
        <w:t>nalaže svojoj predsjednici da ovu Rezoluciju proslijedi Vijeću, Komisiji i Europskoj službi za vanjsko djelovanje.</w:t>
      </w:r>
    </w:p>
    <w:p w:rsidR="00E365E1" w:rsidRPr="007D04F9" w:rsidP="00836BA8" w14:paraId="782AAC55" w14:textId="0EB74AA3"/>
    <w:sectPr w:rsidSect="007D04F9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36BA8" w:rsidRPr="007D04F9" w14:paraId="4480718F" w14:textId="77777777">
      <w:r w:rsidRPr="007D04F9">
        <w:separator/>
      </w:r>
    </w:p>
  </w:footnote>
  <w:footnote w:type="continuationSeparator" w:id="1">
    <w:p w:rsidR="00836BA8" w:rsidRPr="007D04F9" w14:paraId="763294CA" w14:textId="77777777">
      <w:r w:rsidRPr="007D04F9">
        <w:continuationSeparator/>
      </w:r>
    </w:p>
  </w:footnote>
  <w:footnote w:id="2">
    <w:p w:rsidR="005368E2" w:rsidRPr="00E439D1" w:rsidP="007D04F9" w14:paraId="4B9358B2" w14:textId="39AD8D5D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SL L 209, 14.6.2021., str. 1., ELI: </w:t>
      </w:r>
      <w:hyperlink r:id="rId1" w:tgtFrame="http://data.europa.eu/eli/reg/2021/947/oj" w:history="1">
        <w:r w:rsidRPr="00E439D1">
          <w:rPr>
            <w:rStyle w:val="Hyperlink"/>
            <w:sz w:val="24"/>
            <w:szCs w:val="24"/>
            <w:lang w:val="hr-HR"/>
          </w:rPr>
          <w:t>http://data.europa.eu/eli/reg/2021/947/oj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3">
    <w:p w:rsidR="005368E2" w:rsidRPr="00E439D1" w:rsidP="007D04F9" w14:paraId="1E70CB1B" w14:textId="602BD102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SL L, 2024/1351, 22.5.2024., ELI: </w:t>
      </w:r>
      <w:hyperlink r:id="rId2" w:tgtFrame="http://data.europa.eu/eli/reg/2024/1351/oj" w:history="1">
        <w:r w:rsidRPr="00E439D1">
          <w:rPr>
            <w:rStyle w:val="Hyperlink"/>
            <w:sz w:val="24"/>
            <w:szCs w:val="24"/>
            <w:lang w:val="hr-HR"/>
          </w:rPr>
          <w:t>http://data.europa.eu/eli/reg/2024/1351/oj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4">
    <w:p w:rsidR="005368E2" w:rsidRPr="00E439D1" w:rsidP="007D04F9" w14:paraId="6EB2C43B" w14:textId="16C88CAF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SL L, 2023/2862, 28.12.2023., ELI: </w:t>
      </w:r>
      <w:hyperlink r:id="rId3" w:tgtFrame="http://data.europa.eu/eli/agree_internation/2023/2862/oj" w:history="1">
        <w:r w:rsidRPr="00E439D1">
          <w:rPr>
            <w:rStyle w:val="Hyperlink"/>
            <w:sz w:val="24"/>
            <w:szCs w:val="24"/>
            <w:lang w:val="hr-HR"/>
          </w:rPr>
          <w:t>http://data.europa.eu/eli/agree_internation/2023/2862/oj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5">
    <w:p w:rsidR="005368E2" w:rsidRPr="00E439D1" w:rsidP="007D04F9" w14:paraId="672855C1" w14:textId="15F0AA69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SL C, C/2026/576, 24.2.2026., ELI: </w:t>
      </w:r>
      <w:hyperlink r:id="rId4" w:tgtFrame="http://data.europa.eu/eli/C/2026/576/oj" w:history="1">
        <w:r w:rsidRPr="00E439D1">
          <w:rPr>
            <w:rStyle w:val="Hyperlink"/>
            <w:sz w:val="24"/>
            <w:szCs w:val="24"/>
            <w:lang w:val="hr-HR"/>
          </w:rPr>
          <w:t>http://data.europa.eu/eli/C/2026/576/oj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6">
    <w:p w:rsidR="005368E2" w:rsidRPr="00E439D1" w:rsidP="007D04F9" w14:paraId="4EA0DFBF" w14:textId="4F0B8C84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</w:r>
      <w:r w:rsidRPr="00E439D1">
        <w:rPr>
          <w:sz w:val="24"/>
          <w:szCs w:val="24"/>
          <w:lang w:val="hr-HR"/>
        </w:rPr>
        <w:t>Talleraas</w:t>
      </w:r>
      <w:r w:rsidRPr="00E439D1">
        <w:rPr>
          <w:sz w:val="24"/>
          <w:szCs w:val="24"/>
          <w:lang w:val="hr-HR"/>
        </w:rPr>
        <w:t xml:space="preserve">, C., </w:t>
      </w:r>
      <w:r w:rsidRPr="00E439D1">
        <w:rPr>
          <w:i/>
          <w:sz w:val="24"/>
          <w:szCs w:val="24"/>
          <w:lang w:val="hr-HR"/>
        </w:rPr>
        <w:t>The</w:t>
      </w:r>
      <w:r w:rsidRPr="00E439D1">
        <w:rPr>
          <w:i/>
          <w:sz w:val="24"/>
          <w:szCs w:val="24"/>
          <w:lang w:val="hr-HR"/>
        </w:rPr>
        <w:t xml:space="preserve"> role </w:t>
      </w:r>
      <w:r w:rsidRPr="00E439D1">
        <w:rPr>
          <w:i/>
          <w:sz w:val="24"/>
          <w:szCs w:val="24"/>
          <w:lang w:val="hr-HR"/>
        </w:rPr>
        <w:t>of</w:t>
      </w:r>
      <w:r w:rsidRPr="00E439D1">
        <w:rPr>
          <w:i/>
          <w:sz w:val="24"/>
          <w:szCs w:val="24"/>
          <w:lang w:val="hr-HR"/>
        </w:rPr>
        <w:t xml:space="preserve"> EU development </w:t>
      </w:r>
      <w:r w:rsidRPr="00E439D1">
        <w:rPr>
          <w:i/>
          <w:sz w:val="24"/>
          <w:szCs w:val="24"/>
          <w:lang w:val="hr-HR"/>
        </w:rPr>
        <w:t>cooperation</w:t>
      </w:r>
      <w:r w:rsidRPr="00E439D1">
        <w:rPr>
          <w:i/>
          <w:sz w:val="24"/>
          <w:szCs w:val="24"/>
          <w:lang w:val="hr-HR"/>
        </w:rPr>
        <w:t xml:space="preserve"> </w:t>
      </w:r>
      <w:r w:rsidRPr="00E439D1">
        <w:rPr>
          <w:i/>
          <w:sz w:val="24"/>
          <w:szCs w:val="24"/>
          <w:lang w:val="hr-HR"/>
        </w:rPr>
        <w:t>in</w:t>
      </w:r>
      <w:r w:rsidRPr="00E439D1">
        <w:rPr>
          <w:i/>
          <w:sz w:val="24"/>
          <w:szCs w:val="24"/>
          <w:lang w:val="hr-HR"/>
        </w:rPr>
        <w:t xml:space="preserve"> </w:t>
      </w:r>
      <w:r w:rsidRPr="00E439D1">
        <w:rPr>
          <w:i/>
          <w:sz w:val="24"/>
          <w:szCs w:val="24"/>
          <w:lang w:val="hr-HR"/>
        </w:rPr>
        <w:t>addressing</w:t>
      </w:r>
      <w:r w:rsidRPr="00E439D1">
        <w:rPr>
          <w:i/>
          <w:sz w:val="24"/>
          <w:szCs w:val="24"/>
          <w:lang w:val="hr-HR"/>
        </w:rPr>
        <w:t xml:space="preserve"> </w:t>
      </w:r>
      <w:r w:rsidRPr="00E439D1">
        <w:rPr>
          <w:i/>
          <w:sz w:val="24"/>
          <w:szCs w:val="24"/>
          <w:lang w:val="hr-HR"/>
        </w:rPr>
        <w:t>irregular</w:t>
      </w:r>
      <w:r w:rsidRPr="00E439D1">
        <w:rPr>
          <w:i/>
          <w:sz w:val="24"/>
          <w:szCs w:val="24"/>
          <w:lang w:val="hr-HR"/>
        </w:rPr>
        <w:t xml:space="preserve"> </w:t>
      </w:r>
      <w:r w:rsidRPr="00E439D1">
        <w:rPr>
          <w:i/>
          <w:sz w:val="24"/>
          <w:szCs w:val="24"/>
          <w:lang w:val="hr-HR"/>
        </w:rPr>
        <w:t>migration</w:t>
      </w:r>
      <w:r w:rsidRPr="00E439D1">
        <w:rPr>
          <w:i/>
          <w:sz w:val="24"/>
          <w:szCs w:val="24"/>
          <w:lang w:val="hr-HR"/>
        </w:rPr>
        <w:t xml:space="preserve"> </w:t>
      </w:r>
      <w:r w:rsidRPr="00E439D1">
        <w:rPr>
          <w:i/>
          <w:sz w:val="24"/>
          <w:szCs w:val="24"/>
          <w:lang w:val="hr-HR"/>
        </w:rPr>
        <w:t>in</w:t>
      </w:r>
      <w:r w:rsidRPr="00E439D1">
        <w:rPr>
          <w:i/>
          <w:sz w:val="24"/>
          <w:szCs w:val="24"/>
          <w:lang w:val="hr-HR"/>
        </w:rPr>
        <w:t xml:space="preserve"> </w:t>
      </w:r>
      <w:r w:rsidRPr="00E439D1">
        <w:rPr>
          <w:i/>
          <w:sz w:val="24"/>
          <w:szCs w:val="24"/>
          <w:lang w:val="hr-HR"/>
        </w:rPr>
        <w:t>Africa</w:t>
      </w:r>
      <w:r w:rsidRPr="00E439D1">
        <w:rPr>
          <w:sz w:val="24"/>
          <w:szCs w:val="24"/>
          <w:lang w:val="hr-HR"/>
        </w:rPr>
        <w:t xml:space="preserve"> (Uloga razvojne suradnje EU-a u rješavanju problema nezakonitih migracija u Africi), Odjel za analizu i potporu vanjskoj politici, Glavna uprava za vanjsku politiku Unije, listopad 2025.</w:t>
      </w:r>
    </w:p>
  </w:footnote>
  <w:footnote w:id="7">
    <w:p w:rsidR="005368E2" w:rsidRPr="00E439D1" w:rsidP="007D04F9" w14:paraId="3324BF42" w14:textId="2B5B605B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>SL C 494, 8.12.2021., str. 80.</w:t>
      </w:r>
    </w:p>
  </w:footnote>
  <w:footnote w:id="8">
    <w:p w:rsidR="005368E2" w:rsidRPr="00E439D1" w:rsidP="007D04F9" w14:paraId="46BBAA37" w14:textId="639F9CCF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Essentials </w:t>
      </w:r>
      <w:r w:rsidRPr="00E439D1">
        <w:rPr>
          <w:sz w:val="24"/>
          <w:szCs w:val="24"/>
          <w:lang w:val="hr-HR"/>
        </w:rPr>
        <w:t>of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Migration</w:t>
      </w:r>
      <w:r w:rsidRPr="00E439D1">
        <w:rPr>
          <w:sz w:val="24"/>
          <w:szCs w:val="24"/>
          <w:lang w:val="hr-HR"/>
        </w:rPr>
        <w:t xml:space="preserve"> Management, „</w:t>
      </w:r>
      <w:r w:rsidRPr="00E439D1">
        <w:rPr>
          <w:sz w:val="24"/>
          <w:szCs w:val="24"/>
          <w:lang w:val="hr-HR"/>
        </w:rPr>
        <w:t>Drivers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of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international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migration</w:t>
      </w:r>
      <w:r w:rsidRPr="00E439D1">
        <w:rPr>
          <w:sz w:val="24"/>
          <w:szCs w:val="24"/>
          <w:lang w:val="hr-HR"/>
        </w:rPr>
        <w:t xml:space="preserve">” (Pokretači međunarodnih migracija), </w:t>
      </w:r>
      <w:hyperlink r:id="rId5" w:tgtFrame="https://emm.iom.int/handbooks/global-context-international-migration/drivers-international-migration" w:history="1">
        <w:r w:rsidRPr="00E439D1">
          <w:rPr>
            <w:rStyle w:val="Hyperlink"/>
            <w:sz w:val="24"/>
            <w:szCs w:val="24"/>
            <w:lang w:val="hr-HR"/>
          </w:rPr>
          <w:t>https://emm.iom.int/handbooks/global-context-international-migration/drivers-international-migration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9">
    <w:p w:rsidR="005368E2" w:rsidRPr="00E439D1" w:rsidP="007D04F9" w14:paraId="20A91C0E" w14:textId="55E9B7FB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Agencija EU-a za azil, „3.4. Data on </w:t>
      </w:r>
      <w:r w:rsidRPr="00E439D1">
        <w:rPr>
          <w:sz w:val="24"/>
          <w:szCs w:val="24"/>
          <w:lang w:val="hr-HR"/>
        </w:rPr>
        <w:t>applications</w:t>
      </w:r>
      <w:r w:rsidRPr="00E439D1">
        <w:rPr>
          <w:sz w:val="24"/>
          <w:szCs w:val="24"/>
          <w:lang w:val="hr-HR"/>
        </w:rPr>
        <w:t xml:space="preserve"> for </w:t>
      </w:r>
      <w:r w:rsidRPr="00E439D1">
        <w:rPr>
          <w:sz w:val="24"/>
          <w:szCs w:val="24"/>
          <w:lang w:val="hr-HR"/>
        </w:rPr>
        <w:t>international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protection</w:t>
      </w:r>
      <w:r w:rsidRPr="00E439D1">
        <w:rPr>
          <w:sz w:val="24"/>
          <w:szCs w:val="24"/>
          <w:lang w:val="hr-HR"/>
        </w:rPr>
        <w:t xml:space="preserve">” (3.4. Podaci o zahtjevima za međunarodnu zaštitu), </w:t>
      </w:r>
      <w:hyperlink r:id="rId6" w:tgtFrame="https://euaa.europa.eu/asylum-report-2025/34-data-applications-international-protection" w:history="1">
        <w:r w:rsidRPr="00E439D1">
          <w:rPr>
            <w:rStyle w:val="Hyperlink"/>
            <w:sz w:val="24"/>
            <w:szCs w:val="24"/>
            <w:lang w:val="hr-HR"/>
          </w:rPr>
          <w:t>https://euaa.europa.eu/asylum-report-2025/34-data-applications-international-protection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10">
    <w:p w:rsidR="005368E2" w:rsidRPr="00E439D1" w:rsidP="007D04F9" w14:paraId="70CD9F96" w14:textId="021166AB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</w:r>
      <w:hyperlink r:id="rId7" w:tgtFrame="https://www.frontex.europa.eu/media-centre/news/news-release/frontex-irregular-border-crossings-down-26-in-2025-europe-must-stay-prepared-lyKpVb" w:history="1">
        <w:r w:rsidRPr="00E439D1">
          <w:rPr>
            <w:rStyle w:val="Hyperlink"/>
            <w:sz w:val="24"/>
            <w:szCs w:val="24"/>
            <w:lang w:val="hr-HR"/>
          </w:rPr>
          <w:t>https://www.frontex.europa.eu/media-centre/news/news-release/frontex-irregular-border-crossings-down-26-in-2025-europe-must-stay-prepared-lyKpVb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11">
    <w:p w:rsidR="005368E2" w:rsidRPr="00E439D1" w:rsidP="007D04F9" w14:paraId="6728CCAD" w14:textId="7BF604A1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>ne uključujući za neke države članice tražitelje i izbjeglice iz Ukrajine pod privremenom zaštitom za neke države članice. Eurostat, „</w:t>
      </w:r>
      <w:r w:rsidRPr="00E439D1">
        <w:rPr>
          <w:sz w:val="24"/>
          <w:szCs w:val="24"/>
          <w:lang w:val="hr-HR"/>
        </w:rPr>
        <w:t>Migration</w:t>
      </w:r>
      <w:r w:rsidRPr="00E439D1">
        <w:rPr>
          <w:sz w:val="24"/>
          <w:szCs w:val="24"/>
          <w:lang w:val="hr-HR"/>
        </w:rPr>
        <w:t xml:space="preserve"> to </w:t>
      </w:r>
      <w:r w:rsidRPr="00E439D1">
        <w:rPr>
          <w:sz w:val="24"/>
          <w:szCs w:val="24"/>
          <w:lang w:val="hr-HR"/>
        </w:rPr>
        <w:t>and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from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the</w:t>
      </w:r>
      <w:r w:rsidRPr="00E439D1">
        <w:rPr>
          <w:sz w:val="24"/>
          <w:szCs w:val="24"/>
          <w:lang w:val="hr-HR"/>
        </w:rPr>
        <w:t xml:space="preserve"> EU” (Migracije u EU i iz EU-a), </w:t>
      </w:r>
      <w:hyperlink r:id="rId8" w:tgtFrame="https://ec.europa.eu/eurostat/statistics-explained/index.php?title=Migration_to_and_from_the_EU" w:history="1">
        <w:r w:rsidRPr="00E439D1">
          <w:rPr>
            <w:rStyle w:val="Hyperlink"/>
            <w:sz w:val="24"/>
            <w:szCs w:val="24"/>
            <w:lang w:val="hr-HR"/>
          </w:rPr>
          <w:t>https://ec.europa.eu/eurostat/statistics-explained/index.php?title=Migration_to_and_from_the_EU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12">
    <w:p w:rsidR="005368E2" w:rsidRPr="00E439D1" w:rsidP="007D04F9" w14:paraId="5BDB53BE" w14:textId="3D103A84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Eurostat, </w:t>
      </w:r>
      <w:r w:rsidRPr="00E439D1">
        <w:rPr>
          <w:sz w:val="24"/>
          <w:szCs w:val="24"/>
          <w:lang w:val="hr-HR"/>
        </w:rPr>
        <w:t>Migration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and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asylum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in</w:t>
      </w:r>
      <w:r w:rsidRPr="00E439D1">
        <w:rPr>
          <w:sz w:val="24"/>
          <w:szCs w:val="24"/>
          <w:lang w:val="hr-HR"/>
        </w:rPr>
        <w:t xml:space="preserve"> Europe – 2025 </w:t>
      </w:r>
      <w:r w:rsidRPr="00E439D1">
        <w:rPr>
          <w:sz w:val="24"/>
          <w:szCs w:val="24"/>
          <w:lang w:val="hr-HR"/>
        </w:rPr>
        <w:t>edition</w:t>
      </w:r>
      <w:r w:rsidRPr="00E439D1">
        <w:rPr>
          <w:sz w:val="24"/>
          <w:szCs w:val="24"/>
          <w:lang w:val="hr-HR"/>
        </w:rPr>
        <w:t xml:space="preserve">, </w:t>
      </w:r>
      <w:r w:rsidRPr="00E439D1">
        <w:rPr>
          <w:sz w:val="24"/>
          <w:szCs w:val="24"/>
          <w:lang w:val="hr-HR"/>
        </w:rPr>
        <w:t>irregular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migration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and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return</w:t>
      </w:r>
      <w:r w:rsidRPr="00E439D1">
        <w:rPr>
          <w:sz w:val="24"/>
          <w:szCs w:val="24"/>
          <w:lang w:val="hr-HR"/>
        </w:rPr>
        <w:t xml:space="preserve"> (Migracije i azil u Europi – izdanje za 2025., nezakonite migracije i vraćanje), </w:t>
      </w:r>
      <w:hyperlink r:id="rId9" w:anchor="irregular-migration-and-return" w:tgtFrame="https://ec.europa.eu/eurostat/web/interactive-publications/migration-2025#irregular-migration-and-return" w:history="1">
        <w:r w:rsidRPr="00E439D1">
          <w:rPr>
            <w:rStyle w:val="Hyperlink"/>
            <w:sz w:val="24"/>
            <w:szCs w:val="24"/>
            <w:lang w:val="hr-HR"/>
          </w:rPr>
          <w:t>https://ec.europa.eu/eurostat/web/interactive-publications/migration-2025#irregular-migration-and-return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13">
    <w:p w:rsidR="005368E2" w:rsidRPr="00E439D1" w:rsidP="007D04F9" w14:paraId="5A11762E" w14:textId="197C9C3D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  <w:t xml:space="preserve">Eurostat, </w:t>
      </w:r>
      <w:r w:rsidRPr="00E439D1">
        <w:rPr>
          <w:sz w:val="24"/>
          <w:szCs w:val="24"/>
          <w:lang w:val="hr-HR"/>
        </w:rPr>
        <w:t>Migration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and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asylum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in</w:t>
      </w:r>
      <w:r w:rsidRPr="00E439D1">
        <w:rPr>
          <w:sz w:val="24"/>
          <w:szCs w:val="24"/>
          <w:lang w:val="hr-HR"/>
        </w:rPr>
        <w:t xml:space="preserve"> Europe – 2025 </w:t>
      </w:r>
      <w:r w:rsidRPr="00E439D1">
        <w:rPr>
          <w:sz w:val="24"/>
          <w:szCs w:val="24"/>
          <w:lang w:val="hr-HR"/>
        </w:rPr>
        <w:t>edition</w:t>
      </w:r>
      <w:r w:rsidRPr="00E439D1">
        <w:rPr>
          <w:sz w:val="24"/>
          <w:szCs w:val="24"/>
          <w:lang w:val="hr-HR"/>
        </w:rPr>
        <w:t xml:space="preserve">, </w:t>
      </w:r>
      <w:r w:rsidRPr="00E439D1">
        <w:rPr>
          <w:sz w:val="24"/>
          <w:szCs w:val="24"/>
          <w:lang w:val="hr-HR"/>
        </w:rPr>
        <w:t>Orders</w:t>
      </w:r>
      <w:r w:rsidRPr="00E439D1">
        <w:rPr>
          <w:sz w:val="24"/>
          <w:szCs w:val="24"/>
          <w:lang w:val="hr-HR"/>
        </w:rPr>
        <w:t xml:space="preserve"> to </w:t>
      </w:r>
      <w:r w:rsidRPr="00E439D1">
        <w:rPr>
          <w:sz w:val="24"/>
          <w:szCs w:val="24"/>
          <w:lang w:val="hr-HR"/>
        </w:rPr>
        <w:t>leave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and</w:t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>returns</w:t>
      </w:r>
      <w:r w:rsidRPr="00E439D1">
        <w:rPr>
          <w:sz w:val="24"/>
          <w:szCs w:val="24"/>
          <w:lang w:val="hr-HR"/>
        </w:rPr>
        <w:t xml:space="preserve"> (Migracije i azil u Europi – izdanje za 2025., nalozi za napuštanje i vraćanje), </w:t>
      </w:r>
      <w:hyperlink r:id="rId9" w:anchor="orders-to-leave-and-returns-of-non-eu-citizens" w:tgtFrame="https://ec.europa.eu/eurostat/web/interactive-publications/migration-2025#orders-to-leave-and-returns-of-non-eu-citizens" w:history="1">
        <w:r w:rsidRPr="00E439D1">
          <w:rPr>
            <w:rStyle w:val="Hyperlink"/>
            <w:sz w:val="24"/>
            <w:szCs w:val="24"/>
            <w:lang w:val="hr-HR"/>
          </w:rPr>
          <w:t>https://ec.europa.eu/eurostat/web/interactive-publications/migration-2025#orders-to-leave-and-returns-of-non-eu-citizens</w:t>
        </w:r>
      </w:hyperlink>
      <w:r w:rsidRPr="00E439D1">
        <w:rPr>
          <w:sz w:val="24"/>
          <w:szCs w:val="24"/>
          <w:lang w:val="hr-HR"/>
        </w:rPr>
        <w:t>.</w:t>
      </w:r>
    </w:p>
  </w:footnote>
  <w:footnote w:id="14">
    <w:p w:rsidR="005368E2" w:rsidRPr="00E439D1" w:rsidP="007D04F9" w14:paraId="56005734" w14:textId="64C6943E">
      <w:pPr>
        <w:pStyle w:val="FootnoteText"/>
        <w:ind w:left="567" w:hanging="567"/>
        <w:rPr>
          <w:sz w:val="24"/>
          <w:szCs w:val="24"/>
          <w:lang w:val="hr-HR"/>
        </w:rPr>
      </w:pPr>
      <w:r w:rsidRPr="00E439D1">
        <w:rPr>
          <w:rStyle w:val="FootnoteReference"/>
          <w:sz w:val="24"/>
          <w:szCs w:val="24"/>
        </w:rPr>
        <w:footnoteRef/>
      </w:r>
      <w:r w:rsidRPr="00E439D1">
        <w:rPr>
          <w:sz w:val="24"/>
          <w:szCs w:val="24"/>
          <w:lang w:val="hr-HR"/>
        </w:rPr>
        <w:t xml:space="preserve"> </w:t>
      </w:r>
      <w:r w:rsidRPr="00E439D1">
        <w:rPr>
          <w:sz w:val="24"/>
          <w:szCs w:val="24"/>
          <w:lang w:val="hr-HR"/>
        </w:rPr>
        <w:tab/>
      </w:r>
      <w:hyperlink r:id="rId10" w:tgtFrame="https://www.unhcr.org/about-unhcr/overview/figures-glance" w:history="1">
        <w:r w:rsidRPr="00E439D1">
          <w:rPr>
            <w:rStyle w:val="Hyperlink"/>
            <w:sz w:val="24"/>
            <w:szCs w:val="24"/>
            <w:lang w:val="hr-HR"/>
          </w:rPr>
          <w:t>https://www.unhcr.org/about-unhcr/overview/figures-glance</w:t>
        </w:r>
      </w:hyperlink>
      <w:r w:rsidRPr="00E439D1">
        <w:rPr>
          <w:sz w:val="24"/>
          <w:szCs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7523886">
    <w:abstractNumId w:val="9"/>
  </w:num>
  <w:num w:numId="2" w16cid:durableId="1385955832">
    <w:abstractNumId w:val="9"/>
  </w:num>
  <w:num w:numId="3" w16cid:durableId="1297763609">
    <w:abstractNumId w:val="7"/>
  </w:num>
  <w:num w:numId="4" w16cid:durableId="1670719704">
    <w:abstractNumId w:val="7"/>
  </w:num>
  <w:num w:numId="5" w16cid:durableId="321127015">
    <w:abstractNumId w:val="6"/>
  </w:num>
  <w:num w:numId="6" w16cid:durableId="1404839483">
    <w:abstractNumId w:val="6"/>
  </w:num>
  <w:num w:numId="7" w16cid:durableId="1504121353">
    <w:abstractNumId w:val="5"/>
  </w:num>
  <w:num w:numId="8" w16cid:durableId="998579024">
    <w:abstractNumId w:val="5"/>
  </w:num>
  <w:num w:numId="9" w16cid:durableId="1078938670">
    <w:abstractNumId w:val="4"/>
  </w:num>
  <w:num w:numId="10" w16cid:durableId="518588371">
    <w:abstractNumId w:val="4"/>
  </w:num>
  <w:num w:numId="11" w16cid:durableId="50884930">
    <w:abstractNumId w:val="8"/>
  </w:num>
  <w:num w:numId="12" w16cid:durableId="1931040993">
    <w:abstractNumId w:val="8"/>
  </w:num>
  <w:num w:numId="13" w16cid:durableId="819885044">
    <w:abstractNumId w:val="3"/>
  </w:num>
  <w:num w:numId="14" w16cid:durableId="1783725798">
    <w:abstractNumId w:val="3"/>
  </w:num>
  <w:num w:numId="15" w16cid:durableId="2107454257">
    <w:abstractNumId w:val="2"/>
  </w:num>
  <w:num w:numId="16" w16cid:durableId="418715799">
    <w:abstractNumId w:val="2"/>
  </w:num>
  <w:num w:numId="17" w16cid:durableId="295573913">
    <w:abstractNumId w:val="1"/>
  </w:num>
  <w:num w:numId="18" w16cid:durableId="360596924">
    <w:abstractNumId w:val="1"/>
  </w:num>
  <w:num w:numId="19" w16cid:durableId="2020159144">
    <w:abstractNumId w:val="0"/>
  </w:num>
  <w:num w:numId="20" w16cid:durableId="589119520">
    <w:abstractNumId w:val="0"/>
  </w:num>
  <w:num w:numId="21" w16cid:durableId="1251042536">
    <w:abstractNumId w:val="9"/>
  </w:num>
  <w:num w:numId="22" w16cid:durableId="1105223988">
    <w:abstractNumId w:val="7"/>
  </w:num>
  <w:num w:numId="23" w16cid:durableId="1772820097">
    <w:abstractNumId w:val="6"/>
  </w:num>
  <w:num w:numId="24" w16cid:durableId="630139760">
    <w:abstractNumId w:val="5"/>
  </w:num>
  <w:num w:numId="25" w16cid:durableId="506868579">
    <w:abstractNumId w:val="4"/>
  </w:num>
  <w:num w:numId="26" w16cid:durableId="995307723">
    <w:abstractNumId w:val="8"/>
  </w:num>
  <w:num w:numId="27" w16cid:durableId="1701979460">
    <w:abstractNumId w:val="3"/>
  </w:num>
  <w:num w:numId="28" w16cid:durableId="629868110">
    <w:abstractNumId w:val="2"/>
  </w:num>
  <w:num w:numId="29" w16cid:durableId="938686124">
    <w:abstractNumId w:val="1"/>
  </w:num>
  <w:num w:numId="30" w16cid:durableId="395393654">
    <w:abstractNumId w:val="0"/>
  </w:num>
  <w:num w:numId="31" w16cid:durableId="2124500251">
    <w:abstractNumId w:val="9"/>
  </w:num>
  <w:num w:numId="32" w16cid:durableId="215169735">
    <w:abstractNumId w:val="7"/>
  </w:num>
  <w:num w:numId="33" w16cid:durableId="267588046">
    <w:abstractNumId w:val="6"/>
  </w:num>
  <w:num w:numId="34" w16cid:durableId="18094330">
    <w:abstractNumId w:val="5"/>
  </w:num>
  <w:num w:numId="35" w16cid:durableId="1176378882">
    <w:abstractNumId w:val="4"/>
  </w:num>
  <w:num w:numId="36" w16cid:durableId="1209026682">
    <w:abstractNumId w:val="8"/>
  </w:num>
  <w:num w:numId="37" w16cid:durableId="1625228610">
    <w:abstractNumId w:val="3"/>
  </w:num>
  <w:num w:numId="38" w16cid:durableId="1860313195">
    <w:abstractNumId w:val="2"/>
  </w:num>
  <w:num w:numId="39" w16cid:durableId="1755541625">
    <w:abstractNumId w:val="1"/>
  </w:num>
  <w:num w:numId="40" w16cid:durableId="1377848937">
    <w:abstractNumId w:val="0"/>
  </w:num>
  <w:num w:numId="41" w16cid:durableId="1216162964">
    <w:abstractNumId w:val="10"/>
  </w:num>
  <w:num w:numId="42" w16cid:durableId="1845977819">
    <w:abstractNumId w:val="10"/>
  </w:num>
  <w:num w:numId="43" w16cid:durableId="298876481">
    <w:abstractNumId w:val="10"/>
  </w:num>
  <w:num w:numId="44" w16cid:durableId="221989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378"/>
    <w:rsid w:val="002767FF"/>
    <w:rsid w:val="002B18FE"/>
    <w:rsid w:val="002B5493"/>
    <w:rsid w:val="00343214"/>
    <w:rsid w:val="00361C00"/>
    <w:rsid w:val="00395FA1"/>
    <w:rsid w:val="003E15D4"/>
    <w:rsid w:val="00411CCE"/>
    <w:rsid w:val="00416127"/>
    <w:rsid w:val="0041666E"/>
    <w:rsid w:val="00421060"/>
    <w:rsid w:val="0044018F"/>
    <w:rsid w:val="00471C19"/>
    <w:rsid w:val="004867E3"/>
    <w:rsid w:val="00494A28"/>
    <w:rsid w:val="004B6073"/>
    <w:rsid w:val="004C0004"/>
    <w:rsid w:val="004C5D52"/>
    <w:rsid w:val="0050519A"/>
    <w:rsid w:val="005072A1"/>
    <w:rsid w:val="00514517"/>
    <w:rsid w:val="005368E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4F9"/>
    <w:rsid w:val="007D1690"/>
    <w:rsid w:val="007E22AD"/>
    <w:rsid w:val="00817416"/>
    <w:rsid w:val="00836BA8"/>
    <w:rsid w:val="00842779"/>
    <w:rsid w:val="00865F67"/>
    <w:rsid w:val="00881A7B"/>
    <w:rsid w:val="008840E5"/>
    <w:rsid w:val="00887B3E"/>
    <w:rsid w:val="008C2AC6"/>
    <w:rsid w:val="008F15B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BD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0BD"/>
    <w:rsid w:val="00DF1E65"/>
    <w:rsid w:val="00E365E1"/>
    <w:rsid w:val="00E439D1"/>
    <w:rsid w:val="00E820A4"/>
    <w:rsid w:val="00EB006A"/>
    <w:rsid w:val="00EB4772"/>
    <w:rsid w:val="00ED169E"/>
    <w:rsid w:val="00ED4235"/>
    <w:rsid w:val="00F04346"/>
    <w:rsid w:val="00F075DC"/>
    <w:rsid w:val="00F149E9"/>
    <w:rsid w:val="00F33CB4"/>
    <w:rsid w:val="00F44F2C"/>
    <w:rsid w:val="00F5134D"/>
    <w:rsid w:val="00F74202"/>
    <w:rsid w:val="00F87713"/>
    <w:rsid w:val="00FB4360"/>
    <w:rsid w:val="00FD0C70"/>
  </w:rsids>
  <w:docVars>
    <w:docVar w:name="dvdocse" w:val="A10-0147/2026"/>
    <w:docVar w:name="dvlangue" w:val="HR"/>
    <w:docVar w:name="dvnumam" w:val="0"/>
    <w:docVar w:name="dvpe" w:val="776.883"/>
    <w:docVar w:name="dvrapporteur" w:val="Izvjestitelj: "/>
    <w:docVar w:name="dvtitre" w:val="Rezolucija Europskog parlamenta od .... 2026. o jačanju razvojne suradnje radi rješavanja nezakonitih kretanja stanovništva i njihovih temeljnih uzroka u partnerskim zemljama(2025/211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2D908EB"/>
  <w15:chartTrackingRefBased/>
  <w15:docId w15:val="{17A46EF5-CBEE-4306-8C2D-36696AE2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B607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B607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B6073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B6073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B607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B6073"/>
    <w:rPr>
      <w:color w:val="0000FF"/>
      <w:u w:val="single"/>
    </w:rPr>
  </w:style>
  <w:style w:type="paragraph" w:styleId="Revision">
    <w:name w:val="Revision"/>
    <w:hidden/>
    <w:uiPriority w:val="99"/>
    <w:semiHidden/>
    <w:rsid w:val="00225378"/>
    <w:rPr>
      <w:sz w:val="24"/>
      <w:lang w:val="hr-HR"/>
    </w:rPr>
  </w:style>
  <w:style w:type="character" w:styleId="FollowedHyperlink">
    <w:name w:val="FollowedHyperlink"/>
    <w:basedOn w:val="DefaultParagraphFont"/>
    <w:rsid w:val="002253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10" Type="http://schemas.openxmlformats.org/officeDocument/2006/relationships/hyperlink" Target="https://www.unhcr.org/about-unhcr/overview/figures-glance" TargetMode="External" /><Relationship Id="rId2" Type="http://schemas.openxmlformats.org/officeDocument/2006/relationships/hyperlink" Target="http://data.europa.eu/eli/reg/2024/1351/oj" TargetMode="External" /><Relationship Id="rId3" Type="http://schemas.openxmlformats.org/officeDocument/2006/relationships/hyperlink" Target="http://data.europa.eu/eli/agree_internation/2023/2862/oj" TargetMode="External" /><Relationship Id="rId4" Type="http://schemas.openxmlformats.org/officeDocument/2006/relationships/hyperlink" Target="http://data.europa.eu/eli/C/2026/576/oj" TargetMode="External" /><Relationship Id="rId5" Type="http://schemas.openxmlformats.org/officeDocument/2006/relationships/hyperlink" Target="https://emm.iom.int/handbooks/global-context-international-migration/drivers-international-migration" TargetMode="External" /><Relationship Id="rId6" Type="http://schemas.openxmlformats.org/officeDocument/2006/relationships/hyperlink" Target="https://euaa.europa.eu/asylum-report-2025/34-data-applications-international-protection" TargetMode="External" /><Relationship Id="rId7" Type="http://schemas.openxmlformats.org/officeDocument/2006/relationships/hyperlink" Target="https://www.frontex.europa.eu/media-centre/news/news-release/frontex-irregular-border-crossings-down-26-in-2025-europe-must-stay-prepared-lyKpVb" TargetMode="External" /><Relationship Id="rId8" Type="http://schemas.openxmlformats.org/officeDocument/2006/relationships/hyperlink" Target="https://ec.europa.eu/eurostat/statistics-explained/index.php?title=Migration_to_and_from_the_EU" TargetMode="External" /><Relationship Id="rId9" Type="http://schemas.openxmlformats.org/officeDocument/2006/relationships/hyperlink" Target="https://ec.europa.eu/eurostat/web/interactive-publications/migration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4448</Words>
  <Characters>27486</Characters>
  <Application>Microsoft Office Word</Application>
  <DocSecurity>0</DocSecurity>
  <Lines>229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2026-07-14T09:26:00Z</dcterms:created>
  <dcterms:modified xsi:type="dcterms:W3CDTF">2026-07-14T09:26:00Z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A10-0147/2026</vt:lpwstr>
  </property>
  <property fmtid="{D5CDD505-2E9C-101B-9397-08002B2CF9AE}" pid="4" name="&lt;Type&gt;">
    <vt:lpwstr>RR</vt:lpwstr>
  </property>
</Properties>
</file>