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8AF2FC1" w14:textId="77777777" w:rsidTr="0010095E">
        <w:tblPrEx>
          <w:tblW w:w="9072" w:type="dxa"/>
          <w:tblLook w:val="01E0"/>
        </w:tblPrEx>
        <w:trPr>
          <w:trHeight w:hRule="exact" w:val="1418"/>
        </w:trPr>
        <w:tc>
          <w:tcPr>
            <w:tcW w:w="6804" w:type="dxa"/>
            <w:shd w:val="clear" w:color="auto" w:fill="auto"/>
            <w:vAlign w:val="center"/>
          </w:tcPr>
          <w:p w:rsidR="00751A4A" w:rsidRPr="002023B6" w:rsidP="0010095E" w14:paraId="7C88C06D" w14:textId="77777777">
            <w:pPr>
              <w:pStyle w:val="EPName"/>
            </w:pPr>
            <w:r w:rsidRPr="002023B6">
              <w:t>Európai Parlament</w:t>
            </w:r>
          </w:p>
          <w:p w:rsidR="00751A4A" w:rsidRPr="002023B6" w:rsidP="005F1B17" w14:paraId="254B2204" w14:textId="77777777">
            <w:pPr>
              <w:pStyle w:val="EPTerm"/>
              <w:rPr>
                <w:rStyle w:val="HideTWBExt"/>
                <w:noProof w:val="0"/>
                <w:vanish w:val="0"/>
                <w:color w:val="auto"/>
              </w:rPr>
            </w:pPr>
            <w:r w:rsidRPr="002023B6">
              <w:t>2024</w:t>
            </w:r>
            <w:r w:rsidRPr="002023B6" w:rsidR="00817416">
              <w:t>-202</w:t>
            </w:r>
            <w:r w:rsidRPr="002023B6">
              <w:t>9</w:t>
            </w:r>
          </w:p>
        </w:tc>
        <w:tc>
          <w:tcPr>
            <w:tcW w:w="2268" w:type="dxa"/>
            <w:shd w:val="clear" w:color="auto" w:fill="auto"/>
          </w:tcPr>
          <w:p w:rsidR="00751A4A" w:rsidRPr="002023B6" w:rsidP="0010095E" w14:paraId="4E64B637" w14:textId="77777777">
            <w:pPr>
              <w:pStyle w:val="EPLogo"/>
            </w:pPr>
            <w:r w:rsidRPr="002023B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023B6" w:rsidP="004C5D52" w14:paraId="43C7B570" w14:textId="77777777">
      <w:pPr>
        <w:pStyle w:val="LineTop"/>
      </w:pPr>
    </w:p>
    <w:p w:rsidR="00680577" w:rsidRPr="002023B6" w:rsidP="00680577" w14:paraId="5F88579C" w14:textId="77777777">
      <w:pPr>
        <w:pStyle w:val="EPBodyTA1"/>
      </w:pPr>
      <w:r w:rsidRPr="002023B6">
        <w:t>ELFOGADOTT SZÖVEGEK</w:t>
      </w:r>
    </w:p>
    <w:p w:rsidR="00D058B8" w:rsidRPr="002023B6" w:rsidP="00D058B8" w14:paraId="0C95F848" w14:textId="77777777">
      <w:pPr>
        <w:pStyle w:val="LineBottom"/>
      </w:pPr>
    </w:p>
    <w:p w:rsidR="00143F29" w:rsidRPr="002023B6" w:rsidP="00143F29" w14:paraId="70629840" w14:textId="31CC18AF">
      <w:pPr>
        <w:pStyle w:val="ATHeading1"/>
      </w:pPr>
      <w:bookmarkStart w:id="0" w:name="TANumber"/>
      <w:r w:rsidRPr="002023B6">
        <w:t>P10_TA(2026)0</w:t>
      </w:r>
      <w:r w:rsidR="002023B6">
        <w:t>205</w:t>
      </w:r>
      <w:bookmarkEnd w:id="0"/>
    </w:p>
    <w:p w:rsidR="00143F29" w:rsidRPr="002023B6" w:rsidP="00143F29" w14:paraId="1177D500" w14:textId="6F1C2862">
      <w:pPr>
        <w:pStyle w:val="ATHeading2"/>
      </w:pPr>
      <w:bookmarkStart w:id="1" w:name="title"/>
      <w:r w:rsidRPr="002023B6">
        <w:t>A fejlesztési együttműködés megerősítése a partnerországokban tapasztalható szabálytalan migrációs mozgások és azok kiváltó okainak kezelése érdekében</w:t>
      </w:r>
      <w:bookmarkEnd w:id="1"/>
    </w:p>
    <w:p w:rsidR="00143F29" w:rsidRPr="002023B6" w:rsidP="00143F29" w14:paraId="3D331D51" w14:textId="77777777">
      <w:pPr>
        <w:rPr>
          <w:i/>
          <w:vanish/>
        </w:rPr>
      </w:pPr>
      <w:r>
        <w:rPr>
          <w:i/>
        </w:rPr>
        <w:fldChar w:fldCharType="begin"/>
      </w:r>
      <w:r w:rsidRPr="002023B6">
        <w:rPr>
          <w:i/>
        </w:rPr>
        <w:instrText xml:space="preserve"> TC"(</w:instrText>
      </w:r>
      <w:bookmarkStart w:id="2" w:name="DocNumber"/>
      <w:r w:rsidRPr="002023B6">
        <w:rPr>
          <w:i/>
        </w:rPr>
        <w:instrText>A10-0147/2026</w:instrText>
      </w:r>
      <w:bookmarkEnd w:id="2"/>
      <w:r w:rsidRPr="002023B6">
        <w:rPr>
          <w:i/>
        </w:rPr>
        <w:instrText xml:space="preserve"> - Előadó: Lukas Mandl)"\l3 \n&gt; \* MERGEFORMAT </w:instrText>
      </w:r>
      <w:r>
        <w:rPr>
          <w:i/>
        </w:rPr>
        <w:fldChar w:fldCharType="end"/>
      </w:r>
    </w:p>
    <w:p w:rsidR="00143F29" w:rsidRPr="002023B6" w:rsidP="00143F29" w14:paraId="6CF88EBB" w14:textId="77777777">
      <w:pPr>
        <w:rPr>
          <w:vanish/>
        </w:rPr>
      </w:pPr>
      <w:bookmarkStart w:id="3" w:name="Commission"/>
      <w:r w:rsidRPr="002023B6">
        <w:rPr>
          <w:vanish/>
        </w:rPr>
        <w:t>Fejlesztési Bizottság</w:t>
      </w:r>
      <w:bookmarkEnd w:id="3"/>
    </w:p>
    <w:p w:rsidR="00143F29" w:rsidRPr="002023B6" w:rsidP="00143F29" w14:paraId="168881C4" w14:textId="77777777">
      <w:pPr>
        <w:rPr>
          <w:vanish/>
        </w:rPr>
      </w:pPr>
      <w:bookmarkStart w:id="4" w:name="PE"/>
      <w:r w:rsidRPr="002023B6">
        <w:rPr>
          <w:vanish/>
        </w:rPr>
        <w:t>PE776.883</w:t>
      </w:r>
      <w:bookmarkEnd w:id="4"/>
    </w:p>
    <w:p w:rsidR="00143F29" w:rsidRPr="002023B6" w:rsidP="00143F29" w14:paraId="0DE6E9FD" w14:textId="33465F23">
      <w:pPr>
        <w:pStyle w:val="ATHeading3"/>
      </w:pPr>
      <w:bookmarkStart w:id="5" w:name="Sujet"/>
      <w:r w:rsidRPr="002023B6">
        <w:t xml:space="preserve">Az Európai Parlament 2026. </w:t>
      </w:r>
      <w:r w:rsidRPr="002023B6" w:rsidR="005F208F">
        <w:t>június</w:t>
      </w:r>
      <w:r w:rsidRPr="002023B6">
        <w:t xml:space="preserve"> </w:t>
      </w:r>
      <w:r w:rsidRPr="002023B6" w:rsidR="007541D7">
        <w:t>16-</w:t>
      </w:r>
      <w:r w:rsidRPr="002023B6">
        <w:t>i állásfoglalása a fejlesztési együttműködés megerősítéséről a partnerországokban tapasztalható szabálytalan migrációs mozgások és azok kiváltó okainak kezelése érdekében</w:t>
      </w:r>
      <w:bookmarkEnd w:id="5"/>
      <w:r w:rsidRPr="002023B6">
        <w:t xml:space="preserve"> </w:t>
      </w:r>
      <w:bookmarkStart w:id="6" w:name="References"/>
      <w:r w:rsidRPr="002023B6">
        <w:t>(2025/2111(INI))</w:t>
      </w:r>
      <w:bookmarkEnd w:id="6"/>
    </w:p>
    <w:p w:rsidR="0026691A" w:rsidRPr="002023B6" w:rsidP="005F208F" w14:paraId="2A011317" w14:textId="77777777">
      <w:pPr>
        <w:pStyle w:val="Normal12"/>
        <w:spacing w:before="360"/>
        <w:rPr>
          <w:i/>
          <w:iCs/>
        </w:rPr>
      </w:pPr>
      <w:r w:rsidRPr="002023B6">
        <w:rPr>
          <w:i/>
          <w:iCs/>
        </w:rPr>
        <w:t>Az Európai Parlament,</w:t>
      </w:r>
    </w:p>
    <w:p w:rsidR="0026691A" w:rsidRPr="002023B6" w:rsidP="005F208F" w14:paraId="064625A3" w14:textId="77777777">
      <w:pPr>
        <w:pStyle w:val="NormalHanging"/>
        <w:widowControl/>
        <w:ind w:left="567" w:hanging="567"/>
      </w:pPr>
      <w:r w:rsidRPr="002023B6">
        <w:t>–</w:t>
      </w:r>
      <w:r w:rsidRPr="002023B6">
        <w:tab/>
        <w:t>tekintettel az Európai Unió működéséről szóló szerződés (EUMSZ) 79. és 208. cikkére,</w:t>
      </w:r>
    </w:p>
    <w:p w:rsidR="0026691A" w:rsidRPr="002023B6" w:rsidP="005F208F" w14:paraId="4C1E8E3E" w14:textId="77777777">
      <w:pPr>
        <w:pStyle w:val="NormalHanging"/>
        <w:widowControl/>
        <w:ind w:left="567" w:hanging="567"/>
      </w:pPr>
      <w:r w:rsidRPr="002023B6">
        <w:t>–</w:t>
      </w:r>
      <w:r w:rsidRPr="002023B6">
        <w:tab/>
        <w:t>tekintettel az Európai Unióról szóló szerződés (EUSZ) 3. cikkének (5) bekezdésére és 21. cikkére,</w:t>
      </w:r>
    </w:p>
    <w:p w:rsidR="0026691A" w:rsidRPr="002023B6" w:rsidP="005F208F" w14:paraId="4B43CAEC" w14:textId="77777777">
      <w:pPr>
        <w:pStyle w:val="NormalHanging"/>
        <w:widowControl/>
        <w:ind w:left="567" w:hanging="567"/>
      </w:pPr>
      <w:r w:rsidRPr="002023B6">
        <w:t>–</w:t>
      </w:r>
      <w:r w:rsidRPr="002023B6">
        <w:tab/>
        <w:t>tekintettel „Az emberi jogokon alapuló megközelítés alkalmazása a nemzetközi partnerségekre – A jogtulajdonosoknak az EU szomszédsági, fejlesztési és nemzetközi együttműködésének középpontjába helyezésére szolgáló aktualizált eszköztár” című, 2021. június 30-i bizottsági szolgálati munkadokumentumra (SWD(2021)0179),</w:t>
      </w:r>
    </w:p>
    <w:p w:rsidR="0026691A" w:rsidRPr="002023B6" w:rsidP="005F208F" w14:paraId="02CC96E1" w14:textId="200818BC">
      <w:pPr>
        <w:pStyle w:val="NormalHanging"/>
        <w:widowControl/>
        <w:ind w:left="567" w:hanging="567"/>
      </w:pPr>
      <w:r w:rsidRPr="002023B6">
        <w:t>–</w:t>
      </w:r>
      <w:r w:rsidRPr="002023B6">
        <w:tab/>
        <w:t>tekintettel a Szomszédsági, Fejlesztési és Nemzetközi Együttműködési Eszköz (Globális Európa) létrehozásáról szóló, 2021. június 9-i (EU) 2021/947 európai parlamenti és tanácsi rendeletre</w:t>
      </w:r>
      <w:r>
        <w:rPr>
          <w:rStyle w:val="FootnoteReference"/>
        </w:rPr>
        <w:footnoteReference w:id="2"/>
      </w:r>
      <w:r w:rsidRPr="002023B6">
        <w:t>,</w:t>
      </w:r>
    </w:p>
    <w:p w:rsidR="0026691A" w:rsidRPr="002023B6" w:rsidP="005F208F" w14:paraId="7DC4F2BA" w14:textId="77777777">
      <w:pPr>
        <w:pStyle w:val="NormalHanging"/>
        <w:widowControl/>
        <w:ind w:left="567" w:hanging="567"/>
      </w:pPr>
      <w:r w:rsidRPr="002023B6">
        <w:t>–</w:t>
      </w:r>
      <w:r w:rsidRPr="002023B6">
        <w:tab/>
        <w:t>tekintettel a Bizottságnak a Globális Európa létrehozásáról szóló európai parlamenti és tanácsi rendeletre irányuló, 2025. július 16-i javaslatára (COM(2025)0551),</w:t>
      </w:r>
    </w:p>
    <w:p w:rsidR="0026691A" w:rsidRPr="002023B6" w:rsidP="005F208F" w14:paraId="07A0C43C" w14:textId="17846F25">
      <w:pPr>
        <w:pStyle w:val="NormalHanging"/>
        <w:widowControl/>
        <w:ind w:left="567" w:hanging="567"/>
      </w:pPr>
      <w:r w:rsidRPr="002023B6">
        <w:t>–</w:t>
      </w:r>
      <w:r w:rsidRPr="002023B6">
        <w:tab/>
        <w:t>tekintettel a menekültügy és a migráció kezeléséről, az (EU) 2021/1147 és az (EU) 2021/1060 rendelet módosításáról, valamint a 604/2013/EU rendelet hatályon kívül helyezéséről szóló, 2024. május 14-i (EU) 2024/1351 európai parlamenti és tanácsi rendeletre</w:t>
      </w:r>
      <w:r>
        <w:rPr>
          <w:rStyle w:val="FootnoteReference"/>
        </w:rPr>
        <w:footnoteReference w:id="3"/>
      </w:r>
      <w:r w:rsidRPr="002023B6">
        <w:t>,</w:t>
      </w:r>
    </w:p>
    <w:p w:rsidR="0026691A" w:rsidRPr="002023B6" w:rsidP="005F208F" w14:paraId="3D94E32D" w14:textId="77777777">
      <w:pPr>
        <w:pStyle w:val="NormalHanging"/>
        <w:widowControl/>
        <w:ind w:left="567" w:hanging="567"/>
      </w:pPr>
      <w:r w:rsidRPr="002023B6">
        <w:t>–</w:t>
      </w:r>
      <w:r w:rsidRPr="002023B6">
        <w:tab/>
        <w:t xml:space="preserve">tekintettel a Bizottságnak az Unióban jogellenesen tartózkodó harmadik országbeli állampolgárok visszaküldésére vonatkozó közös rendszer létrehozásáról, valamint a </w:t>
      </w:r>
      <w:r w:rsidRPr="002023B6">
        <w:t>2008/115/EK európai parlamenti és tanácsi irányelv, a 2001/40/EK tanácsi irányelv és a 2004/191/EK tanácsi határozat hatályon kívül helyezéséről szóló európai parlamenti és tanácsi rendeletre irányuló, 2025. március 11-i javaslatára (COM(2025)0101),</w:t>
      </w:r>
    </w:p>
    <w:p w:rsidR="0026691A" w:rsidRPr="002023B6" w:rsidP="005F208F" w14:paraId="13DC03BA" w14:textId="38D8A5C3">
      <w:pPr>
        <w:pStyle w:val="NormalHanging"/>
        <w:widowControl/>
        <w:ind w:left="567" w:hanging="567"/>
      </w:pPr>
      <w:r w:rsidRPr="002023B6">
        <w:t>–</w:t>
      </w:r>
      <w:r w:rsidRPr="002023B6">
        <w:tab/>
        <w:t>tekintettel az egyrészről az Európai Unió és tagállamai, másrészről az Afrikai, Karibi és Csendes-óceáni Államok Szervezetének tagjai közötti partnerségi megállapodásra</w:t>
      </w:r>
      <w:r>
        <w:rPr>
          <w:rStyle w:val="FootnoteReference"/>
        </w:rPr>
        <w:footnoteReference w:id="4"/>
      </w:r>
      <w:r w:rsidRPr="002023B6">
        <w:t xml:space="preserve"> (Szamoai Megállapodás),</w:t>
      </w:r>
    </w:p>
    <w:p w:rsidR="0026691A" w:rsidRPr="002023B6" w:rsidP="005F208F" w14:paraId="7A87A9E5" w14:textId="77777777">
      <w:pPr>
        <w:pStyle w:val="NormalHanging"/>
        <w:widowControl/>
        <w:ind w:left="567" w:hanging="567"/>
      </w:pPr>
      <w:r w:rsidRPr="002023B6">
        <w:t>–</w:t>
      </w:r>
      <w:r w:rsidRPr="002023B6">
        <w:tab/>
        <w:t>tekintettel „A képzett és tehetséges munkavállalók EU-ba vonzása” című, 2022. április 27-i bizottsági közleményre (COM(2022)0657),</w:t>
      </w:r>
    </w:p>
    <w:p w:rsidR="0026691A" w:rsidRPr="002023B6" w:rsidP="005F208F" w14:paraId="418DA04A" w14:textId="77777777">
      <w:pPr>
        <w:pStyle w:val="NormalHanging"/>
        <w:widowControl/>
        <w:ind w:left="567" w:hanging="567"/>
      </w:pPr>
      <w:r w:rsidRPr="002023B6">
        <w:t>–</w:t>
      </w:r>
      <w:r w:rsidRPr="002023B6">
        <w:tab/>
        <w:t>tekintettel a földközi-tengeri paktumra,</w:t>
      </w:r>
    </w:p>
    <w:p w:rsidR="0026691A" w:rsidRPr="002023B6" w:rsidP="005F208F" w14:paraId="714B1883" w14:textId="77777777">
      <w:pPr>
        <w:pStyle w:val="NormalHanging"/>
        <w:widowControl/>
        <w:ind w:left="567" w:hanging="567"/>
      </w:pPr>
      <w:r w:rsidRPr="002023B6">
        <w:t>–</w:t>
      </w:r>
      <w:r w:rsidRPr="002023B6">
        <w:tab/>
        <w:t>tekintettel a Tanács és a tagállamok kormányainak a Tanács keretében ülésező képviselői, az Európai Parlament és a Bizottság „Új európai konszenzus a fejlesztési politikáról – A mi világunk, a mi méltóságunk, a mi jövőnk” című, 2017. június 7-i együttes nyilatkozatára,</w:t>
      </w:r>
    </w:p>
    <w:p w:rsidR="0026691A" w:rsidRPr="002023B6" w:rsidP="005F208F" w14:paraId="68F84D6D" w14:textId="77777777">
      <w:pPr>
        <w:pStyle w:val="NormalHanging"/>
        <w:widowControl/>
        <w:ind w:left="567" w:hanging="567"/>
      </w:pPr>
      <w:r w:rsidRPr="002023B6">
        <w:t>–</w:t>
      </w:r>
      <w:r w:rsidRPr="002023B6">
        <w:tab/>
        <w:t>tekintettel az afrikai stabilitással és az irreguláris migráció okainak kezelésével foglalkozó szükséghelyzeti alapra (EUTF), és az Európai Számvevőszék „Az Uniós Szükséghelyzeti Alap Afrikáért: Az új megközelítések ellenére a támogatás továbbra sem kellően összpontosított” című, 2024. szeptember 25-i 17/2024. sz. különjelentésére,</w:t>
      </w:r>
    </w:p>
    <w:p w:rsidR="0026691A" w:rsidRPr="002023B6" w:rsidP="005F208F" w14:paraId="18BF47E9" w14:textId="77777777">
      <w:pPr>
        <w:pStyle w:val="NormalHanging"/>
        <w:widowControl/>
        <w:ind w:left="567" w:hanging="567"/>
      </w:pPr>
      <w:r w:rsidRPr="002023B6">
        <w:t>–</w:t>
      </w:r>
      <w:r w:rsidRPr="002023B6">
        <w:tab/>
        <w:t>tekintettel a „Vízügyi rezilienciára vonatkozó európai stratégia” című, 2025. június 4-i bizottsági közleményre (COM(2025)0280),</w:t>
      </w:r>
    </w:p>
    <w:p w:rsidR="0026691A" w:rsidRPr="002023B6" w:rsidP="005F208F" w14:paraId="7D366C0A" w14:textId="30D6798E">
      <w:pPr>
        <w:pStyle w:val="NormalHanging"/>
        <w:widowControl/>
        <w:ind w:left="567" w:hanging="567"/>
      </w:pPr>
      <w:r w:rsidRPr="002023B6">
        <w:t>–</w:t>
      </w:r>
      <w:r w:rsidRPr="002023B6">
        <w:tab/>
        <w:t>tekintettel a vízügyi rezilienciára vonatkozó európai stratégiáról szóló, 2025. május 7-i állásfoglalására</w:t>
      </w:r>
      <w:r>
        <w:rPr>
          <w:rStyle w:val="FootnoteReference"/>
        </w:rPr>
        <w:footnoteReference w:id="5"/>
      </w:r>
      <w:r w:rsidRPr="002023B6">
        <w:t>,</w:t>
      </w:r>
    </w:p>
    <w:p w:rsidR="0026691A" w:rsidRPr="002023B6" w:rsidP="005F208F" w14:paraId="2BDBB6E4" w14:textId="6A00C33F">
      <w:pPr>
        <w:pStyle w:val="NormalHanging"/>
        <w:widowControl/>
        <w:ind w:left="567" w:hanging="567"/>
      </w:pPr>
      <w:r w:rsidRPr="002023B6">
        <w:t>–</w:t>
      </w:r>
      <w:r w:rsidRPr="002023B6">
        <w:tab/>
        <w:t>tekintettel a Bizottságnak és az Unió külügyi és biztonságpolitikai főképviselőjének „A Global Gateway” című, 2021. december 1-jei közös közleményére (JOIN(2021)0030),</w:t>
      </w:r>
    </w:p>
    <w:p w:rsidR="0026691A" w:rsidRPr="002023B6" w:rsidP="005F208F" w14:paraId="27041B07" w14:textId="0A743B3C">
      <w:pPr>
        <w:pStyle w:val="NormalHanging"/>
        <w:widowControl/>
        <w:ind w:left="567" w:hanging="567"/>
      </w:pPr>
      <w:r w:rsidRPr="002023B6">
        <w:t>–</w:t>
      </w:r>
      <w:r w:rsidRPr="002023B6">
        <w:tab/>
        <w:t>tekintettel a Bizottságnak és az Unió külügyi és biztonságpolitikai főképviselőjének „A fenntartható nemzetközi partnerségek kiépítése a Team Europe keretében” című, 2024. október 2-i közös közleményére (JOIN(2024)0025),</w:t>
      </w:r>
    </w:p>
    <w:p w:rsidR="0026691A" w:rsidRPr="002023B6" w:rsidP="005F208F" w14:paraId="638D98FB" w14:textId="77777777">
      <w:pPr>
        <w:pStyle w:val="NormalHanging"/>
        <w:widowControl/>
        <w:ind w:left="567" w:hanging="567"/>
      </w:pPr>
      <w:r w:rsidRPr="002023B6">
        <w:t>–</w:t>
      </w:r>
      <w:r w:rsidRPr="002023B6">
        <w:tab/>
        <w:t>tekintettel az Európai Tanács migrációról szóló, 2024. október 17-i következtetéseire,</w:t>
      </w:r>
    </w:p>
    <w:p w:rsidR="0026691A" w:rsidRPr="002023B6" w:rsidP="005F208F" w14:paraId="4A32D34A" w14:textId="77777777">
      <w:pPr>
        <w:pStyle w:val="NormalHanging"/>
        <w:widowControl/>
        <w:ind w:left="567" w:hanging="567"/>
      </w:pPr>
      <w:r w:rsidRPr="002023B6">
        <w:t>–</w:t>
      </w:r>
      <w:r w:rsidRPr="002023B6">
        <w:tab/>
        <w:t>tekintettel az ENSZ közgyűlésének a „Biztonságos, rendezett és szabályos migrációra vonatkozó globális megállapodás” című, 2018. december 19-i 73/195. számú határozatára,</w:t>
      </w:r>
    </w:p>
    <w:p w:rsidR="0026691A" w:rsidRPr="002023B6" w:rsidP="005F208F" w14:paraId="1AE08C43" w14:textId="77777777">
      <w:pPr>
        <w:pStyle w:val="NormalHanging"/>
        <w:widowControl/>
        <w:ind w:left="567" w:hanging="567"/>
      </w:pPr>
      <w:r w:rsidRPr="002023B6">
        <w:t>–</w:t>
      </w:r>
      <w:r w:rsidRPr="002023B6">
        <w:tab/>
        <w:t>tekintettel az ENSZ Közgyűlésének a menekültekről és a migránsokról szóló New York-i nyilatkozatról szóló, 2016. szeptember 19-i 71/1. számú határozatára,</w:t>
      </w:r>
    </w:p>
    <w:p w:rsidR="0026691A" w:rsidRPr="002023B6" w:rsidP="005F208F" w14:paraId="337199AB" w14:textId="77777777">
      <w:pPr>
        <w:pStyle w:val="NormalHanging"/>
        <w:widowControl/>
        <w:ind w:left="567" w:hanging="567"/>
      </w:pPr>
      <w:r w:rsidRPr="002023B6">
        <w:t>–</w:t>
      </w:r>
      <w:r w:rsidRPr="002023B6">
        <w:tab/>
        <w:t xml:space="preserve">tekintettel az ENSZ Közgyűlésének 2015. szeptember 25-én New Yorkban megrendezett, fenntartható fejlődésről szóló csúcstalálkozóján elfogadott, a fenntartható fejlődési célokat meghatározó „Világunk átalakítása: a 2030-ig tartó időszakra </w:t>
      </w:r>
      <w:r w:rsidRPr="002023B6">
        <w:t>vonatkozó fenntartható fejlődési menetrend” című, 70/1. számú ENSZ-határozatra, és különösen a 10.7. fenntartható fejlődési célra,</w:t>
      </w:r>
    </w:p>
    <w:p w:rsidR="0026691A" w:rsidRPr="002023B6" w:rsidP="005F208F" w14:paraId="2820F8DC" w14:textId="77777777">
      <w:pPr>
        <w:pStyle w:val="NormalHanging"/>
        <w:widowControl/>
        <w:ind w:left="567" w:hanging="567"/>
      </w:pPr>
      <w:r w:rsidRPr="002023B6">
        <w:t>–</w:t>
      </w:r>
      <w:r w:rsidRPr="002023B6">
        <w:tab/>
        <w:t>tekintettel a menekültek helyzetére vonatkozó, 1951. évi ENSZ-egyezményre és annak 1967. évi New York-i jegyzőkönyvére,</w:t>
      </w:r>
    </w:p>
    <w:p w:rsidR="0026691A" w:rsidRPr="002023B6" w:rsidP="005F208F" w14:paraId="13F7CB31" w14:textId="77777777">
      <w:pPr>
        <w:pStyle w:val="NormalHanging"/>
        <w:widowControl/>
        <w:ind w:left="567" w:hanging="567"/>
      </w:pPr>
      <w:r w:rsidRPr="002023B6">
        <w:t>–</w:t>
      </w:r>
      <w:r w:rsidRPr="002023B6">
        <w:tab/>
        <w:t>tekintettel a Gazdasági Együttműködési és Fejlesztési Szervezet Fejlesztési Támogatási Bizottságának a hivatalos fejlesztési támogatás (ODA) keretében a migrációval kapcsolatos tevékenységekről szóló iránymutatásaira és a kapcsolódó eszköztárra,</w:t>
      </w:r>
    </w:p>
    <w:p w:rsidR="0026691A" w:rsidRPr="002023B6" w:rsidP="005F208F" w14:paraId="243AE447" w14:textId="77777777">
      <w:pPr>
        <w:pStyle w:val="NormalHanging"/>
        <w:widowControl/>
        <w:ind w:left="567" w:hanging="567"/>
      </w:pPr>
      <w:r w:rsidRPr="002023B6">
        <w:t>–</w:t>
      </w:r>
      <w:r w:rsidRPr="002023B6">
        <w:tab/>
        <w:t>tekintettel az 1950-ben elfogadott emberi jogok európai egyezményére,</w:t>
      </w:r>
    </w:p>
    <w:p w:rsidR="0026691A" w:rsidRPr="002023B6" w:rsidP="005F208F" w14:paraId="02544A98" w14:textId="40EEAA47">
      <w:pPr>
        <w:pStyle w:val="NormalHanging"/>
        <w:widowControl/>
        <w:ind w:left="567" w:hanging="567"/>
      </w:pPr>
      <w:r w:rsidRPr="002023B6">
        <w:t>–</w:t>
      </w:r>
      <w:r w:rsidRPr="002023B6">
        <w:tab/>
        <w:t>tekintettel a Fejlesztési Bizottság számára készített, az uniós fejlesztési együttműködésnek az afrikai irreguláris migráció kezelésében betöltött szerepéről szóló tanulmányra</w:t>
      </w:r>
      <w:r>
        <w:rPr>
          <w:rStyle w:val="FootnoteReference"/>
        </w:rPr>
        <w:footnoteReference w:id="6"/>
      </w:r>
      <w:r w:rsidRPr="002023B6">
        <w:t>,</w:t>
      </w:r>
    </w:p>
    <w:p w:rsidR="0026691A" w:rsidRPr="002023B6" w:rsidP="005F208F" w14:paraId="76BE51AD" w14:textId="4DB132AE">
      <w:pPr>
        <w:pStyle w:val="NormalHanging"/>
        <w:widowControl/>
        <w:ind w:left="567" w:hanging="567"/>
      </w:pPr>
      <w:r w:rsidRPr="002023B6">
        <w:t>–</w:t>
      </w:r>
      <w:r w:rsidRPr="002023B6">
        <w:tab/>
        <w:t>tekintettel „Az Afrikára vonatkozó új uniós stratégia – partnerség a fenntartható és befogadó fejlődésért” című, 2021. március 25-i állásfoglalására</w:t>
      </w:r>
      <w:r>
        <w:rPr>
          <w:rStyle w:val="FootnoteReference"/>
        </w:rPr>
        <w:footnoteReference w:id="7"/>
      </w:r>
      <w:r w:rsidRPr="002023B6">
        <w:t>,</w:t>
      </w:r>
    </w:p>
    <w:p w:rsidR="0026691A" w:rsidRPr="002023B6" w:rsidP="005F208F" w14:paraId="7E505D58" w14:textId="77777777">
      <w:pPr>
        <w:pStyle w:val="NormalHanging"/>
        <w:widowControl/>
        <w:ind w:left="567" w:hanging="567"/>
      </w:pPr>
      <w:r w:rsidRPr="002023B6">
        <w:t>–</w:t>
      </w:r>
      <w:r w:rsidRPr="002023B6">
        <w:tab/>
        <w:t>tekintettel eljárási szabályzata 55. cikkére,</w:t>
      </w:r>
    </w:p>
    <w:p w:rsidR="0026691A" w:rsidRPr="002023B6" w:rsidP="005F208F" w14:paraId="6C1A07B4" w14:textId="77777777">
      <w:pPr>
        <w:pStyle w:val="NormalHanging"/>
        <w:widowControl/>
        <w:ind w:left="567" w:hanging="567"/>
      </w:pPr>
      <w:r w:rsidRPr="002023B6">
        <w:t>–</w:t>
      </w:r>
      <w:r w:rsidRPr="002023B6">
        <w:tab/>
        <w:t>tekintettel a Fejlesztési Bizottság jelentésére (A10-0147/2026),</w:t>
      </w:r>
    </w:p>
    <w:p w:rsidR="0026691A" w:rsidRPr="002023B6" w:rsidP="005F208F" w14:paraId="3DA685A4" w14:textId="689E1127">
      <w:pPr>
        <w:pStyle w:val="NormalHanging"/>
        <w:widowControl/>
        <w:ind w:left="567" w:hanging="567"/>
      </w:pPr>
      <w:r w:rsidRPr="002023B6">
        <w:t>A.</w:t>
      </w:r>
      <w:r w:rsidRPr="002023B6">
        <w:tab/>
        <w:t>mivel a migráció és a mobilitás, a béke, a jó kormányzás, a stabilitás, az inkluzív növekedés és a fenntartható fejlődés szorosan összefüggenek egymással; mivel a migrációt olyan makro- és mikroszintű tényezők vezérlik, mint a fegyveres konfliktus, a politikai instabilitás, a gazdasági nehézségek, a lehetőségek hiánya és a szegénység, a szociális védelmi mechanizmusokhoz való korlátozott hozzáférés, a nem megfelelő szolgáltatásnyújtás, a marginalizálódás, a kiszolgáltatott személyekkel szembeni megkülönböztetés vagy üldöztetés, többek között vallásszabadságuk vagy meggyőződésük szabadsága tekintetében, az élelmiszer-ellátás bizonytalansága és a tiszta vízhez való korlátozott hozzáférés, valamint a környezetkárosodás és az éghajlatváltozás</w:t>
      </w:r>
      <w:r>
        <w:rPr>
          <w:rStyle w:val="FootnoteReference"/>
        </w:rPr>
        <w:footnoteReference w:id="8"/>
      </w:r>
      <w:r w:rsidRPr="002023B6">
        <w:t>;</w:t>
      </w:r>
    </w:p>
    <w:p w:rsidR="0026691A" w:rsidRPr="002023B6" w:rsidP="005F208F" w14:paraId="3861CB28" w14:textId="77777777">
      <w:pPr>
        <w:pStyle w:val="NormalHanging"/>
        <w:widowControl/>
        <w:ind w:left="567" w:hanging="567"/>
      </w:pPr>
      <w:r w:rsidRPr="002023B6">
        <w:t>B.</w:t>
      </w:r>
      <w:r w:rsidRPr="002023B6">
        <w:tab/>
        <w:t>mivel az irreguláris migrációs mozgások a migránsok különböző kategóriáit foglalják magukban, például a nemzetközi védelmet kérő menekülteket és menedékkérőket; mivel a nemzetközi védelmet kérelmezők a kérelmükről szóló határozat meghozataláig a felelős tagállamokban maradhatnak;</w:t>
      </w:r>
    </w:p>
    <w:p w:rsidR="0026691A" w:rsidRPr="002023B6" w:rsidP="005F208F" w14:paraId="1ABB8A8F" w14:textId="77777777">
      <w:pPr>
        <w:pStyle w:val="NormalHanging"/>
        <w:widowControl/>
        <w:ind w:left="567" w:hanging="567"/>
      </w:pPr>
      <w:r w:rsidRPr="002023B6">
        <w:t>C.</w:t>
      </w:r>
      <w:r w:rsidRPr="002023B6">
        <w:tab/>
        <w:t xml:space="preserve">mivel a fejlesztési együttműködés alapvető szerepet játszik a szegénység felszámolásában, az instabil helyzetek kezelésében, a humán fejlődés és a fenntarthatóság valamennyi dimenziójának előmozdításában, a globális kihívásoknak az </w:t>
      </w:r>
      <w:r w:rsidRPr="002023B6">
        <w:t>európai értékeket és érdekeket védelmező és előmozdító nemzetközi partnerségek révén történő kezelésében, valamint a világ békéjéhez és jólétéhez való hozzájárulásban;</w:t>
      </w:r>
    </w:p>
    <w:p w:rsidR="0026691A" w:rsidRPr="002023B6" w:rsidP="005F208F" w14:paraId="27BF5F4D" w14:textId="77777777">
      <w:pPr>
        <w:pStyle w:val="NormalHanging"/>
        <w:widowControl/>
        <w:ind w:left="567" w:hanging="567"/>
      </w:pPr>
      <w:r w:rsidRPr="002023B6">
        <w:t>D.</w:t>
      </w:r>
      <w:r w:rsidRPr="002023B6">
        <w:tab/>
        <w:t>mivel az uniós fejlesztési politika előmozdítja a fenntartható fejlődést és a stabilitást a fejlődő országokban, azzal a végső céllal, hogy az EUMSZ 208. cikkének megfelelően a 2030-ig tartó időszakra szóló menetrenddel és a fenntartható fejlődési célokkal összhangban felszámolja a mélyszegénységet, miközben fenntartja a fejlesztési szempontú szakpolitikai koherencia elvét;</w:t>
      </w:r>
    </w:p>
    <w:p w:rsidR="0026691A" w:rsidRPr="002023B6" w:rsidP="005F208F" w14:paraId="73B7CE28" w14:textId="77777777">
      <w:pPr>
        <w:pStyle w:val="NormalHanging"/>
        <w:widowControl/>
        <w:ind w:left="567" w:hanging="567"/>
      </w:pPr>
      <w:r w:rsidRPr="002023B6">
        <w:t>E.</w:t>
      </w:r>
      <w:r w:rsidRPr="002023B6">
        <w:tab/>
        <w:t>mivel a fejlesztési együttműködésnek ellenőrizhető eredményeken és a fenntartható fejlődés iránti konkrét közös elkötelezettségen kell alapulnia;</w:t>
      </w:r>
    </w:p>
    <w:p w:rsidR="0026691A" w:rsidRPr="002023B6" w:rsidP="005F208F" w14:paraId="6D6CD5C8" w14:textId="77777777">
      <w:pPr>
        <w:pStyle w:val="NormalHanging"/>
        <w:widowControl/>
        <w:ind w:left="567" w:hanging="567"/>
      </w:pPr>
      <w:r w:rsidRPr="002023B6">
        <w:t>F.</w:t>
      </w:r>
      <w:r w:rsidRPr="002023B6">
        <w:tab/>
        <w:t>mivel az Uniós Szükséghelyzeti Alap Afrikáért azért jött létre, hogy kezelje az instabilitás, a kényszerű lakóhelyelhagyás és az irreguláris migráció kiváltó okait, és hozzájáruljon a migráció jobb kezeléséhez; mivel az Európai Számvevőszék felülvizsgálata során megállapította, hogy az Uniós Szükséghelyzeti Alap Afrikáért számos célkitűzését nem érte el, mivel a hatékony stratégiákat nem mindig határozták meg egyértelműen;</w:t>
      </w:r>
    </w:p>
    <w:p w:rsidR="0026691A" w:rsidRPr="002023B6" w:rsidP="005F208F" w14:paraId="0352403D" w14:textId="475AE057">
      <w:pPr>
        <w:pStyle w:val="NormalHanging"/>
        <w:widowControl/>
        <w:ind w:left="567" w:hanging="567"/>
      </w:pPr>
      <w:r w:rsidRPr="002023B6">
        <w:t>G.</w:t>
      </w:r>
      <w:r w:rsidRPr="002023B6">
        <w:tab/>
        <w:t>mivel 2015 óta az EU példátlan migrációs áramlásokkal néz szembe, amelyek kezelése folyamatos erőfeszítést igényelt a tagállamoktól, és mivel ezért meg kell erősíteni az európai fejlesztési politikákat az irreguláris migráció és a kényszerű lakóhelyelhagyás kiváltó okainak kezelése érdekében, tekintettel arra, hogy 2015 és 2024 között több mint 8,5 millió menedékjog iránti kérelmet nyújtottak be az uniós tagállamokban</w:t>
      </w:r>
      <w:r>
        <w:rPr>
          <w:rStyle w:val="FootnoteReference"/>
        </w:rPr>
        <w:footnoteReference w:id="9"/>
      </w:r>
      <w:r w:rsidRPr="002023B6">
        <w:t>; mivel az EU külső határain történő szabálytalan határátlépések száma 2025-ben több mint egynegyedével (26%-kal), közel 178 000-re csökkent</w:t>
      </w:r>
      <w:r>
        <w:rPr>
          <w:rStyle w:val="FootnoteReference"/>
        </w:rPr>
        <w:footnoteReference w:id="10"/>
      </w:r>
      <w:r w:rsidRPr="002023B6">
        <w:t>; mivel az Európába érkező migránsok nagy többsége legális úton érkezik; mivel a 10.7. fenntartható fejlődési cél felszólítja az országokat, hogy tervezett és jól irányított migrációs politikák révén könnyítsék meg az emberek rendezett, biztonságos, szabályos és felelős migrációját és mobilitását;</w:t>
      </w:r>
    </w:p>
    <w:p w:rsidR="0026691A" w:rsidRPr="002023B6" w:rsidP="005F208F" w14:paraId="05770AE7" w14:textId="5EB82157">
      <w:pPr>
        <w:pStyle w:val="NormalHanging"/>
        <w:widowControl/>
        <w:ind w:left="567" w:hanging="567"/>
      </w:pPr>
      <w:r w:rsidRPr="002023B6">
        <w:t>H.</w:t>
      </w:r>
      <w:r w:rsidRPr="002023B6">
        <w:tab/>
        <w:t>mivel 2024-ben 4,2 millió ember vándorolt be az EU-ba nem uniós országokból</w:t>
      </w:r>
      <w:r>
        <w:rPr>
          <w:rStyle w:val="FootnoteReference"/>
        </w:rPr>
        <w:footnoteReference w:id="11"/>
      </w:r>
      <w:r w:rsidRPr="002023B6">
        <w:t>;</w:t>
      </w:r>
    </w:p>
    <w:p w:rsidR="0026691A" w:rsidRPr="002023B6" w:rsidP="005F208F" w14:paraId="42E9EFE0" w14:textId="77777777">
      <w:pPr>
        <w:pStyle w:val="NormalHanging"/>
        <w:widowControl/>
        <w:ind w:left="567" w:hanging="567"/>
      </w:pPr>
      <w:r w:rsidRPr="002023B6">
        <w:t>I.</w:t>
      </w:r>
      <w:r w:rsidRPr="002023B6">
        <w:tab/>
        <w:t>mivel a menedékkérők származási országa sok esetben alacsony és közepes jövedelmű ország; mivel az ezen országokból érkező menedékkérők elfogadási aránya meglehetősen változó;</w:t>
      </w:r>
    </w:p>
    <w:p w:rsidR="0026691A" w:rsidRPr="002023B6" w:rsidP="005F208F" w14:paraId="23A43870" w14:textId="77777777">
      <w:pPr>
        <w:pStyle w:val="NormalHanging"/>
        <w:widowControl/>
        <w:ind w:left="567" w:hanging="567"/>
      </w:pPr>
      <w:r w:rsidRPr="002023B6">
        <w:t>J.</w:t>
      </w:r>
      <w:r w:rsidRPr="002023B6">
        <w:tab/>
        <w:t xml:space="preserve">mivel 2024-ben az uniós országok 437 900 menedékkérőnek biztosítottak védelmi jogállást, ami 2023-hoz (409 530) képest 6,9%-os növekedést jelent; mivel ez volt a legmagasabb szám a szíriai háborúhoz kapcsolódó menekültválság után 2016-ban és 2017-ben regisztrált csúcsok óta; mivel az uniós szintű elismerési arány – vagyis a </w:t>
      </w:r>
      <w:r w:rsidRPr="002023B6">
        <w:t>pozitív határozatoknak az összes menekültügyi határozat számához viszonyított aránya – 2024-ben az elsőfokú határozatok esetében 51,4% volt;</w:t>
      </w:r>
    </w:p>
    <w:p w:rsidR="0026691A" w:rsidRPr="002023B6" w:rsidP="005F208F" w14:paraId="6E15E399" w14:textId="3DB205F8">
      <w:pPr>
        <w:pStyle w:val="NormalHanging"/>
        <w:widowControl/>
        <w:ind w:left="567" w:hanging="567"/>
      </w:pPr>
      <w:r w:rsidRPr="002023B6">
        <w:t>K.</w:t>
      </w:r>
      <w:r w:rsidRPr="002023B6">
        <w:tab/>
        <w:t>mivel 2024-ben 124 000 nem uniós polgártól tagadták meg az EU-ba való belépést, 919 000-et találtak jogállás nélkülinek, 453 000 kiutasítási határozatot adtak ki, és mintegy 110 000 személyt küldtek vissza ténylegesen egy EU-n kívüli országba</w:t>
      </w:r>
      <w:r>
        <w:rPr>
          <w:rStyle w:val="FootnoteReference"/>
        </w:rPr>
        <w:footnoteReference w:id="12"/>
      </w:r>
      <w:r w:rsidRPr="002023B6">
        <w:t>; mivel a kiutasítási határozatot kapott személyek mintegy 20%-át ténylegesen visszaküldték</w:t>
      </w:r>
      <w:r>
        <w:rPr>
          <w:rStyle w:val="FootnoteReference"/>
        </w:rPr>
        <w:footnoteReference w:id="13"/>
      </w:r>
      <w:r w:rsidRPr="002023B6">
        <w:t>;</w:t>
      </w:r>
    </w:p>
    <w:p w:rsidR="0026691A" w:rsidRPr="002023B6" w:rsidP="005F208F" w14:paraId="58C9464A" w14:textId="77777777">
      <w:pPr>
        <w:pStyle w:val="NormalHanging"/>
        <w:widowControl/>
        <w:ind w:left="567" w:hanging="567"/>
      </w:pPr>
      <w:r w:rsidRPr="002023B6">
        <w:t>L.</w:t>
      </w:r>
      <w:r w:rsidRPr="002023B6">
        <w:tab/>
        <w:t>mivel a nemzetközi migráció leggyakrabban a szomszédos országok között zajlik; mivel a menekültek, a nemzetközi védelemre szorulók és a belső menekültek nagy többségét alacsony és közepes jövedelmű országokban fogadják be; mivel az ezen országokra nehezedő gazdasági teher súlyos, és hatással van saját társadalmi és gazdasági kohéziójukra és fejlődésükre; mivel a fejlesztési együttműködés ezért döntő szerepet játszik a lakóhelyüket elhagyni kényszerült lakosság és a befogadó közösségek támogatásában;</w:t>
      </w:r>
    </w:p>
    <w:p w:rsidR="0026691A" w:rsidRPr="002023B6" w:rsidP="005F208F" w14:paraId="3C9A5954" w14:textId="77777777">
      <w:pPr>
        <w:pStyle w:val="NormalHanging"/>
        <w:widowControl/>
        <w:ind w:left="567" w:hanging="567"/>
      </w:pPr>
      <w:r w:rsidRPr="002023B6">
        <w:t>M.</w:t>
      </w:r>
      <w:r w:rsidRPr="002023B6">
        <w:tab/>
        <w:t>mivel Afrika belső migrációval néz szembe, és az afrikai migráció mintegy 80%-a a kontinensen belül zajlik; mivel 2024-ben a Szubszaharai-Afrikában 19,3 millió új belső lakóhelyelhagyást regisztráltak, amelyből 11,5 milliót konfliktusok, 7,8 milliót pedig katasztrófák okoztak; mivel Afrikában a belső menekültek teljes száma 2015 és 2024 között elérte a 38,8 milliót, ami a világ népességének 46%-át teszi ki, és 68%-uk a Kongói Demokratikus Köztársaságból, Etiópiából, Nigériából, Szomáliából és Szudánból származik;</w:t>
      </w:r>
    </w:p>
    <w:p w:rsidR="0026691A" w:rsidRPr="002023B6" w:rsidP="005F208F" w14:paraId="0861BA32" w14:textId="2795CA4F">
      <w:pPr>
        <w:pStyle w:val="NormalHanging"/>
        <w:widowControl/>
        <w:ind w:left="567" w:hanging="567"/>
      </w:pPr>
      <w:r w:rsidRPr="002023B6">
        <w:t>N.</w:t>
      </w:r>
      <w:r w:rsidRPr="002023B6">
        <w:tab/>
        <w:t>mivel 2025 júniusáig világszerte 117,3 millió ember kényszerült elhagyni otthonát üldöztetés, konfliktus, erőszak, emberi jogi jogsértések vagy a közrendet súlyosan megzavaró események miatt; mivel közülük 42,5 millióan menekültek, 67,8 millióan belső menekültek, 8,42 millióan pedig menedékkérők voltak</w:t>
      </w:r>
      <w:r>
        <w:rPr>
          <w:rStyle w:val="FootnoteReference"/>
        </w:rPr>
        <w:footnoteReference w:id="14"/>
      </w:r>
      <w:r w:rsidRPr="002023B6">
        <w:t>;</w:t>
      </w:r>
    </w:p>
    <w:p w:rsidR="0026691A" w:rsidRPr="002023B6" w:rsidP="005F208F" w14:paraId="2830B900" w14:textId="77777777">
      <w:pPr>
        <w:pStyle w:val="NormalHanging"/>
        <w:widowControl/>
        <w:ind w:left="567" w:hanging="567"/>
      </w:pPr>
      <w:r w:rsidRPr="002023B6">
        <w:t>O.</w:t>
      </w:r>
      <w:r w:rsidRPr="002023B6">
        <w:tab/>
        <w:t>mivel az ENSZ Menekültügyi Főbiztosának Hivatala (UNHCR) globális tendenciákról szóló jelentése és felmérései azt mutatják, hogy a menekültek és a lakóhelyüket elhagyni kényszerült személyek többsége nem akarja elhagyni az országát, hanem olyan fenyegetések kényszerítik őket erre, mint a konfliktusok, az üldöztetés, az erőszak vagy a rendkívüli nehézségek; mivel egy 2023. évi UNHCR-felmérés megállapította, hogy a menekültek túlnyomó többsége inkább maradna saját közösségében, ha garantálnák biztonságukat és megélhetésüket;</w:t>
      </w:r>
    </w:p>
    <w:p w:rsidR="0026691A" w:rsidRPr="002023B6" w:rsidP="005F208F" w14:paraId="70360E9D" w14:textId="77777777">
      <w:pPr>
        <w:pStyle w:val="NormalHanging"/>
        <w:widowControl/>
        <w:ind w:left="567" w:hanging="567"/>
      </w:pPr>
      <w:r w:rsidRPr="002023B6">
        <w:t>P.</w:t>
      </w:r>
      <w:r w:rsidRPr="002023B6">
        <w:tab/>
        <w:t xml:space="preserve">mivel a fejlesztési együttműködés alapvető szerepet játszik a szegénység csökkentésében és az instabil helyzetek kezelésében a humán fejlődés támogatása, a demokrácia, a jogállamiság, a nemek közötti egyenlőség, az emberi jogok és az alapvető jogok elveinek előmozdítása és támogatása, a bűnüldözés megerősítése, valamint </w:t>
      </w:r>
      <w:r w:rsidRPr="002023B6">
        <w:t>fenntartható gazdasági lehetőségek megteremtése, a kormányzás fokozása, valamint a béke és a stabilitás előmozdítása révén, ezáltal kezelve az irreguláris migráció kiváltó okait;</w:t>
      </w:r>
    </w:p>
    <w:p w:rsidR="0026691A" w:rsidRPr="002023B6" w:rsidP="005F208F" w14:paraId="64DB802A" w14:textId="77777777">
      <w:pPr>
        <w:pStyle w:val="NormalHanging"/>
        <w:widowControl/>
        <w:ind w:left="567" w:hanging="567"/>
      </w:pPr>
      <w:r w:rsidRPr="002023B6">
        <w:t>Q.</w:t>
      </w:r>
      <w:r w:rsidRPr="002023B6">
        <w:tab/>
        <w:t>mivel a származási országokban az életkörülmények, az oktatás és a foglalkoztatási kilátások javítása kulcsfontosságú annak biztosításához, hogy az emberek saját közösségükben építhessék jövőjüket ahelyett, hogy migrációra kényszerülnének; mivel a célzott és hatékony együttműködés ezért csökkentheti az irreguláris migráció ösztönzőit azáltal, hogy előmozdítja a partnerországokban a stabilitást, a biztonságot és az önellátást;</w:t>
      </w:r>
    </w:p>
    <w:p w:rsidR="0026691A" w:rsidRPr="002023B6" w:rsidP="005F208F" w14:paraId="53D0B116" w14:textId="77777777">
      <w:pPr>
        <w:pStyle w:val="NormalHanging"/>
        <w:widowControl/>
        <w:ind w:left="567" w:hanging="567"/>
      </w:pPr>
      <w:r w:rsidRPr="002023B6">
        <w:t>R.</w:t>
      </w:r>
      <w:r w:rsidRPr="002023B6">
        <w:tab/>
        <w:t>mivel a fokozott instabilitás – többek között az éghajlatváltozással és a környezetkárosodással kapcsolatban –, valamint a természeti erőforrások kimerülése és túlzott kiaknázása hatással lehet a migrációra; mivel az összes természeti katasztrófa 90%-a vízzel kapcsolatos, ami hatással lehet az élelmiszer-ellátás bizonytalanságára, a fokozott társadalmi konfliktusokra és a migrációra;</w:t>
      </w:r>
    </w:p>
    <w:p w:rsidR="0026691A" w:rsidRPr="002023B6" w:rsidP="005F208F" w14:paraId="08266D11" w14:textId="77777777">
      <w:pPr>
        <w:pStyle w:val="NormalHanging"/>
        <w:widowControl/>
        <w:ind w:left="567" w:hanging="567"/>
      </w:pPr>
      <w:r w:rsidRPr="002023B6">
        <w:t>S.</w:t>
      </w:r>
      <w:r w:rsidRPr="002023B6">
        <w:tab/>
        <w:t>mivel az élelmiszer-ellátás bizonytalanságának magas szintje a határokon átnyúló migráció magasabb szintjéhez vezet, és a lakosság körében az élelmiszer-ellátás bizonytalanságának minden 1%-os növekedése 1,9%-kal több embert kényszerít migrációra; mivel bár a gazdasági és környezeti tényezők önmagukban nem jelentenek alapot a menedékjogra, jelentősen hozzájárulnak a kiszolgáltatottsági tényezőkhöz, amelyek nemzetközi, átfogó, védelemorientált választ tehetnek szükségessé;</w:t>
      </w:r>
    </w:p>
    <w:p w:rsidR="0026691A" w:rsidRPr="002023B6" w:rsidP="005F208F" w14:paraId="4532D102" w14:textId="77777777">
      <w:pPr>
        <w:pStyle w:val="NormalHanging"/>
        <w:widowControl/>
        <w:ind w:left="567" w:hanging="567"/>
      </w:pPr>
      <w:r w:rsidRPr="002023B6">
        <w:t>T.</w:t>
      </w:r>
      <w:r w:rsidRPr="002023B6">
        <w:tab/>
        <w:t>mivel a migrációs áramlások gyakran a természeti erőforrások – többek között a víz – szűkösségéhez kapcsolódnak; mivel világszerte 2,2 milliárd ember még mindig nem fér hozzá biztonságos ivóvízhez; mivel a vízügyi rezilienciára vonatkozó európai stratégia célja a vízgazdálkodás rezilienciájának előmozdítása, valamint a Global Gateway keretében megvalósuló megerősített országos és regionális szerepvállalás révén legalább 70 millió ember számára jobb ivóvízhez és megfelelő higiénés körülményekhez való hozzáférés biztosítása;</w:t>
      </w:r>
    </w:p>
    <w:p w:rsidR="0026691A" w:rsidRPr="002023B6" w:rsidP="005F208F" w14:paraId="49891D88" w14:textId="77777777">
      <w:pPr>
        <w:pStyle w:val="NormalHanging"/>
        <w:widowControl/>
        <w:ind w:left="567" w:hanging="567"/>
      </w:pPr>
      <w:r w:rsidRPr="002023B6">
        <w:t>U.</w:t>
      </w:r>
      <w:r w:rsidRPr="002023B6">
        <w:tab/>
        <w:t>mivel az uniós migrációs és menekültügyi paktum hangsúlyozza a migráció külső dimenziójának fontosságát a politikai párbeszéden, a kölcsönös elkötelezettségen és az útvonal egészére kiterjedő megközelítésen alapuló átfogó partnerségek kialakítása révén;</w:t>
      </w:r>
    </w:p>
    <w:p w:rsidR="0026691A" w:rsidRPr="002023B6" w:rsidP="005F208F" w14:paraId="2C3EC226" w14:textId="77777777">
      <w:pPr>
        <w:pStyle w:val="NormalHanging"/>
        <w:widowControl/>
        <w:ind w:left="567" w:hanging="567"/>
      </w:pPr>
      <w:r w:rsidRPr="002023B6">
        <w:t>V.</w:t>
      </w:r>
      <w:r w:rsidRPr="002023B6">
        <w:tab/>
        <w:t>mivel a földközi-tengeri paktum felszólít az Erasmus+ több közel-keleti és afrikai országra való kiterjesztésére a fiatalok összekapcsolása érdekében, valamint egy integráltabb és inkluzívabb felsőoktatási és készségfejlesztési környezet támogatására; mivel a paktum a tehetséggondozási partnerségek bővítésére is felszólít, többek között az uniós tehetségbázis elindítása révén, az uniós munkáltatók és a partnerországokból származó álláskeresők közötti kapcsolatok megkönnyítése érdekében;</w:t>
      </w:r>
    </w:p>
    <w:p w:rsidR="0026691A" w:rsidRPr="002023B6" w:rsidP="005F208F" w14:paraId="7EAAFA2D" w14:textId="77777777">
      <w:pPr>
        <w:pStyle w:val="NormalHanging"/>
        <w:widowControl/>
        <w:ind w:left="567" w:hanging="567"/>
      </w:pPr>
      <w:r w:rsidRPr="002023B6">
        <w:t>W.</w:t>
      </w:r>
      <w:r w:rsidRPr="002023B6">
        <w:tab/>
        <w:t>mivel a Global Gateway stratégiának és a humán fejlesztési beruházásoknak lehetőséget kell kínálniuk arra, hogy a fejlesztési együttműködést összehangolják a partnerországok prioritásaival, többek között a migrációval, előmozdítva a munkahelyteremtést, az oktatást, a szakképzést, a demokratikus értékeket és a magas szintű normákat, megerősítve a jó kormányzást és az átláthatóságot, valamint a fenntartható beruházásokat, többek között a vízbiztonság terén a származási és tranzitországokban;</w:t>
      </w:r>
    </w:p>
    <w:p w:rsidR="0026691A" w:rsidRPr="002023B6" w:rsidP="005F208F" w14:paraId="004C9068" w14:textId="77777777">
      <w:pPr>
        <w:pStyle w:val="NormalHanging"/>
        <w:widowControl/>
        <w:ind w:left="567" w:hanging="567"/>
      </w:pPr>
      <w:r w:rsidRPr="002023B6">
        <w:t>X.</w:t>
      </w:r>
      <w:r w:rsidRPr="002023B6">
        <w:tab/>
        <w:t>mivel a Global Gateway stratégiának a zöld energiával és infrastruktúrával kapcsolatos fenntartható és megbízható partnerségek előmozdítására is törekednie kell; mivel az éghajlatváltozáshoz való alkalmazkodásba és a megújuló energiába történő beruházások elengedhetetlenek a migráció társadalmi-gazdasági mozgatórugóinak kezeléséhez;</w:t>
      </w:r>
    </w:p>
    <w:p w:rsidR="0026691A" w:rsidRPr="002023B6" w:rsidP="005F208F" w14:paraId="144C833B" w14:textId="77777777">
      <w:pPr>
        <w:pStyle w:val="NormalHanging"/>
        <w:widowControl/>
        <w:ind w:left="567" w:hanging="567"/>
      </w:pPr>
      <w:r w:rsidRPr="002023B6">
        <w:t>Y.</w:t>
      </w:r>
      <w:r w:rsidRPr="002023B6">
        <w:tab/>
        <w:t>mivel a gazdasági együttműködés és a magánberuházások a szegénység csökkentésének és az önellátás növelésének fontos eszközei, amelyek ösztönzik a fenntartható és helyi növekedést a partnerországokban;</w:t>
      </w:r>
    </w:p>
    <w:p w:rsidR="0026691A" w:rsidRPr="002023B6" w:rsidP="005F208F" w14:paraId="565330AC" w14:textId="77777777">
      <w:pPr>
        <w:pStyle w:val="NormalHanging"/>
        <w:widowControl/>
        <w:ind w:left="567" w:hanging="567"/>
      </w:pPr>
      <w:r w:rsidRPr="002023B6">
        <w:t>Z.</w:t>
      </w:r>
      <w:r w:rsidRPr="002023B6">
        <w:tab/>
        <w:t>mivel az ipari fejlődés bizonyult az egyik legerősebb eszköznek az emberek szegénységből való kiemeléséhez; mivel a termelékenységi képességekbe való, társadalmilag felelős és fenntartható beruházás munkalehetőségeket teremthet, és multiplikátorhatást fejthet ki;</w:t>
      </w:r>
    </w:p>
    <w:p w:rsidR="0026691A" w:rsidRPr="002023B6" w:rsidP="005F208F" w14:paraId="507F0E35" w14:textId="77777777">
      <w:pPr>
        <w:pStyle w:val="NormalHanging"/>
        <w:widowControl/>
        <w:ind w:left="567" w:hanging="567"/>
      </w:pPr>
      <w:r w:rsidRPr="002023B6">
        <w:t>AA.</w:t>
      </w:r>
      <w:r w:rsidRPr="002023B6">
        <w:tab/>
        <w:t>mivel az emberkereskedelem és -csempészet az alapvető jogok súlyos megsértése, és megfosztja az embereket méltóságuktól, szabadságuktól és alapvető jogaiktól; mivel az emberkereskedelemmel és -csempészettel foglalkozó bűnözői hálózatok kizsákmányolják a migránsokat azáltal, hogy hasznot húznak a veszélyes utazásokból;</w:t>
      </w:r>
    </w:p>
    <w:p w:rsidR="0026691A" w:rsidRPr="002023B6" w:rsidP="005F208F" w14:paraId="3550DD7F" w14:textId="77777777">
      <w:pPr>
        <w:pStyle w:val="NormalHanging"/>
        <w:widowControl/>
        <w:ind w:left="567" w:hanging="567"/>
      </w:pPr>
      <w:r w:rsidRPr="002023B6">
        <w:t>AB.</w:t>
      </w:r>
      <w:r w:rsidRPr="002023B6">
        <w:tab/>
        <w:t>mivel néhány ország nem rendelkezik az e bűncselekmények megelőzéséhez és leküzdéséhez szükséges eszközökkel és erőforrásokkal; mivel a nemzetközi partnerségek hatékonyan hozzájárulhatnak az emberkereskedelem és -csempészet elleni küzdelemhez;</w:t>
      </w:r>
    </w:p>
    <w:p w:rsidR="0026691A" w:rsidRPr="002023B6" w:rsidP="005F208F" w14:paraId="7A4E2D98" w14:textId="77777777">
      <w:pPr>
        <w:pStyle w:val="NormalHanging"/>
        <w:widowControl/>
        <w:ind w:left="567" w:hanging="567"/>
      </w:pPr>
      <w:r w:rsidRPr="002023B6">
        <w:t>AC.</w:t>
      </w:r>
      <w:r w:rsidRPr="002023B6">
        <w:tab/>
        <w:t>mivel a fejlesztési együttműködés alapvető szerepet játszik az irreguláris migráció és a kényszerű lakóhelyelhagyás kiváltó okainak kezelésében, valamint az embercsempészet elleni küzdelemben, a menekültek és a nemzetközi védelemre szoruló személyek védelmében, a menekülteket befogadó országok támogatásában, valamint a legális beutazási lehetőségek kialakításában;</w:t>
      </w:r>
    </w:p>
    <w:p w:rsidR="0026691A" w:rsidRPr="002023B6" w:rsidP="005F208F" w14:paraId="243825F8" w14:textId="77777777">
      <w:pPr>
        <w:pStyle w:val="NormalHanging"/>
        <w:widowControl/>
        <w:ind w:left="567" w:hanging="567"/>
      </w:pPr>
      <w:r w:rsidRPr="002023B6">
        <w:t>AD.</w:t>
      </w:r>
      <w:r w:rsidRPr="002023B6">
        <w:tab/>
        <w:t>mivel a biztonság, a stabilitás, a területi integritás és a jó kormányzás a fenntartható fejlődési intézkedések előfeltételei, és mivel az EU-nak támogatnia kell a partnerországokat a bűnüldözési kapacitások és a határigazgatás megerősítésében, valamint a szervezett bűnözés elleni küzdelemben is;</w:t>
      </w:r>
    </w:p>
    <w:p w:rsidR="0026691A" w:rsidRPr="002023B6" w:rsidP="005F208F" w14:paraId="1915576A" w14:textId="77777777">
      <w:pPr>
        <w:pStyle w:val="NormalHanging"/>
        <w:widowControl/>
        <w:ind w:left="567" w:hanging="567"/>
      </w:pPr>
      <w:r w:rsidRPr="002023B6">
        <w:t>AE.</w:t>
      </w:r>
      <w:r w:rsidRPr="002023B6">
        <w:tab/>
        <w:t>mivel a migráció hatékony kezeléséhez a származási és tranzitországokkal való együttműködés megerősítésére, valamint a kiszolgáltatott személyeket kizsákmányoló bűnözői hálózatok felszámolására van szükség; mivel a partnerországok helyi fejlődésének és stabilitásának támogatása hozzájárul a migráció kiváltó okainak fenntartható kezeléséhez;</w:t>
      </w:r>
    </w:p>
    <w:p w:rsidR="0026691A" w:rsidRPr="002023B6" w:rsidP="005F208F" w14:paraId="62C73973" w14:textId="77777777">
      <w:pPr>
        <w:pStyle w:val="NormalHanging"/>
        <w:widowControl/>
        <w:ind w:left="567" w:hanging="567"/>
      </w:pPr>
      <w:r w:rsidRPr="002023B6">
        <w:t>AF.</w:t>
      </w:r>
      <w:r w:rsidRPr="002023B6">
        <w:tab/>
        <w:t>mivel a menedékkérők nemzetközi védelme szempontjából létfontosságú, hogy a fejlesztési együttműködés részeként a harmadik országok működő menekültügyi rendszerei európai támogatást kapjanak;</w:t>
      </w:r>
    </w:p>
    <w:p w:rsidR="0026691A" w:rsidRPr="002023B6" w:rsidP="005F208F" w14:paraId="0FF3D69C" w14:textId="77777777">
      <w:pPr>
        <w:pStyle w:val="NormalHanging"/>
        <w:widowControl/>
        <w:ind w:left="567" w:hanging="567"/>
      </w:pPr>
      <w:r w:rsidRPr="002023B6">
        <w:t>AG.</w:t>
      </w:r>
      <w:r w:rsidRPr="002023B6">
        <w:tab/>
        <w:t>mivel a visszatérési és visszailleszkedési politikáknak teljes mértékben tiszteletben kell tartaniuk az emberi jogokat; mivel a visszatérés és a visszailleszkedés terén folytatott együttműködés kölcsönös előnyökkel járhat, ha figyelembe veszi a származási országokba való önkéntes, méltóságteljes és fenntartható visszatérést;</w:t>
      </w:r>
    </w:p>
    <w:p w:rsidR="0026691A" w:rsidRPr="002023B6" w:rsidP="005F208F" w14:paraId="187CCC62" w14:textId="77777777">
      <w:pPr>
        <w:pStyle w:val="NormalHanging"/>
        <w:widowControl/>
        <w:ind w:left="567" w:hanging="567"/>
      </w:pPr>
      <w:r w:rsidRPr="002023B6">
        <w:t>AH.</w:t>
      </w:r>
      <w:r w:rsidRPr="002023B6">
        <w:tab/>
        <w:t>mivel a migránsok származási országukba való visszailleszkedését célzó visszafogadási megállapodások és innovatív, testre szabott projektek a partnerországokkal folytatott hatékony együttműködés szerves részét képezik;</w:t>
      </w:r>
    </w:p>
    <w:p w:rsidR="0026691A" w:rsidRPr="002023B6" w:rsidP="005F208F" w14:paraId="06B97770" w14:textId="77777777">
      <w:pPr>
        <w:pStyle w:val="NormalHanging"/>
        <w:widowControl/>
        <w:ind w:left="567" w:hanging="567"/>
      </w:pPr>
      <w:r w:rsidRPr="002023B6">
        <w:t>AI.</w:t>
      </w:r>
      <w:r w:rsidRPr="002023B6">
        <w:tab/>
        <w:t>mivel a fejlesztési együttműködés döntő szerepet játszik a lakóhelyüket elhagyni kényszerült lakosság és a befogadó közösségek társadalmi-gazdasági integrációjának támogatásában, valamint a kiszolgáltatott helyzetben lévő személyek, köztük a nők, a gyermekek és a fogyatékossággal élő személyek védelmében;</w:t>
      </w:r>
    </w:p>
    <w:p w:rsidR="0026691A" w:rsidRPr="002023B6" w:rsidP="005F208F" w14:paraId="1427C122" w14:textId="77777777">
      <w:pPr>
        <w:pStyle w:val="NormalHanging"/>
        <w:widowControl/>
        <w:ind w:left="567" w:hanging="567"/>
      </w:pPr>
      <w:r w:rsidRPr="002023B6">
        <w:t>AJ.</w:t>
      </w:r>
      <w:r w:rsidRPr="002023B6">
        <w:tab/>
        <w:t>mivel a migráció hozzájárulhat a fenntartható fejlődéshez és az inkluzív növekedéshez mind a származási, mind a célországokban, valamint a régiókon belül és azok között egyaránt; mivel a migráció gazdasági hatást gyakorol mind a célországra, mind a származási országra; mivel ez a hatás megmutatkozhat a migránsoknak az államháztartáshoz, a foglalkoztatáshoz és a munkahelyteremtéshez való hozzájárulásában, valamint a diaszpóraközösségek származási országuk gazdasági fejlődésének támogatásában betöltött szerepében;</w:t>
      </w:r>
    </w:p>
    <w:p w:rsidR="0026691A" w:rsidRPr="002023B6" w:rsidP="005F208F" w14:paraId="5428E6BA" w14:textId="77777777">
      <w:pPr>
        <w:pStyle w:val="NormalHanging"/>
        <w:widowControl/>
        <w:ind w:left="567" w:hanging="567"/>
      </w:pPr>
      <w:r w:rsidRPr="002023B6">
        <w:t>AK.</w:t>
      </w:r>
      <w:r w:rsidRPr="002023B6">
        <w:tab/>
        <w:t>mivel a diaszpóraközösségek fontos szerepet játszanak a partnerországok fejlődésében, különösen a kereskedelem és a gazdasági fejlődés előmozdításában, valamint a migrációval és a mobilitással kapcsolatos számos kérdés kezelésében; mivel az EU globális diaszpóraeszköze kulcsszerepet játszhat ebben az összefüggésben;</w:t>
      </w:r>
    </w:p>
    <w:p w:rsidR="0026691A" w:rsidRPr="002023B6" w:rsidP="005F208F" w14:paraId="4028624F" w14:textId="77777777">
      <w:pPr>
        <w:pStyle w:val="NormalHanging"/>
        <w:widowControl/>
        <w:ind w:left="567" w:hanging="567"/>
      </w:pPr>
      <w:r w:rsidRPr="002023B6">
        <w:t>AL.</w:t>
      </w:r>
      <w:r w:rsidRPr="002023B6">
        <w:tab/>
        <w:t>mivel az agyelszívás kihívást jelenthet a harmadik országok számára mind a fejlesztéssel, mind a migrációval kapcsolatos szakpolitikai célkitűzéseik elérése terén;</w:t>
      </w:r>
    </w:p>
    <w:p w:rsidR="0026691A" w:rsidRPr="002023B6" w:rsidP="005F208F" w14:paraId="68504A63" w14:textId="77777777">
      <w:pPr>
        <w:pStyle w:val="Normal12a"/>
        <w:ind w:left="567" w:hanging="567"/>
      </w:pPr>
      <w:r w:rsidRPr="002023B6">
        <w:rPr>
          <w:b/>
          <w:i/>
        </w:rPr>
        <w:t>A migráció és a fejlesztési együttműködés közötti összefüggések</w:t>
      </w:r>
    </w:p>
    <w:p w:rsidR="0026691A" w:rsidRPr="002023B6" w:rsidP="005F208F" w14:paraId="6B42A210" w14:textId="77777777">
      <w:pPr>
        <w:pStyle w:val="NormalHanging12a"/>
        <w:ind w:left="567" w:hanging="567"/>
      </w:pPr>
      <w:r w:rsidRPr="002023B6">
        <w:t>1.</w:t>
      </w:r>
      <w:r w:rsidRPr="002023B6">
        <w:tab/>
        <w:t>kiemeli a migráció és a fejlesztési együttműködés közötti összefüggést, és felhívja a Bizottságot és a tagállamokat, hogy migrációs politikáikban továbbra is kötelezzék el magukat a fejlesztési szempontú szakpolitikai koherencia mellett, teljes mértékben tiszteletben tartva az emberi jogokat és az ENSZ 2030-ig tartó időszakra vonatkozó menetrendjét;</w:t>
      </w:r>
    </w:p>
    <w:p w:rsidR="0026691A" w:rsidRPr="002023B6" w:rsidP="005F208F" w14:paraId="76502171" w14:textId="77777777">
      <w:pPr>
        <w:pStyle w:val="NormalHanging12a"/>
        <w:ind w:left="567" w:hanging="567"/>
      </w:pPr>
      <w:r w:rsidRPr="002023B6">
        <w:t>2.</w:t>
      </w:r>
      <w:r w:rsidRPr="002023B6">
        <w:tab/>
        <w:t>hangsúlyozza, hogy a fejlesztési együttműködést és az EU kül- és biztonságpolitikáját mindig teljesen koherens módon kell kidolgozni és végrehajtani, pragmatikus és kölcsönösen előnyös, eredményorientált megközelítéssel, amelynek célja a stabilitás és a gazdasági lehetőségek biztosítása a partnerországokban, beleértve a migrációs áramlások származási és tranzitországait is;</w:t>
      </w:r>
    </w:p>
    <w:p w:rsidR="0026691A" w:rsidRPr="002023B6" w:rsidP="005F208F" w14:paraId="7B1FDFF6" w14:textId="77777777">
      <w:pPr>
        <w:pStyle w:val="NormalHanging12a"/>
        <w:ind w:left="567" w:hanging="567"/>
      </w:pPr>
      <w:r w:rsidRPr="002023B6">
        <w:t>3.</w:t>
      </w:r>
      <w:r w:rsidRPr="002023B6">
        <w:tab/>
        <w:t>hangsúlyozza, hogy a fejlesztési együttműködésnek – a fenntartható fejlődési célokkal összhangban – prioritásként kell kezelnie a szegénység felszámolását, egyenlőtlenség csökkentését és a fenntartható fejlődést, a konfliktusmegelőzést és a békeépítést a gazdasági szerepvállalás, a kormányzási reformok és az emberi jogok partnerországokban történő előmozdítása, a partnerországok fejlesztési prioritásain és szükségletein alapuló hosszú távú beruházásokat is előtérbe helyezve, többek között az irreguláris migráció és a lakóhelyelhagyás kiváltó okainak kezelése során;</w:t>
      </w:r>
    </w:p>
    <w:p w:rsidR="0026691A" w:rsidRPr="002023B6" w:rsidP="005F208F" w14:paraId="10DFE093" w14:textId="77777777">
      <w:pPr>
        <w:pStyle w:val="NormalHanging12a"/>
        <w:ind w:left="567" w:hanging="567"/>
      </w:pPr>
      <w:r w:rsidRPr="002023B6">
        <w:t>4.</w:t>
      </w:r>
      <w:r w:rsidRPr="002023B6">
        <w:tab/>
        <w:t xml:space="preserve">emlékeztet arra, hogy a nőket és lányokat gyakran aránytalanul sújtják a válságok és a szegénység; felhívja ezért a Bizottságot, hogy a fejlesztési programokban alkalmazzon az emberi jogokon alapuló, a nemek közötti egyenlőség szempontját érvényesítő és a kiszolgáltatottságot figyelembe vevő megközelítést, hangsúlyozva az emberi jogi </w:t>
      </w:r>
      <w:r w:rsidRPr="002023B6">
        <w:t>kockázatok azonosításának, az enyhítő intézkedések meghozatalának és annak biztosításának fontosságát, hogy különös figyelmet fordítsanak a kiszolgáltatott helyzetben lévő valamennyi személyre, beleértve a fogyatékossággal élő személyeket, az időseket, a marginalizált közösségeket, valamint a nőket, lányokat és fiatalokat, különösen mivel a nők szerepe az instabil helyzetekben és a békeépítésben, a konfliktusmegelőzésben és a fenntartható fejlődésben döntő fontosságú, mivel gyakran frontvonalbeli reagálókként működnek, és a változás, a reziliencia és a helyreállítás alapvető katalizátorai lehetnek; kiemeli, hogy a nők döntéshozatalban, közvetítésben, éghajlat-politikai fellépésben és közösségfejlesztésben való inkluzív részvétele hatékonyabb és fenntarthatóbb eredményekhez vezet;</w:t>
      </w:r>
    </w:p>
    <w:p w:rsidR="0026691A" w:rsidRPr="002023B6" w:rsidP="005F208F" w14:paraId="77B712C8" w14:textId="77777777">
      <w:pPr>
        <w:pStyle w:val="NormalHanging12a"/>
        <w:ind w:left="567" w:hanging="567"/>
      </w:pPr>
      <w:r w:rsidRPr="002023B6">
        <w:t>5.</w:t>
      </w:r>
      <w:r w:rsidRPr="002023B6">
        <w:tab/>
        <w:t>kiemeli a Team Europe megközelítés fontosságát, amely biztosítja a migráció külső dimenziójával foglalkozó uniós intézmények és tagállamok közötti koherenciát; hangsúlyozza, hogy a Team Europe megközelítésnek össze kell hangolnia a politikai, diplomáciai, pénzügyi és technikai erőfeszítéseket olyan átfogó partnerségek kialakítása és elmélyítése érdekében, amelyek támogatják a partnerországokat a migráció biztonságos, rendezett, rendszeres és felelős kezelésében egy olyan hatékony, emberi jogokon alapuló és emberközpontú megközelítés alkalmazásával, amely a menekültek és a belső menekültek szükségleteivel is foglalkozik;</w:t>
      </w:r>
    </w:p>
    <w:p w:rsidR="0026691A" w:rsidRPr="002023B6" w:rsidP="005F208F" w14:paraId="45588961" w14:textId="77777777">
      <w:pPr>
        <w:pStyle w:val="NormalHanging12a"/>
        <w:ind w:left="567" w:hanging="567"/>
      </w:pPr>
      <w:r w:rsidRPr="002023B6">
        <w:t>6.</w:t>
      </w:r>
      <w:r w:rsidRPr="002023B6">
        <w:tab/>
        <w:t>hangsúlyozza, hogy a korrupció megelőzése és a helytelen gazdálkodás elkerülése érdekében a Bizottságnak biztosítania kell, hogy egyértelmű nyomonkövetési és értékelési mechanizmusok álljanak rendelkezésre a hatékony elszámoltathatóság és átláthatóság biztosítása érdekében az uniós költségvetés végrehajtása során, többek között a fejlesztés és a migráció kiváltó okai közötti kapcsolat kezelése során;</w:t>
      </w:r>
    </w:p>
    <w:p w:rsidR="0026691A" w:rsidRPr="002023B6" w:rsidP="005F208F" w14:paraId="709B187D" w14:textId="77777777">
      <w:pPr>
        <w:pStyle w:val="NormalHanging12a"/>
        <w:ind w:left="567" w:hanging="567"/>
      </w:pPr>
      <w:r w:rsidRPr="002023B6">
        <w:t>7.</w:t>
      </w:r>
      <w:r w:rsidRPr="002023B6">
        <w:tab/>
        <w:t>felhívja a Bizottságot és a tagállamokat, hogy fokozzák a harmadik országokkal folytatott politikai párbeszédet, erősítsék meg és dolgozzanak ki országonként olyan átfogó és kölcsönösen előnyös megközelítéseket, amelyek figyelembe veszik a származási és tranzitországok sajátos körülményeit, illetve fejlesztési és migrációs szükségleteit, különösen a humán fejlődés, a tisztességes munka, a társadalmi befogadás, valamint a migránsok, a menekültek és a belső menekültek védelme tekintetében; hangsúlyozza, hogy ennek az együttműködésnek a szolidaritáson, a közös felelősségvállaláson és az emberi jogok tiszteletben tartásán kell alapulnia;</w:t>
      </w:r>
    </w:p>
    <w:p w:rsidR="0026691A" w:rsidRPr="002023B6" w:rsidP="005F208F" w14:paraId="090773D7" w14:textId="77777777">
      <w:pPr>
        <w:pStyle w:val="NormalHanging12a"/>
        <w:ind w:left="567" w:hanging="567"/>
      </w:pPr>
      <w:r w:rsidRPr="002023B6">
        <w:t>8.</w:t>
      </w:r>
      <w:r w:rsidRPr="002023B6">
        <w:tab/>
        <w:t>hangsúlyozza, hogy világosan meg kell érteni a migráns telepeket és azok helyi hatásait; felhívja a Bizottságot és a tagállamokat, hogy dolgozzanak ki olyan stratégiát, amely kiemeli a helyi perspektíva szükségességét, megerősíti a helyi felelősségvállalást és épít a meglévő regionális prioritásokra, különösen a kontinensen belüli migrációs rendszerek támogatása révén;</w:t>
      </w:r>
    </w:p>
    <w:p w:rsidR="0026691A" w:rsidRPr="002023B6" w:rsidP="005F208F" w14:paraId="7DF3BF77" w14:textId="77777777">
      <w:pPr>
        <w:pStyle w:val="NormalHanging12a"/>
        <w:ind w:left="567" w:hanging="567"/>
      </w:pPr>
      <w:r w:rsidRPr="002023B6">
        <w:t>9.</w:t>
      </w:r>
      <w:r w:rsidRPr="002023B6">
        <w:tab/>
        <w:t>felhívja a Bizottságot, hogy kezelje prioritásként az instabil földrajzi környezeteket azáltal, hogy figyelembe veszi a migrációval kapcsolatos adatokat és a kutatáson alapuló információkat is a partnerországok szükségleteinek jobb azonosítása és prioritásaik célzottabbá tétele érdekében, többek között az irreguláris migrációval és a kényszerű lakóhelyelhagyással kapcsolatban;</w:t>
      </w:r>
    </w:p>
    <w:p w:rsidR="0026691A" w:rsidRPr="002023B6" w:rsidP="005F208F" w14:paraId="0B05398F" w14:textId="77777777">
      <w:pPr>
        <w:pStyle w:val="NormalHanging12a"/>
        <w:ind w:left="567" w:hanging="567"/>
      </w:pPr>
      <w:r w:rsidRPr="002023B6">
        <w:t>10.</w:t>
      </w:r>
      <w:r w:rsidRPr="002023B6">
        <w:tab/>
        <w:t xml:space="preserve">hangsúlyozza, hogy a Global Gateway kulcsszerepet játszhat a fenntartható gazdasági fejlődés és a munkahelyteremtés előmozdításában a partnerországokban, ezáltal segítve a helyi közösségek szerepvállalását, és lehetővé téve az egyének számára, hogy aktívan </w:t>
      </w:r>
      <w:r w:rsidRPr="002023B6">
        <w:t>hozzájáruljanak mind származási országuk, mind a befogadó közösségek fejlődéséhez, ezáltal kezelve az irreguláris migráció kiváltó okait;</w:t>
      </w:r>
    </w:p>
    <w:p w:rsidR="0026691A" w:rsidRPr="002023B6" w:rsidP="005F208F" w14:paraId="627DEA34" w14:textId="77777777">
      <w:pPr>
        <w:pStyle w:val="NormalHanging12a"/>
        <w:ind w:left="567" w:hanging="567"/>
      </w:pPr>
      <w:r w:rsidRPr="002023B6">
        <w:t>11.</w:t>
      </w:r>
      <w:r w:rsidRPr="002023B6">
        <w:tab/>
        <w:t>hangsúlyozza, hogy biztosítani kell a magánszektor nagyobb mértékű bevonását, diverzifikálni kell és végre kell hajtani a legális beutazási lehetőségeket, el kell ismerni a készségeket, be kell vonni az uniós fejlesztési bankokat, és innovatív megközelítéseket kell kidolgozni a forrásoknak a Team Europe keretében történő ötvözésére, együttal hozzájárulva a Global Gateway-hez; ösztönzi az európai magánszektor részvételét a partnerországokban zajló fejlesztési projektekben, olyan biztonságos és átlátható beruházási keret biztosításának támogatása mellett, amely megkönnyíti a kis- és középvállalkozások bevonását és a helyi termelési láncok létrehozását;</w:t>
      </w:r>
    </w:p>
    <w:p w:rsidR="0026691A" w:rsidRPr="002023B6" w:rsidP="005F208F" w14:paraId="138EC321" w14:textId="77777777">
      <w:pPr>
        <w:pStyle w:val="NormalHanging12a"/>
        <w:ind w:left="567" w:hanging="567"/>
      </w:pPr>
      <w:r w:rsidRPr="002023B6">
        <w:t>12.</w:t>
      </w:r>
      <w:r w:rsidRPr="002023B6">
        <w:tab/>
        <w:t>hangsúlyozza, hogy a vízhiány, a környezetkárosodás, a talajromlás, az erdőirtás és az éghajlattal kapcsolatos egyéb katasztrófák a migrációs áramlások, többek között a kényszerű lakóhelyelhagyás mögötti tényezők; hangsúlyozza, hogy a környezetkárosodás és az éghajlatváltozás okozta katasztrófák miatt lakóhelyüket elhagyni kényszerült személyeknek megfelelő támogatásra van szükségük; felhívja a Bizottságot és a tagállamokat, hogy a fejlesztési programokon belül kezeljék prioritásként a fenntartható természetierőforrás-gazdálkodásba – többek között a víz- és talajvédelembe, az újraerdősítésbe, az éghajlatváltozás hatásaival szemben reziliens mezőgazdaságba és a megújuló energiába – történő beruházásokat a társadalmi kohézió és a közösségek rezilienciájának megerősítése, a természeti erőforrásokkal kapcsolatos feszültségek megelőzése és az emberek arra vontakozó lehetőségeinek növelése érdekében, hogy fenntartható életet építsenek származási országukban;</w:t>
      </w:r>
    </w:p>
    <w:p w:rsidR="0026691A" w:rsidRPr="002023B6" w:rsidP="005F208F" w14:paraId="66E09497" w14:textId="77777777">
      <w:pPr>
        <w:pStyle w:val="NormalHanging12a"/>
        <w:ind w:left="567" w:hanging="567"/>
      </w:pPr>
      <w:r w:rsidRPr="002023B6">
        <w:t>13.</w:t>
      </w:r>
      <w:r w:rsidRPr="002023B6">
        <w:tab/>
        <w:t>hangsúlyozza, hogy az EU-nak holisztikus megközelítést kell alkalmaznia a helyi szintre összpontosítva, azzal a céllal, hogy fejlesztési támogatást nyújtson a strukturális fejlődéshez a demokrácia, a jogállamiság, a szabályokon alapuló rend és intézmények támogatása révén, hogy fenntartható hatást érjen el;</w:t>
      </w:r>
    </w:p>
    <w:p w:rsidR="0026691A" w:rsidRPr="002023B6" w:rsidP="005F208F" w14:paraId="50B14942" w14:textId="77777777">
      <w:pPr>
        <w:pStyle w:val="NormalHanging12a"/>
        <w:ind w:left="567" w:hanging="567"/>
      </w:pPr>
      <w:r w:rsidRPr="002023B6">
        <w:t>14.</w:t>
      </w:r>
      <w:r w:rsidRPr="002023B6">
        <w:tab/>
        <w:t>hangsúlyozza annak fontosságát, hogy a fejlesztési programokat a helyi hatóságokkal, a civil társadalommal és a magánszektorral szoros együttműködésben hajtsák végre;</w:t>
      </w:r>
    </w:p>
    <w:p w:rsidR="0026691A" w:rsidRPr="002023B6" w:rsidP="005F208F" w14:paraId="3C54521A" w14:textId="77777777">
      <w:pPr>
        <w:pStyle w:val="NormalHanging12a"/>
        <w:ind w:left="567" w:hanging="567"/>
      </w:pPr>
      <w:r w:rsidRPr="002023B6">
        <w:t>15.</w:t>
      </w:r>
      <w:r w:rsidRPr="002023B6">
        <w:tab/>
        <w:t>hangsúlyozza, hogy az embercsempészet és -kereskedelem elleni küzdelem érdekében meg kell erősíteni a partnerországokkal – adott esetben a helyi hatóságokkal, a biztonsági erőkkel és a civil társadalmi szervezetekkel – folytatott nemzetközi és többoldalú együttműködést a bűnmegelőzés, az áldozatok védelme, a bűnüldözés hatékonyságának növelése, a dezinformáció ellensúlyozására irányuló társadalmi tudatosságot növelő kampányok, az elkövetők büntetőjogi felelősségre vonása, valamint a migránsok bűnszervezetek és embercsempészek általi kizsákmányolásának megelőzése terén, továbbá biztonságosabb alternatívák biztosítása révén, a biztonságos és szabályos migráció, valamint a munkaerő-mobilitás jogi csatornáinak létrehozásával; hangsúlyozza, hogy jogszerű alternatív migrációs útvonalak hiányában a szigorú határellenőrzések mindössze az útvonalak megváltoztatásához, új szakaszok és tranzitországok beiktatásához vezetnek, így növelve az utazás bizonytalanságát és a migránsok kiszolgáltatottságát a csempészhálózatokkal, zsarolással és erőszakkal szemben;</w:t>
      </w:r>
    </w:p>
    <w:p w:rsidR="0026691A" w:rsidRPr="002023B6" w:rsidP="005F208F" w14:paraId="09DE8338" w14:textId="77777777">
      <w:pPr>
        <w:pStyle w:val="NormalHanging12a"/>
        <w:ind w:left="567" w:hanging="567"/>
      </w:pPr>
      <w:r w:rsidRPr="002023B6">
        <w:t>16.</w:t>
      </w:r>
      <w:r w:rsidRPr="002023B6">
        <w:tab/>
        <w:t>felhívja a Bizottságot és a tagállamokat, hogy mozdítsák elő a partnerországokkal folytatott együttműködést a migráció területén;</w:t>
      </w:r>
    </w:p>
    <w:p w:rsidR="0026691A" w:rsidRPr="002023B6" w:rsidP="005F208F" w14:paraId="385CB1AB" w14:textId="77777777">
      <w:pPr>
        <w:pStyle w:val="NormalHanging12a"/>
        <w:ind w:left="567" w:hanging="567"/>
      </w:pPr>
      <w:r w:rsidRPr="002023B6">
        <w:t>17.</w:t>
      </w:r>
      <w:r w:rsidRPr="002023B6">
        <w:tab/>
        <w:t>emlékeztet arra, hogy a humanitárius segítségnyújtásnak mindig a humanitárius elvekkel összhangban kell történnie;</w:t>
      </w:r>
    </w:p>
    <w:p w:rsidR="0026691A" w:rsidP="005F208F" w14:paraId="5718BB0C" w14:textId="77777777">
      <w:pPr>
        <w:pStyle w:val="NormalHanging12a"/>
        <w:ind w:left="567" w:hanging="567"/>
      </w:pPr>
      <w:r w:rsidRPr="002023B6">
        <w:t>18.</w:t>
      </w:r>
      <w:r w:rsidRPr="002023B6">
        <w:tab/>
        <w:t>felhívja a Bizottságot, hogy továbbra is támogassa a származási országokat és a szomszédos fogadó országokat a megnövekedett interkontinentális migrációs áramlások kezelésében;</w:t>
      </w:r>
    </w:p>
    <w:p w:rsidR="00A139BB" w:rsidRPr="002023B6" w:rsidP="005F208F" w14:paraId="1EB3F112" w14:textId="21C753BA">
      <w:pPr>
        <w:pStyle w:val="NormalHanging12a"/>
        <w:ind w:left="567" w:hanging="567"/>
      </w:pPr>
      <w:r>
        <w:t>19</w:t>
      </w:r>
      <w:r w:rsidRPr="00A139BB">
        <w:t>.</w:t>
      </w:r>
      <w:r w:rsidRPr="00A139BB">
        <w:tab/>
        <w:t>felhívja a Bizottságot és a tagállamokat, hogy erősítsék meg a migránsok eszközként való felhasználásának megelőzésére és az erre való reagálásra irányuló kapacitásukat; hangsúlyozza, hogy megerősített együttműködésre van szükség a partnerországokkal és az érintett ügynökségekkel az ilyen fellépések észlelése, megelőzése és leküzdése érdekében;</w:t>
      </w:r>
    </w:p>
    <w:p w:rsidR="0026691A" w:rsidRPr="002023B6" w:rsidP="005F208F" w14:paraId="6ACC9199" w14:textId="76E3BBD7">
      <w:pPr>
        <w:pStyle w:val="NormalHanging12a"/>
        <w:ind w:left="567" w:hanging="567"/>
      </w:pPr>
      <w:r>
        <w:t>20</w:t>
      </w:r>
      <w:r w:rsidRPr="002023B6">
        <w:t>.</w:t>
      </w:r>
      <w:r w:rsidRPr="002023B6">
        <w:tab/>
        <w:t>hangsúlyozza, hogy a közfinanszírozás döntő fontosságú a partnerországok számára, és hogy a magánberuházások hozzájárulhatnak az uniós fejlesztési politika célkitűzéseinek eléréséhez, megjegyzi, hogy az EU beruházási garanciái beruházásokra ösztönzik a vállalatokat, feltéve, hogy szigorú átvilágítást végeznek a szociális, környezetvédelmi és irányítási normáknak való megfelelés, valamint a fenntartható fejlődési célokkal való összhang biztosítása érdekében; emlékeztet arra, hogy a fenntartható fejlődési célok elérése elengedhetetlen a harmadik országokban való megélhetés javításához;</w:t>
      </w:r>
    </w:p>
    <w:p w:rsidR="0026691A" w:rsidRPr="002023B6" w:rsidP="005F208F" w14:paraId="44FA9D68" w14:textId="19AA2CEE">
      <w:pPr>
        <w:pStyle w:val="NormalHanging12a"/>
        <w:ind w:left="567" w:hanging="567"/>
      </w:pPr>
      <w:r>
        <w:t>21</w:t>
      </w:r>
      <w:r w:rsidRPr="002023B6">
        <w:t>.</w:t>
      </w:r>
      <w:r w:rsidRPr="002023B6">
        <w:tab/>
        <w:t>felszólít arra, hogy az uniós pénzügyi eszközök, valamint az Európai Fenntartható Fejlődési Alap Plusz és az Európai Beruházási Bank törekedjenek helyi gazdasági megtérülés elérésére a gazdasági autonómia és a hosszú távú fenntarthatóság megerősítése érdekében;</w:t>
      </w:r>
    </w:p>
    <w:p w:rsidR="0026691A" w:rsidRPr="002023B6" w:rsidP="005F208F" w14:paraId="5D757E50" w14:textId="308A69D3">
      <w:pPr>
        <w:pStyle w:val="NormalHanging12a"/>
        <w:ind w:left="567" w:hanging="567"/>
      </w:pPr>
      <w:r>
        <w:t>22</w:t>
      </w:r>
      <w:r w:rsidRPr="002023B6">
        <w:t>.</w:t>
      </w:r>
      <w:r w:rsidRPr="002023B6">
        <w:tab/>
        <w:t>emlékeztet arra, hogy az ODA továbbra is a szegénység csökkentésének, az egyenlőtlenségek kezelésének és a legkiszolgáltatottabb közösségek támogatásának létfontosságú eszköze; határozottan bírálja az ODA vezető globális adományozók általi drasztikus csökkentését; felszólítja az EU-t és tagállamait, hogy tartsák tiszteletben azon kötelezettségvállalásukat, hogy bruttó nemzeti jövedelmük 0,7%-át ODA-ra fordítják;</w:t>
      </w:r>
    </w:p>
    <w:p w:rsidR="0026691A" w:rsidRPr="002023B6" w:rsidP="005F208F" w14:paraId="7F7BB39A" w14:textId="490A8271">
      <w:pPr>
        <w:pStyle w:val="NormalHanging12a"/>
        <w:ind w:left="567" w:hanging="567"/>
      </w:pPr>
      <w:r>
        <w:t>23</w:t>
      </w:r>
      <w:r w:rsidRPr="002023B6">
        <w:t>.</w:t>
      </w:r>
      <w:r w:rsidRPr="002023B6">
        <w:tab/>
        <w:t>felhívja a Bizottságot, hogy biztosítsa a nagyobb elszámoltathatóságot, átláthatóságot és parlamenti felügyeletet valamennyi uniós finanszírozás kialakítása és végrehajtása során, beleértve a küszöbön álló Globális Európa Eszközt is, amelynek prioritásként kell kezelnie a fenntartható fejlődési célok végrehajtását, többek között az irreguláris migrációval kapcsolatos kihívások kezelése tekintetében is;</w:t>
      </w:r>
    </w:p>
    <w:p w:rsidR="0026691A" w:rsidRPr="002023B6" w:rsidP="005F208F" w14:paraId="47A61467" w14:textId="333B0B22">
      <w:pPr>
        <w:pStyle w:val="NormalHanging12a"/>
        <w:ind w:left="567" w:hanging="567"/>
      </w:pPr>
      <w:r>
        <w:t>24</w:t>
      </w:r>
      <w:r w:rsidRPr="002023B6">
        <w:t>.</w:t>
      </w:r>
      <w:r w:rsidRPr="002023B6">
        <w:tab/>
        <w:t>hangsúlyozza, hogy a mezőgazdasági és vidékfejlesztés, valamint az élelmiszer- és táplálkozáspolitika hozzájárulhat a migráció egyes kiváltó okaira való reagáláshoz; emlékeztet arra, hogy a földhöz és a természeti erőforrásokhoz való hozzáférés elengedhetetlen a helyi közösségek élelmezés- és táplálkozásbiztonságának biztosításához, a mezőgazdasági kistermelők termelékenységének javításához – a termelést az éghajlatváltozáshoz igazítva –, valamint az Élelmezési és Mezőgazdasági Szervezet földtulajdonra és -használatra vonatkozó önkéntes iránymutatásai végrehajtásának előmozdításához, amelyek prioritásként kezelik a földdel kapcsolatos jogok jogosultjainak, különösen a nőknek a jogait és szükségleteit;</w:t>
      </w:r>
    </w:p>
    <w:p w:rsidR="0026691A" w:rsidRPr="002023B6" w:rsidP="005F208F" w14:paraId="49699E31" w14:textId="7B26E845">
      <w:pPr>
        <w:pStyle w:val="NormalHanging12a"/>
        <w:ind w:left="567" w:hanging="567"/>
      </w:pPr>
      <w:r>
        <w:t>25</w:t>
      </w:r>
      <w:r w:rsidRPr="002023B6">
        <w:t>.</w:t>
      </w:r>
      <w:r w:rsidRPr="002023B6">
        <w:tab/>
        <w:t xml:space="preserve">felkéri a Bizottságot, hogy a migráció kiváltó okainak kezelése érdekében fejlesztési stratégiái részeként növelje a partnerországok felsőoktatási intézményeinek, valamint műszaki és szakoktatásának és -képzésének támogatását; hangsúlyozza a humán </w:t>
      </w:r>
      <w:r w:rsidRPr="002023B6">
        <w:t>fejlődés megerősítésének fontosságát a készségekbe való helyi beruházás révén; felhívja a Bizottságot, hogy segítse a partnerországokat az e tekintetben szükséges kapacitásépítésben; felszólít továbbá a fiatalok által irányított kezdeményezések fokozott támogatására a készségek, az innováció és a cserekapcsolatok megerősítése, valamint a migrációnak mint a fenntartható fejlődés hajtóerejének kiaknázása érdekében;</w:t>
      </w:r>
    </w:p>
    <w:p w:rsidR="0026691A" w:rsidRPr="002023B6" w:rsidP="005F208F" w14:paraId="73E6916B" w14:textId="1EA9A5DD">
      <w:pPr>
        <w:pStyle w:val="NormalHanging12a"/>
        <w:ind w:left="567" w:hanging="567"/>
      </w:pPr>
      <w:r>
        <w:t>26</w:t>
      </w:r>
      <w:r w:rsidRPr="002023B6">
        <w:t>.</w:t>
      </w:r>
      <w:r w:rsidRPr="002023B6">
        <w:tab/>
        <w:t>felhívja a Bizottságot, hogy tárja fel az uniós tehetséggondozási partnerség további lehetőségeit több harmadik országgal, különösen azokkal, ahol magas a kivándorlási arány;</w:t>
      </w:r>
    </w:p>
    <w:p w:rsidR="0026691A" w:rsidRPr="002023B6" w:rsidP="005F208F" w14:paraId="6F65AAFB" w14:textId="6D4CE06E">
      <w:pPr>
        <w:pStyle w:val="NormalHanging12a"/>
        <w:ind w:left="567" w:hanging="567"/>
      </w:pPr>
      <w:r>
        <w:t>27</w:t>
      </w:r>
      <w:r w:rsidRPr="002023B6">
        <w:t>.</w:t>
      </w:r>
      <w:r w:rsidRPr="002023B6">
        <w:tab/>
        <w:t>hangsúlyozza, hogy a gazdasági szerepvállalás és a tisztességes munkahelyek létrehozása az egyenlőtlenségek csökkentésének elsődleges eszközei, javítják a megélhetést a származási országokban, és ezáltal korlátozzák az irreguláris migráció okait; felszólít arra, hogy az uniós finanszírozás a helyi vállalkozásokat és az állami infrastruktúrát is támogassa;</w:t>
      </w:r>
    </w:p>
    <w:p w:rsidR="0026691A" w:rsidRPr="002023B6" w:rsidP="005F208F" w14:paraId="2A5D5BCA" w14:textId="394AD14D">
      <w:pPr>
        <w:pStyle w:val="NormalHanging12a"/>
        <w:ind w:left="567" w:hanging="567"/>
      </w:pPr>
      <w:r>
        <w:t>28</w:t>
      </w:r>
      <w:r w:rsidRPr="002023B6">
        <w:t>.</w:t>
      </w:r>
      <w:r w:rsidRPr="002023B6">
        <w:tab/>
        <w:t>hangsúlyozza, hogy a fiataloknak a partnerségek középpontjában kell állniuk, és elengedhetetlenek a fenntartható fejlődéshez; hangsúlyozza az olyan csereprogramok támogatásának fontosságát, mint az Erasmus+ és más ifjúsági mobilitási és készségfejlesztési programok, hogy oktatást és foglalkoztatási lehetőségeket biztosítsanak, és lehetővé tegyék a fiatalok számára, hogy származási országukban boldoguljanak;</w:t>
      </w:r>
    </w:p>
    <w:p w:rsidR="0026691A" w:rsidRPr="002023B6" w:rsidP="005F208F" w14:paraId="5A9730EB" w14:textId="064C3BD6">
      <w:pPr>
        <w:pStyle w:val="NormalHanging12a"/>
        <w:ind w:left="567" w:hanging="567"/>
      </w:pPr>
      <w:r>
        <w:t>29</w:t>
      </w:r>
      <w:r w:rsidRPr="002023B6">
        <w:t>.</w:t>
      </w:r>
      <w:r w:rsidRPr="002023B6">
        <w:tab/>
        <w:t>felhívja a Bizottságot, hogy vegye fel a mezőgazdaságot és a vízgazdálkodást az együttműködés prioritásai közé, előmozdítva az önellátást javító és a migrációs nyomást csökkentő projekteket;</w:t>
      </w:r>
    </w:p>
    <w:p w:rsidR="0026691A" w:rsidRPr="002023B6" w:rsidP="005F208F" w14:paraId="753C8DB8" w14:textId="35A03172">
      <w:pPr>
        <w:pStyle w:val="NormalHanging12a"/>
        <w:ind w:left="567" w:hanging="567"/>
      </w:pPr>
      <w:r>
        <w:t>30</w:t>
      </w:r>
      <w:r w:rsidRPr="002023B6">
        <w:t>.</w:t>
      </w:r>
      <w:r w:rsidRPr="002023B6">
        <w:tab/>
        <w:t>megjegyzi, hogy a migráció és az agyelszívás kihívásokat támaszthat egy partnerország fejlődésével szemben azáltal, hogy csökkenti a rendelkezésre álló képzett munkaerő mennyiségét; emlékeztet arra, hogy a fejlesztési együttműködés csökkentheti ezt a kockázatot a minőségi oktatási és képzési rendszereket támogató átfogó stratégiák, a helyi foglalkoztatási lehetőségek megerősítése, valamint a tudás- és készségtranszfer előmozdítása révén; felhívja ezért a Bizottságot, hogy folytassa az e területen végzett munkáját, beleértve az agyelszívás kérdésének a fejlesztéspolitikai kereten és finanszírozáson keresztül történő kezelését is;</w:t>
      </w:r>
    </w:p>
    <w:p w:rsidR="0026691A" w:rsidRPr="002023B6" w:rsidP="005F208F" w14:paraId="2F15D0B1" w14:textId="5D95BECD">
      <w:pPr>
        <w:pStyle w:val="NormalHanging12a"/>
        <w:ind w:left="567" w:hanging="567"/>
      </w:pPr>
      <w:r>
        <w:t>31</w:t>
      </w:r>
      <w:r w:rsidRPr="002023B6">
        <w:t>.</w:t>
      </w:r>
      <w:r w:rsidRPr="002023B6">
        <w:tab/>
        <w:t>elismeri, hogy a diaszpóraközösségek döntő szerepet játszanak a fenntartható fejlődés, a beruházások és az innováció előmozdításában származási országukban; hangsúlyozza, hogy a diaszpórahálózatok megerősítése kölcsönös előnyökkel jár mind a partnerországok, mind az EU számára; felszólítja az EU-t és tagállamait, hogy fokozzák a diaszpóraszervezetekkel való együttműködést, és dolgozzanak ki olyan inkluzív programokat, amelyek hozzájárulnak a körkörös migráció kölcsönösen előnyös formáihoz;</w:t>
      </w:r>
    </w:p>
    <w:p w:rsidR="0026691A" w:rsidRPr="002023B6" w:rsidP="005F208F" w14:paraId="72F3F216" w14:textId="54C596E3">
      <w:pPr>
        <w:pStyle w:val="NormalHanging12a"/>
        <w:ind w:left="567" w:hanging="567"/>
      </w:pPr>
      <w:r>
        <w:t>32</w:t>
      </w:r>
      <w:r w:rsidRPr="002023B6">
        <w:t>.</w:t>
      </w:r>
      <w:r w:rsidRPr="002023B6">
        <w:tab/>
        <w:t>felhívja a Bizottságot és a tagállamokat, hogy fektessenek be figyelemfelkeltő kampányokba mind az EU-n belül, mind harmadik országokban a dezinformáció elleni küzdelem és az irreguláris migráció kockázataira vonatkozó információk terjesztése, valamint a munkaerő-migrációs kötelezettségekre vonatkozó uniós szabályok megértésének előmozdítása érdekében;</w:t>
      </w:r>
    </w:p>
    <w:p w:rsidR="0026691A" w:rsidRPr="002023B6" w:rsidP="005F208F" w14:paraId="139B2364" w14:textId="3B3A6931">
      <w:pPr>
        <w:pStyle w:val="NormalHanging12a"/>
        <w:ind w:left="567" w:hanging="567"/>
      </w:pPr>
      <w:r>
        <w:t>33</w:t>
      </w:r>
      <w:r w:rsidRPr="002023B6">
        <w:t>.</w:t>
      </w:r>
      <w:r w:rsidRPr="002023B6">
        <w:tab/>
        <w:t>felhívja a Bizottságot és a tagállamokat, hogy növeljék a jogállamiság javítására, a demokrácia támogatására, az állam- és kapacitásépítésre, a közszolgáltatásokra, többek között az egészségügyre, a tiszta vízhez való hozzáférésre és az oktatásra szánt finanszírozást;</w:t>
      </w:r>
    </w:p>
    <w:p w:rsidR="0026691A" w:rsidRPr="002023B6" w:rsidP="005F208F" w14:paraId="41A96E4C" w14:textId="4AE257C3">
      <w:pPr>
        <w:pStyle w:val="NormalHanging12a"/>
        <w:ind w:left="567" w:hanging="567"/>
      </w:pPr>
      <w:r>
        <w:t>34</w:t>
      </w:r>
      <w:r w:rsidRPr="002023B6">
        <w:t>.</w:t>
      </w:r>
      <w:r w:rsidRPr="002023B6">
        <w:tab/>
        <w:t>megerősíti, hogy a fejlesztési együttműködést és a migráció kezelését ötvöző holisztikus megközelítés elengedhetetlen a biztonság és a szolidaritás hatékony biztosításához mind az EU-n belül, mind a származási és tranzitországokban;</w:t>
      </w:r>
    </w:p>
    <w:p w:rsidR="0026691A" w:rsidRPr="002023B6" w:rsidP="005F208F" w14:paraId="1BF93194" w14:textId="684DC14F">
      <w:pPr>
        <w:pStyle w:val="NormalHanging12a"/>
        <w:ind w:left="567" w:hanging="567"/>
      </w:pPr>
      <w:r>
        <w:t>35</w:t>
      </w:r>
      <w:r w:rsidRPr="002023B6">
        <w:t>.</w:t>
      </w:r>
      <w:r w:rsidRPr="002023B6">
        <w:tab/>
        <w:t>üdvözli a humanitárius, fejlesztési és békeszereplők, különösen az ENSZ-szervezetek, más nemzetközi szervezetek és a helyi szereplők, köztük a helyi hatóságok, a civil társadalmi szervezetek, az emberijog-védők, a női szervezetek, az ifjúsági szervezetek, a nem kormányzati szervezetek, valamint a hitalapú közösségek és szervezetek kulcsfontosságú munkáját;</w:t>
      </w:r>
    </w:p>
    <w:p w:rsidR="0026691A" w:rsidRPr="002023B6" w:rsidP="005F208F" w14:paraId="41EFB7AF" w14:textId="77777777">
      <w:pPr>
        <w:pStyle w:val="NormalCenter12a"/>
        <w:ind w:left="567" w:hanging="567"/>
      </w:pPr>
      <w:r w:rsidRPr="002023B6">
        <w:t>°</w:t>
      </w:r>
    </w:p>
    <w:p w:rsidR="0026691A" w:rsidRPr="002023B6" w:rsidP="005F208F" w14:paraId="246681E7" w14:textId="77777777">
      <w:pPr>
        <w:pStyle w:val="NormalCenter12a"/>
        <w:ind w:left="567" w:hanging="567"/>
      </w:pPr>
      <w:r w:rsidRPr="002023B6">
        <w:t>°</w:t>
      </w:r>
      <w:r w:rsidRPr="002023B6">
        <w:tab/>
        <w:t>°</w:t>
      </w:r>
    </w:p>
    <w:p w:rsidR="00A8269C" w:rsidRPr="00A8269C" w:rsidP="005F208F" w14:paraId="0B923FC8" w14:textId="09FDDC01">
      <w:pPr>
        <w:pStyle w:val="NormalHanging12a"/>
        <w:ind w:left="567" w:hanging="567"/>
      </w:pPr>
      <w:r>
        <w:t>36</w:t>
      </w:r>
      <w:r w:rsidRPr="002023B6" w:rsidR="0026691A">
        <w:t>.</w:t>
      </w:r>
      <w:r w:rsidRPr="002023B6" w:rsidR="0026691A">
        <w:tab/>
        <w:t>utasítja elnökét, hogy továbbítsa ezt az állásfoglalást a Tanácsnak és a Bizottságnak, valamint az Európai Külügyi Szolgálatnak.</w:t>
      </w:r>
    </w:p>
    <w:sectPr w:rsidSect="00A8269C">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69C" w14:paraId="78DC3C6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69C" w14:paraId="481F4AA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69C" w14:paraId="5D422B6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43F29" w:rsidRPr="00A8269C" w14:paraId="0A1A70D5" w14:textId="77777777">
      <w:r w:rsidRPr="00A8269C">
        <w:separator/>
      </w:r>
    </w:p>
  </w:footnote>
  <w:footnote w:type="continuationSeparator" w:id="1">
    <w:p w:rsidR="00143F29" w:rsidRPr="00A8269C" w14:paraId="1F59E170" w14:textId="77777777">
      <w:r w:rsidRPr="00A8269C">
        <w:continuationSeparator/>
      </w:r>
    </w:p>
  </w:footnote>
  <w:footnote w:id="2">
    <w:p w:rsidR="005F208F" w:rsidRPr="00A8269C" w:rsidP="00A8269C" w14:paraId="4AF47A64" w14:textId="144FA029">
      <w:pPr>
        <w:pStyle w:val="FootnoteText"/>
        <w:ind w:left="567" w:hanging="567"/>
        <w:rPr>
          <w:sz w:val="24"/>
          <w:lang w:val="hu-HU"/>
        </w:rPr>
      </w:pPr>
      <w:r>
        <w:rPr>
          <w:rStyle w:val="FootnoteReference"/>
        </w:rPr>
        <w:footnoteRef/>
      </w:r>
      <w:r w:rsidRPr="00A8269C">
        <w:rPr>
          <w:sz w:val="24"/>
          <w:lang w:val="hu-HU"/>
        </w:rPr>
        <w:t xml:space="preserve"> </w:t>
      </w:r>
      <w:r w:rsidRPr="00A8269C">
        <w:rPr>
          <w:sz w:val="24"/>
          <w:lang w:val="hu-HU"/>
        </w:rPr>
        <w:tab/>
        <w:t xml:space="preserve">HL L 209., 2021.6.14., 1. o., ELI: </w:t>
      </w:r>
      <w:hyperlink r:id="rId1" w:tgtFrame="http://data.europa.eu/eli/reg/2021/947/oj" w:history="1">
        <w:r w:rsidRPr="00A8269C">
          <w:rPr>
            <w:rStyle w:val="Hyperlink"/>
            <w:sz w:val="24"/>
            <w:lang w:val="hu-HU"/>
          </w:rPr>
          <w:t>http://data.europa.eu/eli/reg/2021/947/oj</w:t>
        </w:r>
      </w:hyperlink>
      <w:r w:rsidRPr="00A8269C">
        <w:rPr>
          <w:sz w:val="24"/>
          <w:lang w:val="hu-HU"/>
        </w:rPr>
        <w:t>.</w:t>
      </w:r>
    </w:p>
  </w:footnote>
  <w:footnote w:id="3">
    <w:p w:rsidR="005F208F" w:rsidRPr="00A8269C" w:rsidP="00A8269C" w14:paraId="083294D5" w14:textId="3742AFE5">
      <w:pPr>
        <w:pStyle w:val="FootnoteText"/>
        <w:ind w:left="567" w:hanging="567"/>
        <w:rPr>
          <w:sz w:val="24"/>
          <w:lang w:val="hu-HU"/>
        </w:rPr>
      </w:pPr>
      <w:r>
        <w:rPr>
          <w:rStyle w:val="FootnoteReference"/>
        </w:rPr>
        <w:footnoteRef/>
      </w:r>
      <w:r w:rsidRPr="00A8269C">
        <w:rPr>
          <w:sz w:val="24"/>
          <w:lang w:val="hu-HU"/>
        </w:rPr>
        <w:t xml:space="preserve"> </w:t>
      </w:r>
      <w:r w:rsidRPr="00A8269C">
        <w:rPr>
          <w:sz w:val="24"/>
          <w:lang w:val="hu-HU"/>
        </w:rPr>
        <w:tab/>
        <w:t xml:space="preserve">HL L, 2024/1351, 2024.5.22., ELI: </w:t>
      </w:r>
      <w:hyperlink r:id="rId2" w:tgtFrame="http://data.europa.eu/eli/reg/2024/1351/oj" w:history="1">
        <w:r w:rsidRPr="00A8269C">
          <w:rPr>
            <w:rStyle w:val="Hyperlink"/>
            <w:sz w:val="24"/>
            <w:lang w:val="hu-HU"/>
          </w:rPr>
          <w:t>http://data.europa.eu/eli/reg/2024/1351/oj</w:t>
        </w:r>
      </w:hyperlink>
      <w:r w:rsidRPr="00A8269C">
        <w:rPr>
          <w:sz w:val="24"/>
          <w:lang w:val="hu-HU"/>
        </w:rPr>
        <w:t>.</w:t>
      </w:r>
    </w:p>
  </w:footnote>
  <w:footnote w:id="4">
    <w:p w:rsidR="005F208F" w:rsidRPr="00A8269C" w:rsidP="00A8269C" w14:paraId="4124B8F7" w14:textId="63EC9F93">
      <w:pPr>
        <w:pStyle w:val="FootnoteText"/>
        <w:ind w:left="567" w:hanging="567"/>
        <w:rPr>
          <w:sz w:val="24"/>
          <w:lang w:val="hu-HU"/>
        </w:rPr>
      </w:pPr>
      <w:r>
        <w:rPr>
          <w:rStyle w:val="FootnoteReference"/>
        </w:rPr>
        <w:footnoteRef/>
      </w:r>
      <w:r w:rsidRPr="00A8269C">
        <w:rPr>
          <w:sz w:val="24"/>
          <w:lang w:val="hu-HU"/>
        </w:rPr>
        <w:t xml:space="preserve"> </w:t>
      </w:r>
      <w:r w:rsidRPr="00A8269C">
        <w:rPr>
          <w:sz w:val="24"/>
          <w:lang w:val="hu-HU"/>
        </w:rPr>
        <w:tab/>
        <w:t xml:space="preserve">HL L, 2023/2862, 2023.12.28., ELI: </w:t>
      </w:r>
      <w:hyperlink r:id="rId3" w:tgtFrame="http://data.europa.eu/eli/agree_internation/2023/2862/oj" w:history="1">
        <w:r w:rsidRPr="00A8269C">
          <w:rPr>
            <w:rStyle w:val="Hyperlink"/>
            <w:sz w:val="24"/>
            <w:lang w:val="hu-HU"/>
          </w:rPr>
          <w:t>http://data.europa.eu/eli/agree_internation/2023/2862/oj</w:t>
        </w:r>
      </w:hyperlink>
      <w:r w:rsidRPr="00A8269C">
        <w:rPr>
          <w:sz w:val="24"/>
          <w:lang w:val="hu-HU"/>
        </w:rPr>
        <w:t>.</w:t>
      </w:r>
    </w:p>
  </w:footnote>
  <w:footnote w:id="5">
    <w:p w:rsidR="005F208F" w:rsidRPr="00A8269C" w:rsidP="00A8269C" w14:paraId="074302FE" w14:textId="7BECDEBE">
      <w:pPr>
        <w:pStyle w:val="FootnoteText"/>
        <w:ind w:left="567" w:hanging="567"/>
        <w:rPr>
          <w:sz w:val="24"/>
          <w:lang w:val="hu-HU"/>
        </w:rPr>
      </w:pPr>
      <w:r>
        <w:rPr>
          <w:rStyle w:val="FootnoteReference"/>
        </w:rPr>
        <w:footnoteRef/>
      </w:r>
      <w:r w:rsidRPr="00A8269C">
        <w:rPr>
          <w:sz w:val="24"/>
          <w:lang w:val="hu-HU"/>
        </w:rPr>
        <w:t xml:space="preserve"> </w:t>
      </w:r>
      <w:r w:rsidRPr="00A8269C">
        <w:rPr>
          <w:sz w:val="24"/>
          <w:lang w:val="hu-HU"/>
        </w:rPr>
        <w:tab/>
        <w:t xml:space="preserve">HL C, C/2026/576, 2026.2.24., ELI: </w:t>
      </w:r>
      <w:hyperlink r:id="rId4" w:tgtFrame="http://data.europa.eu/eli/C/2026/576/oj" w:history="1">
        <w:r w:rsidRPr="00A8269C">
          <w:rPr>
            <w:rStyle w:val="Hyperlink"/>
            <w:sz w:val="24"/>
            <w:lang w:val="hu-HU"/>
          </w:rPr>
          <w:t>http://data.europa.eu/eli/C/2026/576/oj</w:t>
        </w:r>
      </w:hyperlink>
      <w:r w:rsidRPr="00A8269C">
        <w:rPr>
          <w:sz w:val="24"/>
          <w:lang w:val="hu-HU"/>
        </w:rPr>
        <w:t>.</w:t>
      </w:r>
    </w:p>
  </w:footnote>
  <w:footnote w:id="6">
    <w:p w:rsidR="005F208F" w:rsidRPr="00A8269C" w:rsidP="00A8269C" w14:paraId="1F274780" w14:textId="758E0B19">
      <w:pPr>
        <w:pStyle w:val="FootnoteText"/>
        <w:ind w:left="567" w:hanging="567"/>
        <w:rPr>
          <w:sz w:val="24"/>
          <w:lang w:val="hu-HU"/>
        </w:rPr>
      </w:pPr>
      <w:r>
        <w:rPr>
          <w:rStyle w:val="FootnoteReference"/>
        </w:rPr>
        <w:footnoteRef/>
      </w:r>
      <w:r w:rsidRPr="00A8269C">
        <w:rPr>
          <w:sz w:val="24"/>
          <w:lang w:val="hu-HU"/>
        </w:rPr>
        <w:t xml:space="preserve"> </w:t>
      </w:r>
      <w:r w:rsidRPr="00A8269C">
        <w:rPr>
          <w:sz w:val="24"/>
          <w:lang w:val="hu-HU"/>
        </w:rPr>
        <w:tab/>
        <w:t>Talleraas, C., The role of EU development cooperation in addressing irregular migration in Africa (Az EU fejlesztési együttműködésének szerepe az afrikai irreguláris migráció kezelésében), Külső Politikák Elemzési és Támogatási Osztálya, Uniós Külső Politikák Főigazgatósága, 2025. október.</w:t>
      </w:r>
    </w:p>
  </w:footnote>
  <w:footnote w:id="7">
    <w:p w:rsidR="005F208F" w:rsidRPr="00A8269C" w:rsidP="00A8269C" w14:paraId="36A4071A" w14:textId="62B279A1">
      <w:pPr>
        <w:pStyle w:val="FootnoteText"/>
        <w:ind w:left="567" w:hanging="567"/>
        <w:rPr>
          <w:sz w:val="24"/>
          <w:lang w:val="hu-HU"/>
        </w:rPr>
      </w:pPr>
      <w:r>
        <w:rPr>
          <w:rStyle w:val="FootnoteReference"/>
        </w:rPr>
        <w:footnoteRef/>
      </w:r>
      <w:r w:rsidRPr="00A8269C">
        <w:rPr>
          <w:sz w:val="24"/>
          <w:lang w:val="hu-HU"/>
        </w:rPr>
        <w:t xml:space="preserve"> </w:t>
      </w:r>
      <w:r w:rsidRPr="00A8269C">
        <w:rPr>
          <w:sz w:val="24"/>
          <w:lang w:val="hu-HU"/>
        </w:rPr>
        <w:tab/>
        <w:t>HL C 494., 2021.12.8., 80. o.</w:t>
      </w:r>
    </w:p>
  </w:footnote>
  <w:footnote w:id="8">
    <w:p w:rsidR="005F208F" w:rsidRPr="00A8269C" w:rsidP="00A8269C" w14:paraId="1FE328B9" w14:textId="41950BBA">
      <w:pPr>
        <w:pStyle w:val="FootnoteText"/>
        <w:ind w:left="567" w:hanging="567"/>
        <w:rPr>
          <w:sz w:val="24"/>
          <w:lang w:val="hu-HU"/>
        </w:rPr>
      </w:pPr>
      <w:r>
        <w:rPr>
          <w:rStyle w:val="FootnoteReference"/>
        </w:rPr>
        <w:footnoteRef/>
      </w:r>
      <w:r w:rsidRPr="00A8269C">
        <w:rPr>
          <w:sz w:val="24"/>
          <w:lang w:val="hu-HU"/>
        </w:rPr>
        <w:t xml:space="preserve"> </w:t>
      </w:r>
      <w:r w:rsidRPr="00A8269C">
        <w:rPr>
          <w:sz w:val="24"/>
          <w:lang w:val="hu-HU"/>
        </w:rPr>
        <w:tab/>
        <w:t xml:space="preserve">Essentials of Migration Management, Drivers of international migration (A migrációkezelés alapvető elemei, A nemzetközi migráció mozgatórugói), </w:t>
      </w:r>
      <w:hyperlink r:id="rId5" w:tgtFrame="https://emm.iom.int/handbooks/global-context-international-migration/drivers-international-migration" w:history="1">
        <w:r w:rsidRPr="00A8269C">
          <w:rPr>
            <w:rStyle w:val="Hyperlink"/>
            <w:sz w:val="24"/>
            <w:lang w:val="hu-HU"/>
          </w:rPr>
          <w:t>https://emm.iom.int/handbooks/global-context-international-migration/drivers-international-migration</w:t>
        </w:r>
      </w:hyperlink>
      <w:r w:rsidRPr="00A8269C">
        <w:rPr>
          <w:sz w:val="24"/>
          <w:lang w:val="hu-HU"/>
        </w:rPr>
        <w:t>.</w:t>
      </w:r>
    </w:p>
  </w:footnote>
  <w:footnote w:id="9">
    <w:p w:rsidR="005F208F" w:rsidRPr="00A8269C" w:rsidP="00A8269C" w14:paraId="7FC65807" w14:textId="32D8849E">
      <w:pPr>
        <w:pStyle w:val="FootnoteText"/>
        <w:ind w:left="567" w:hanging="567"/>
        <w:rPr>
          <w:sz w:val="24"/>
          <w:lang w:val="hu-HU"/>
        </w:rPr>
      </w:pPr>
      <w:r>
        <w:rPr>
          <w:rStyle w:val="FootnoteReference"/>
        </w:rPr>
        <w:footnoteRef/>
      </w:r>
      <w:r w:rsidRPr="00A8269C">
        <w:rPr>
          <w:sz w:val="24"/>
          <w:lang w:val="hu-HU"/>
        </w:rPr>
        <w:t xml:space="preserve"> </w:t>
      </w:r>
      <w:r w:rsidRPr="00A8269C">
        <w:rPr>
          <w:sz w:val="24"/>
          <w:lang w:val="hu-HU"/>
        </w:rPr>
        <w:tab/>
        <w:t>Az Európai Unió Menekültügyi Ügynöksége, 3.4. Data on applications for international protection (A nemzetközi védelem iránti kérelmekre vonatkozó adatok)</w:t>
      </w:r>
      <w:hyperlink r:id="rId6" w:tgtFrame="https://euaa.europa.eu/asylum-report-2025/34-data-applications-international-protection" w:history="1">
        <w:r w:rsidRPr="00A8269C">
          <w:rPr>
            <w:rStyle w:val="Hyperlink"/>
            <w:sz w:val="24"/>
            <w:lang w:val="hu-HU"/>
          </w:rPr>
          <w:t xml:space="preserve"> https://euaa.europa.eu/asylum-report-2025/34-data-applications-international-protection?utm</w:t>
        </w:r>
      </w:hyperlink>
      <w:r w:rsidRPr="00A8269C">
        <w:rPr>
          <w:sz w:val="24"/>
          <w:lang w:val="hu-HU"/>
        </w:rPr>
        <w:t>.</w:t>
      </w:r>
    </w:p>
  </w:footnote>
  <w:footnote w:id="10">
    <w:p w:rsidR="005F208F" w:rsidRPr="00A8269C" w:rsidP="00A8269C" w14:paraId="7BAD6DD1" w14:textId="06D4D667">
      <w:pPr>
        <w:pStyle w:val="FootnoteText"/>
        <w:ind w:left="567" w:hanging="567"/>
        <w:rPr>
          <w:sz w:val="24"/>
          <w:lang w:val="hu-HU"/>
        </w:rPr>
      </w:pPr>
      <w:r>
        <w:rPr>
          <w:rStyle w:val="FootnoteReference"/>
        </w:rPr>
        <w:footnoteRef/>
      </w:r>
      <w:r w:rsidRPr="00A8269C">
        <w:rPr>
          <w:sz w:val="24"/>
          <w:lang w:val="hu-HU"/>
        </w:rPr>
        <w:t xml:space="preserve"> </w:t>
      </w:r>
      <w:r w:rsidRPr="00A8269C">
        <w:rPr>
          <w:sz w:val="24"/>
          <w:lang w:val="hu-HU"/>
        </w:rPr>
        <w:tab/>
      </w:r>
      <w:hyperlink r:id="rId7" w:tgtFrame="https://www.frontex.europa.eu/media-centre/news/news-release/frontex-irregular-border-crossings-down-26-in-2025-europe-must-stay-prepared-lyKpVb" w:history="1">
        <w:r w:rsidRPr="00A8269C">
          <w:rPr>
            <w:rStyle w:val="Hyperlink"/>
            <w:sz w:val="24"/>
            <w:lang w:val="hu-HU"/>
          </w:rPr>
          <w:t>https://www.frontex.europa.eu/media-centre/news/news-release/frontex-irregular-border-crossings-down-26-in-2025-europe-must-stay-prepared-lyKpVb</w:t>
        </w:r>
      </w:hyperlink>
      <w:r w:rsidRPr="00A8269C">
        <w:rPr>
          <w:sz w:val="24"/>
          <w:lang w:val="hu-HU"/>
        </w:rPr>
        <w:t>.</w:t>
      </w:r>
    </w:p>
  </w:footnote>
  <w:footnote w:id="11">
    <w:p w:rsidR="005F208F" w:rsidRPr="00A8269C" w:rsidP="00A8269C" w14:paraId="039DFB23" w14:textId="3A039D21">
      <w:pPr>
        <w:pStyle w:val="FootnoteText"/>
        <w:ind w:left="567" w:hanging="567"/>
        <w:rPr>
          <w:sz w:val="24"/>
          <w:lang w:val="hu-HU"/>
        </w:rPr>
      </w:pPr>
      <w:r>
        <w:rPr>
          <w:rStyle w:val="FootnoteReference"/>
        </w:rPr>
        <w:footnoteRef/>
      </w:r>
      <w:r w:rsidRPr="00A8269C">
        <w:rPr>
          <w:sz w:val="24"/>
          <w:lang w:val="hu-HU"/>
        </w:rPr>
        <w:t xml:space="preserve"> </w:t>
      </w:r>
      <w:r w:rsidRPr="00A8269C">
        <w:rPr>
          <w:sz w:val="24"/>
          <w:lang w:val="hu-HU"/>
        </w:rPr>
        <w:tab/>
        <w:t xml:space="preserve">Nem számítva az Ukrajnából érkező menedékkérőket és menekülteket, akik egyes tagállamokban átmeneti védelem alatt állnak. Eurostat, Migration to and from the EU (Eurostat, Migráció az EU-ba és az EU-ból), </w:t>
      </w:r>
      <w:hyperlink r:id="rId8" w:tgtFrame="https://ec.europa.eu/eurostat/statistics-explained/index.php?title=Migration_to_and_from_the_EU" w:history="1">
        <w:r w:rsidRPr="00A8269C">
          <w:rPr>
            <w:rStyle w:val="Hyperlink"/>
            <w:sz w:val="24"/>
            <w:lang w:val="hu-HU"/>
          </w:rPr>
          <w:t>https://ec.europa.eu/eurostat/statistics-explained/index.php?title=Migration_to_and_from_the_EU</w:t>
        </w:r>
      </w:hyperlink>
      <w:r w:rsidRPr="00A8269C">
        <w:rPr>
          <w:sz w:val="24"/>
          <w:lang w:val="hu-HU"/>
        </w:rPr>
        <w:t>.</w:t>
      </w:r>
    </w:p>
  </w:footnote>
  <w:footnote w:id="12">
    <w:p w:rsidR="005F208F" w:rsidRPr="00A8269C" w:rsidP="00A8269C" w14:paraId="47649657" w14:textId="444E3AA1">
      <w:pPr>
        <w:pStyle w:val="FootnoteText"/>
        <w:ind w:left="567" w:hanging="567"/>
        <w:rPr>
          <w:sz w:val="24"/>
          <w:lang w:val="hu-HU"/>
        </w:rPr>
      </w:pPr>
      <w:r>
        <w:rPr>
          <w:rStyle w:val="FootnoteReference"/>
        </w:rPr>
        <w:footnoteRef/>
      </w:r>
      <w:r w:rsidRPr="00A8269C">
        <w:rPr>
          <w:sz w:val="24"/>
          <w:lang w:val="hu-HU"/>
        </w:rPr>
        <w:t xml:space="preserve"> </w:t>
      </w:r>
      <w:r w:rsidRPr="00A8269C">
        <w:rPr>
          <w:sz w:val="24"/>
          <w:lang w:val="hu-HU"/>
        </w:rPr>
        <w:tab/>
        <w:t xml:space="preserve">Eurostat, Migration and asylum in Europe – 2025 edition, Irregular migration and return (Eurostat, Migráció és menekültügy Európában – 2025. évi kiadás, Irreguláris migráció és visszaküldés), </w:t>
      </w:r>
      <w:hyperlink r:id="rId9" w:anchor="irregular-migration-and-return" w:tgtFrame="https://ec.europa.eu/eurostat/web/interactive-publications/migration-2025#irregular-migration-and-return" w:history="1">
        <w:r w:rsidRPr="00A8269C">
          <w:rPr>
            <w:rStyle w:val="Hyperlink"/>
            <w:sz w:val="24"/>
            <w:lang w:val="hu-HU"/>
          </w:rPr>
          <w:t>https://ec.europa.eu/eurostat/web/interactive-publications/migration-2025#irregular-migration-and-return</w:t>
        </w:r>
      </w:hyperlink>
      <w:r w:rsidRPr="00A8269C">
        <w:rPr>
          <w:sz w:val="24"/>
          <w:lang w:val="hu-HU"/>
        </w:rPr>
        <w:t>.</w:t>
      </w:r>
    </w:p>
  </w:footnote>
  <w:footnote w:id="13">
    <w:p w:rsidR="005F208F" w:rsidRPr="00A8269C" w:rsidP="00A8269C" w14:paraId="57323F44" w14:textId="0247865F">
      <w:pPr>
        <w:pStyle w:val="FootnoteText"/>
        <w:ind w:left="567" w:hanging="567"/>
        <w:rPr>
          <w:sz w:val="24"/>
          <w:lang w:val="hu-HU"/>
        </w:rPr>
      </w:pPr>
      <w:r>
        <w:rPr>
          <w:rStyle w:val="FootnoteReference"/>
        </w:rPr>
        <w:footnoteRef/>
      </w:r>
      <w:r w:rsidRPr="00A8269C">
        <w:rPr>
          <w:sz w:val="24"/>
          <w:lang w:val="hu-HU"/>
        </w:rPr>
        <w:t xml:space="preserve"> </w:t>
      </w:r>
      <w:r w:rsidRPr="00A8269C">
        <w:rPr>
          <w:sz w:val="24"/>
          <w:lang w:val="hu-HU"/>
        </w:rPr>
        <w:tab/>
        <w:t xml:space="preserve">Eurostat, Migration and asylum in Europe – 2025 edition, Orders to leave and return (Eurostat, Migráció és menekültügy Európában – 2025. évi kiadás, Távozásra és visszaküldésre vonatkozó végzések), </w:t>
      </w:r>
      <w:hyperlink r:id="rId9" w:anchor="orders-to-leave-and-returns-of-non-eu-citizens" w:tgtFrame="https://ec.europa.eu/eurostat/web/interactive-publications/migration-2025#orders-to-leave-and-returns-of-non-eu-citizens" w:history="1">
        <w:r w:rsidRPr="00A8269C">
          <w:rPr>
            <w:rStyle w:val="Hyperlink"/>
            <w:sz w:val="24"/>
            <w:lang w:val="hu-HU"/>
          </w:rPr>
          <w:t>https://ec.europa.eu/eurostat/web/interactive-publications/migration-2025#orders-to-leave-and-returns-of-non-eu-citizens</w:t>
        </w:r>
      </w:hyperlink>
      <w:r w:rsidRPr="00A8269C">
        <w:rPr>
          <w:sz w:val="24"/>
          <w:lang w:val="hu-HU"/>
        </w:rPr>
        <w:t>.</w:t>
      </w:r>
    </w:p>
  </w:footnote>
  <w:footnote w:id="14">
    <w:p w:rsidR="005F208F" w:rsidRPr="00A8269C" w:rsidP="00A8269C" w14:paraId="339649B1" w14:textId="7A4C8407">
      <w:pPr>
        <w:pStyle w:val="FootnoteText"/>
        <w:ind w:left="567" w:hanging="567"/>
        <w:rPr>
          <w:sz w:val="24"/>
          <w:lang w:val="hu-HU"/>
        </w:rPr>
      </w:pPr>
      <w:r>
        <w:rPr>
          <w:rStyle w:val="FootnoteReference"/>
        </w:rPr>
        <w:footnoteRef/>
      </w:r>
      <w:r w:rsidRPr="00A8269C">
        <w:rPr>
          <w:sz w:val="24"/>
          <w:lang w:val="hu-HU"/>
        </w:rPr>
        <w:t xml:space="preserve"> </w:t>
      </w:r>
      <w:r w:rsidRPr="00A8269C">
        <w:rPr>
          <w:sz w:val="24"/>
          <w:lang w:val="hu-HU"/>
        </w:rPr>
        <w:tab/>
      </w:r>
      <w:hyperlink r:id="rId10" w:tgtFrame="https://www.unhcr.org/about-unhcr/overview/figures-glance" w:history="1">
        <w:r w:rsidRPr="00A8269C">
          <w:rPr>
            <w:rStyle w:val="Hyperlink"/>
            <w:sz w:val="24"/>
            <w:lang w:val="hu-HU"/>
          </w:rPr>
          <w:t>https://www.unhcr.org/about-unhcr/overview/figures-glance</w:t>
        </w:r>
      </w:hyperlink>
      <w:r w:rsidRPr="00A8269C">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69C" w14:paraId="6683843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69C" w14:paraId="2F05D51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69C" w14:paraId="193E98A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5889611">
    <w:abstractNumId w:val="9"/>
  </w:num>
  <w:num w:numId="2" w16cid:durableId="673533396">
    <w:abstractNumId w:val="9"/>
  </w:num>
  <w:num w:numId="3" w16cid:durableId="1677421554">
    <w:abstractNumId w:val="7"/>
  </w:num>
  <w:num w:numId="4" w16cid:durableId="1781609346">
    <w:abstractNumId w:val="7"/>
  </w:num>
  <w:num w:numId="5" w16cid:durableId="189153424">
    <w:abstractNumId w:val="6"/>
  </w:num>
  <w:num w:numId="6" w16cid:durableId="964969355">
    <w:abstractNumId w:val="6"/>
  </w:num>
  <w:num w:numId="7" w16cid:durableId="25451586">
    <w:abstractNumId w:val="5"/>
  </w:num>
  <w:num w:numId="8" w16cid:durableId="1327633029">
    <w:abstractNumId w:val="5"/>
  </w:num>
  <w:num w:numId="9" w16cid:durableId="104815667">
    <w:abstractNumId w:val="4"/>
  </w:num>
  <w:num w:numId="10" w16cid:durableId="1587305124">
    <w:abstractNumId w:val="4"/>
  </w:num>
  <w:num w:numId="11" w16cid:durableId="1565019332">
    <w:abstractNumId w:val="8"/>
  </w:num>
  <w:num w:numId="12" w16cid:durableId="1008798183">
    <w:abstractNumId w:val="8"/>
  </w:num>
  <w:num w:numId="13" w16cid:durableId="745765422">
    <w:abstractNumId w:val="3"/>
  </w:num>
  <w:num w:numId="14" w16cid:durableId="755442037">
    <w:abstractNumId w:val="3"/>
  </w:num>
  <w:num w:numId="15" w16cid:durableId="1629583875">
    <w:abstractNumId w:val="2"/>
  </w:num>
  <w:num w:numId="16" w16cid:durableId="1309283293">
    <w:abstractNumId w:val="2"/>
  </w:num>
  <w:num w:numId="17" w16cid:durableId="307981059">
    <w:abstractNumId w:val="1"/>
  </w:num>
  <w:num w:numId="18" w16cid:durableId="1740441740">
    <w:abstractNumId w:val="1"/>
  </w:num>
  <w:num w:numId="19" w16cid:durableId="685865801">
    <w:abstractNumId w:val="0"/>
  </w:num>
  <w:num w:numId="20" w16cid:durableId="1615598014">
    <w:abstractNumId w:val="0"/>
  </w:num>
  <w:num w:numId="21" w16cid:durableId="1459688914">
    <w:abstractNumId w:val="9"/>
  </w:num>
  <w:num w:numId="22" w16cid:durableId="569391096">
    <w:abstractNumId w:val="7"/>
  </w:num>
  <w:num w:numId="23" w16cid:durableId="931284089">
    <w:abstractNumId w:val="6"/>
  </w:num>
  <w:num w:numId="24" w16cid:durableId="1207138610">
    <w:abstractNumId w:val="5"/>
  </w:num>
  <w:num w:numId="25" w16cid:durableId="376247809">
    <w:abstractNumId w:val="4"/>
  </w:num>
  <w:num w:numId="26" w16cid:durableId="299843203">
    <w:abstractNumId w:val="8"/>
  </w:num>
  <w:num w:numId="27" w16cid:durableId="921990916">
    <w:abstractNumId w:val="3"/>
  </w:num>
  <w:num w:numId="28" w16cid:durableId="250699667">
    <w:abstractNumId w:val="2"/>
  </w:num>
  <w:num w:numId="29" w16cid:durableId="534079680">
    <w:abstractNumId w:val="1"/>
  </w:num>
  <w:num w:numId="30" w16cid:durableId="1224632681">
    <w:abstractNumId w:val="0"/>
  </w:num>
  <w:num w:numId="31" w16cid:durableId="1309743378">
    <w:abstractNumId w:val="9"/>
  </w:num>
  <w:num w:numId="32" w16cid:durableId="1097094154">
    <w:abstractNumId w:val="7"/>
  </w:num>
  <w:num w:numId="33" w16cid:durableId="412818921">
    <w:abstractNumId w:val="6"/>
  </w:num>
  <w:num w:numId="34" w16cid:durableId="31461363">
    <w:abstractNumId w:val="5"/>
  </w:num>
  <w:num w:numId="35" w16cid:durableId="935669726">
    <w:abstractNumId w:val="4"/>
  </w:num>
  <w:num w:numId="36" w16cid:durableId="971179390">
    <w:abstractNumId w:val="8"/>
  </w:num>
  <w:num w:numId="37" w16cid:durableId="2137485926">
    <w:abstractNumId w:val="3"/>
  </w:num>
  <w:num w:numId="38" w16cid:durableId="1975328088">
    <w:abstractNumId w:val="2"/>
  </w:num>
  <w:num w:numId="39" w16cid:durableId="588972595">
    <w:abstractNumId w:val="1"/>
  </w:num>
  <w:num w:numId="40" w16cid:durableId="1053114186">
    <w:abstractNumId w:val="0"/>
  </w:num>
  <w:num w:numId="41" w16cid:durableId="967275188">
    <w:abstractNumId w:val="10"/>
  </w:num>
  <w:num w:numId="42" w16cid:durableId="1201672604">
    <w:abstractNumId w:val="10"/>
  </w:num>
  <w:num w:numId="43" w16cid:durableId="153961199">
    <w:abstractNumId w:val="10"/>
  </w:num>
  <w:num w:numId="44" w16cid:durableId="20149148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29"/>
    <w:rsid w:val="00002272"/>
    <w:rsid w:val="00064002"/>
    <w:rsid w:val="000677B9"/>
    <w:rsid w:val="000831BA"/>
    <w:rsid w:val="000A42CC"/>
    <w:rsid w:val="000E7DD9"/>
    <w:rsid w:val="0010095E"/>
    <w:rsid w:val="00125B37"/>
    <w:rsid w:val="00143F29"/>
    <w:rsid w:val="00187494"/>
    <w:rsid w:val="001F32AE"/>
    <w:rsid w:val="002023B6"/>
    <w:rsid w:val="0026691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0E9"/>
    <w:rsid w:val="00560270"/>
    <w:rsid w:val="005C2568"/>
    <w:rsid w:val="005F1B17"/>
    <w:rsid w:val="005F208F"/>
    <w:rsid w:val="006037C0"/>
    <w:rsid w:val="006631B6"/>
    <w:rsid w:val="00680577"/>
    <w:rsid w:val="006F74FA"/>
    <w:rsid w:val="00731ADD"/>
    <w:rsid w:val="00734777"/>
    <w:rsid w:val="00747932"/>
    <w:rsid w:val="00751A4A"/>
    <w:rsid w:val="007541D7"/>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1AC"/>
    <w:rsid w:val="00A139BB"/>
    <w:rsid w:val="00A1687D"/>
    <w:rsid w:val="00A43E52"/>
    <w:rsid w:val="00A4678D"/>
    <w:rsid w:val="00A778C7"/>
    <w:rsid w:val="00A8269C"/>
    <w:rsid w:val="00AB441E"/>
    <w:rsid w:val="00AB6293"/>
    <w:rsid w:val="00AE0928"/>
    <w:rsid w:val="00AF3B82"/>
    <w:rsid w:val="00B12E95"/>
    <w:rsid w:val="00B22876"/>
    <w:rsid w:val="00B558F0"/>
    <w:rsid w:val="00B81E53"/>
    <w:rsid w:val="00BD48FE"/>
    <w:rsid w:val="00BD7BD8"/>
    <w:rsid w:val="00BE6ADC"/>
    <w:rsid w:val="00C04F30"/>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7/2026"/>
    <w:docVar w:name="dvlangue" w:val="HU"/>
    <w:docVar w:name="dvnumam" w:val="0"/>
    <w:docVar w:name="dvpe" w:val="776.883"/>
    <w:docVar w:name="dvrapporteur" w:val="Előadó: "/>
    <w:docVar w:name="dvtitre" w:val="Az Európai Parlament 2026.  ...-i állásfoglalása a fejlesztési együttműködés megerősítéséről a partnerországokban tapasztalható szabálytalan migrációs mozgások és azok kiváltó okainak kezelése érdekében(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09727C0"/>
  <w15:chartTrackingRefBased/>
  <w15:docId w15:val="{00F2CE97-A546-411D-BEA2-B41B5FF7D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6691A"/>
    <w:pPr>
      <w:widowControl/>
      <w:spacing w:after="240"/>
    </w:pPr>
    <w:rPr>
      <w:szCs w:val="24"/>
      <w:lang w:eastAsia="en-US"/>
    </w:rPr>
  </w:style>
  <w:style w:type="paragraph" w:customStyle="1" w:styleId="NormalHanging12a">
    <w:name w:val="NormalHanging12a"/>
    <w:basedOn w:val="Normal"/>
    <w:rsid w:val="0026691A"/>
    <w:pPr>
      <w:widowControl/>
      <w:spacing w:after="240"/>
      <w:ind w:left="566" w:hanging="566"/>
    </w:pPr>
    <w:rPr>
      <w:szCs w:val="24"/>
      <w:lang w:eastAsia="en-US"/>
    </w:rPr>
  </w:style>
  <w:style w:type="paragraph" w:customStyle="1" w:styleId="Normal12">
    <w:name w:val="Normal12"/>
    <w:basedOn w:val="Normal"/>
    <w:rsid w:val="0026691A"/>
    <w:pPr>
      <w:spacing w:after="240"/>
    </w:pPr>
    <w:rPr>
      <w:szCs w:val="24"/>
      <w:lang w:eastAsia="en-US"/>
    </w:rPr>
  </w:style>
  <w:style w:type="paragraph" w:customStyle="1" w:styleId="NormalHanging">
    <w:name w:val="NormalHanging"/>
    <w:basedOn w:val="Normal"/>
    <w:rsid w:val="0026691A"/>
    <w:pPr>
      <w:spacing w:after="240"/>
      <w:ind w:left="566" w:hanging="566"/>
    </w:pPr>
    <w:rPr>
      <w:szCs w:val="24"/>
      <w:lang w:eastAsia="en-US"/>
    </w:rPr>
  </w:style>
  <w:style w:type="paragraph" w:customStyle="1" w:styleId="NormalCenter12a">
    <w:name w:val="NormalCenter12a"/>
    <w:basedOn w:val="Normal"/>
    <w:rsid w:val="0026691A"/>
    <w:pPr>
      <w:widowControl/>
      <w:spacing w:after="240"/>
      <w:jc w:val="center"/>
    </w:pPr>
    <w:rPr>
      <w:szCs w:val="24"/>
      <w:lang w:eastAsia="en-US"/>
    </w:rPr>
  </w:style>
  <w:style w:type="character" w:styleId="Hyperlink">
    <w:name w:val="Hyperlink"/>
    <w:basedOn w:val="DefaultParagraphFont"/>
    <w:rsid w:val="0026691A"/>
    <w:rPr>
      <w:color w:val="0000FF"/>
      <w:u w:val="single"/>
    </w:rPr>
  </w:style>
  <w:style w:type="paragraph" w:styleId="Revision">
    <w:name w:val="Revision"/>
    <w:hidden/>
    <w:uiPriority w:val="99"/>
    <w:semiHidden/>
    <w:rsid w:val="005F208F"/>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unhcr.org/about-unhcr/overview/figures-glance"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4283</Words>
  <Characters>31441</Characters>
  <Application>Microsoft Office Word</Application>
  <DocSecurity>0</DocSecurity>
  <Lines>604</Lines>
  <Paragraphs>376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2026-06-16T14:04:00Z</dcterms:created>
  <dcterms:modified xsi:type="dcterms:W3CDTF">2026-06-16T14:04:00Z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A10-0147/2026</vt:lpwstr>
  </property>
  <property fmtid="{D5CDD505-2E9C-101B-9397-08002B2CF9AE}" pid="4" name="&lt;Type&gt;">
    <vt:lpwstr>RR</vt:lpwstr>
  </property>
</Properties>
</file>