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B2FE32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4CE3" w:rsidP="0010095E" w14:paraId="4DCED25F" w14:textId="77777777">
            <w:pPr>
              <w:pStyle w:val="EPName"/>
            </w:pPr>
            <w:r w:rsidRPr="00EC4CE3">
              <w:t xml:space="preserve">Parlamento </w:t>
            </w:r>
            <w:r w:rsidRPr="00EC4CE3">
              <w:t>Europeu</w:t>
            </w:r>
          </w:p>
          <w:p w:rsidR="00751A4A" w:rsidRPr="00EC4CE3" w:rsidP="005F1B17" w14:paraId="126971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4CE3">
              <w:t>2024</w:t>
            </w:r>
            <w:r w:rsidRPr="00EC4CE3" w:rsidR="00817416">
              <w:t>-202</w:t>
            </w:r>
            <w:r w:rsidRPr="00EC4C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4CE3" w:rsidP="0010095E" w14:paraId="72233186" w14:textId="77777777">
            <w:pPr>
              <w:pStyle w:val="EPLogo"/>
            </w:pPr>
            <w:r w:rsidRPr="00EC4CE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4CE3" w:rsidP="004C5D52" w14:paraId="072A4A94" w14:textId="77777777">
      <w:pPr>
        <w:pStyle w:val="LineTop"/>
      </w:pPr>
    </w:p>
    <w:p w:rsidR="00680577" w:rsidRPr="00EC4CE3" w:rsidP="00680577" w14:paraId="7C7BC975" w14:textId="77777777">
      <w:pPr>
        <w:pStyle w:val="EPBodyTA1"/>
      </w:pPr>
      <w:r w:rsidRPr="00EC4CE3">
        <w:t>TEXTOS APROVADOS</w:t>
      </w:r>
    </w:p>
    <w:p w:rsidR="00D058B8" w:rsidRPr="00EC4CE3" w:rsidP="00D058B8" w14:paraId="33EC8876" w14:textId="77777777">
      <w:pPr>
        <w:pStyle w:val="LineBottom"/>
      </w:pPr>
    </w:p>
    <w:p w:rsidR="00552358" w:rsidRPr="00EC4CE3" w:rsidP="00552358" w14:paraId="143BF38E" w14:textId="0A990A16">
      <w:pPr>
        <w:pStyle w:val="ATHeading1"/>
      </w:pPr>
      <w:bookmarkStart w:id="0" w:name="TANumber"/>
      <w:r w:rsidRPr="00EC4CE3">
        <w:t>P10_TA(2026)0</w:t>
      </w:r>
      <w:r w:rsidR="005153BF">
        <w:t>205</w:t>
      </w:r>
      <w:bookmarkEnd w:id="0"/>
    </w:p>
    <w:p w:rsidR="00552358" w:rsidRPr="00EC4CE3" w:rsidP="00552358" w14:paraId="5AFB5C83" w14:textId="77777777">
      <w:pPr>
        <w:pStyle w:val="ATHeading2"/>
      </w:pPr>
      <w:bookmarkStart w:id="1" w:name="title"/>
      <w:r w:rsidRPr="00EC4CE3">
        <w:t>Reforço da cooperação para o desenvolvimento para fazer face aos fluxos migratórios irregulares e às suas causas profundas nos países parceiros</w:t>
      </w:r>
      <w:bookmarkEnd w:id="1"/>
    </w:p>
    <w:p w:rsidR="00552358" w:rsidRPr="00EC4CE3" w:rsidP="00552358" w14:paraId="7818E3D4" w14:textId="77777777">
      <w:pPr>
        <w:rPr>
          <w:i/>
          <w:vanish/>
        </w:rPr>
      </w:pPr>
      <w:r>
        <w:rPr>
          <w:i/>
        </w:rPr>
        <w:fldChar w:fldCharType="begin"/>
      </w:r>
      <w:r w:rsidRPr="00EC4CE3">
        <w:rPr>
          <w:i/>
        </w:rPr>
        <w:instrText xml:space="preserve"> TC"(</w:instrText>
      </w:r>
      <w:bookmarkStart w:id="2" w:name="DocNumber"/>
      <w:r w:rsidRPr="00EC4CE3">
        <w:rPr>
          <w:i/>
        </w:rPr>
        <w:instrText>A10-0147/2026</w:instrText>
      </w:r>
      <w:bookmarkEnd w:id="2"/>
      <w:r w:rsidRPr="00EC4CE3">
        <w:rPr>
          <w:i/>
        </w:rPr>
        <w:instrText xml:space="preserve"> - Relator: Lukas </w:instrText>
      </w:r>
      <w:r w:rsidRPr="00EC4CE3">
        <w:rPr>
          <w:i/>
        </w:rPr>
        <w:instrText>Mandl</w:instrText>
      </w:r>
      <w:r w:rsidRPr="00EC4CE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52358" w:rsidRPr="00EC4CE3" w:rsidP="00552358" w14:paraId="6DE93ED7" w14:textId="77777777">
      <w:pPr>
        <w:rPr>
          <w:vanish/>
        </w:rPr>
      </w:pPr>
      <w:bookmarkStart w:id="3" w:name="Commission"/>
      <w:r w:rsidRPr="00EC4CE3">
        <w:rPr>
          <w:vanish/>
        </w:rPr>
        <w:t>Comissão do Desenvolvimento</w:t>
      </w:r>
      <w:bookmarkEnd w:id="3"/>
    </w:p>
    <w:p w:rsidR="00552358" w:rsidRPr="00EC4CE3" w:rsidP="00552358" w14:paraId="281C9DA4" w14:textId="77777777">
      <w:pPr>
        <w:rPr>
          <w:vanish/>
        </w:rPr>
      </w:pPr>
      <w:bookmarkStart w:id="4" w:name="PE"/>
      <w:r w:rsidRPr="00EC4CE3">
        <w:rPr>
          <w:vanish/>
        </w:rPr>
        <w:t>PE776.883</w:t>
      </w:r>
      <w:bookmarkEnd w:id="4"/>
    </w:p>
    <w:p w:rsidR="00552358" w:rsidRPr="00EC4CE3" w:rsidP="00552358" w14:paraId="44EDD371" w14:textId="15FF93B7">
      <w:pPr>
        <w:pStyle w:val="ATHeading3"/>
      </w:pPr>
      <w:bookmarkStart w:id="5" w:name="Sujet"/>
      <w:r w:rsidRPr="00EC4CE3">
        <w:t xml:space="preserve">Resolução do Parlamento Europeu, de </w:t>
      </w:r>
      <w:r w:rsidR="00EC4CE3">
        <w:t>16</w:t>
      </w:r>
      <w:r w:rsidRPr="00EC4CE3">
        <w:t xml:space="preserve"> de </w:t>
      </w:r>
      <w:r w:rsidR="00EC4CE3">
        <w:t>junho</w:t>
      </w:r>
      <w:r w:rsidRPr="00EC4CE3">
        <w:t xml:space="preserve"> de 2026, sobre o reforço da cooperação para o desenvolvimento para fazer face aos fluxos migratórios irregulares e às suas causas profundas nos países parceiros</w:t>
      </w:r>
      <w:bookmarkEnd w:id="5"/>
      <w:r w:rsidRPr="00EC4CE3">
        <w:t xml:space="preserve"> </w:t>
      </w:r>
      <w:bookmarkStart w:id="6" w:name="References"/>
      <w:r w:rsidRPr="00EC4CE3">
        <w:t>(2025/2111(INI))</w:t>
      </w:r>
      <w:bookmarkEnd w:id="6"/>
    </w:p>
    <w:p w:rsidR="009D7F27" w:rsidRPr="005153BF" w:rsidP="005153BF" w14:paraId="653A6800" w14:textId="77777777">
      <w:pPr>
        <w:pStyle w:val="Normal12"/>
        <w:spacing w:before="240"/>
        <w:rPr>
          <w:i/>
          <w:iCs/>
        </w:rPr>
      </w:pPr>
      <w:r w:rsidRPr="005153BF">
        <w:rPr>
          <w:i/>
          <w:iCs/>
        </w:rPr>
        <w:t>O Parlamento Europeu,</w:t>
      </w:r>
    </w:p>
    <w:p w:rsidR="009D7F27" w:rsidRPr="00EC4CE3" w:rsidP="009D7F27" w14:paraId="0CB4C50F" w14:textId="77777777">
      <w:pPr>
        <w:pStyle w:val="NormalHanging"/>
      </w:pPr>
      <w:r w:rsidRPr="00EC4CE3">
        <w:t>–</w:t>
      </w:r>
      <w:r w:rsidRPr="00EC4CE3">
        <w:tab/>
        <w:t>Tendo em conta os artigos 79.º e 208.º do Tratado sobre o Funcionamento da União Europeia (TFUE),</w:t>
      </w:r>
    </w:p>
    <w:p w:rsidR="009D7F27" w:rsidRPr="00EC4CE3" w:rsidP="009D7F27" w14:paraId="0DF889FF" w14:textId="77777777">
      <w:pPr>
        <w:pStyle w:val="NormalHanging"/>
      </w:pPr>
      <w:r w:rsidRPr="00EC4CE3">
        <w:t>–</w:t>
      </w:r>
      <w:r w:rsidRPr="00EC4CE3">
        <w:tab/>
        <w:t>Tendo em conta o artigo 3.º, n.º 5, e o artigo 21.º do Tratado da União Europeia (TUE),</w:t>
      </w:r>
    </w:p>
    <w:p w:rsidR="009D7F27" w:rsidRPr="00EC4CE3" w:rsidP="009D7F27" w14:paraId="12D2C24C" w14:textId="77777777">
      <w:pPr>
        <w:pStyle w:val="NormalHanging"/>
      </w:pPr>
      <w:r w:rsidRPr="00EC4CE3">
        <w:t>–</w:t>
      </w:r>
      <w:r w:rsidRPr="00EC4CE3">
        <w:tab/>
        <w:t>Tendo em conta o documento de trabalho dos serviços da Comissão, de 30 de junho de 2021, intitulado «</w:t>
      </w:r>
      <w:r w:rsidRPr="00EC4CE3">
        <w:t>Applying</w:t>
      </w:r>
      <w:r w:rsidRPr="00EC4CE3">
        <w:t xml:space="preserve"> </w:t>
      </w:r>
      <w:r w:rsidRPr="00EC4CE3">
        <w:t>the</w:t>
      </w:r>
      <w:r w:rsidRPr="00EC4CE3">
        <w:t xml:space="preserve"> </w:t>
      </w:r>
      <w:r w:rsidRPr="00EC4CE3">
        <w:t>Human</w:t>
      </w:r>
      <w:r w:rsidRPr="00EC4CE3">
        <w:t xml:space="preserve"> </w:t>
      </w:r>
      <w:r w:rsidRPr="00EC4CE3">
        <w:t>Rights</w:t>
      </w:r>
      <w:r w:rsidRPr="00EC4CE3">
        <w:t xml:space="preserve"> </w:t>
      </w:r>
      <w:r w:rsidRPr="00EC4CE3">
        <w:t>Based</w:t>
      </w:r>
      <w:r w:rsidRPr="00EC4CE3">
        <w:t xml:space="preserve"> </w:t>
      </w:r>
      <w:r w:rsidRPr="00EC4CE3">
        <w:t>Approach</w:t>
      </w:r>
      <w:r w:rsidRPr="00EC4CE3">
        <w:t xml:space="preserve"> to </w:t>
      </w:r>
      <w:r w:rsidRPr="00EC4CE3">
        <w:t>international</w:t>
      </w:r>
      <w:r w:rsidRPr="00EC4CE3">
        <w:t xml:space="preserve"> </w:t>
      </w:r>
      <w:r w:rsidRPr="00EC4CE3">
        <w:t>partnerships</w:t>
      </w:r>
      <w:r w:rsidRPr="00EC4CE3">
        <w:t xml:space="preserve"> — </w:t>
      </w:r>
      <w:r w:rsidRPr="00EC4CE3">
        <w:t>An</w:t>
      </w:r>
      <w:r w:rsidRPr="00EC4CE3">
        <w:t xml:space="preserve"> </w:t>
      </w:r>
      <w:r w:rsidRPr="00EC4CE3">
        <w:t>updated</w:t>
      </w:r>
      <w:r w:rsidRPr="00EC4CE3">
        <w:t xml:space="preserve"> </w:t>
      </w:r>
      <w:r w:rsidRPr="00EC4CE3">
        <w:t>Toolbox</w:t>
      </w:r>
      <w:r w:rsidRPr="00EC4CE3">
        <w:t xml:space="preserve"> for </w:t>
      </w:r>
      <w:r w:rsidRPr="00EC4CE3">
        <w:t>placing</w:t>
      </w:r>
      <w:r w:rsidRPr="00EC4CE3">
        <w:t xml:space="preserve"> </w:t>
      </w:r>
      <w:r w:rsidRPr="00EC4CE3">
        <w:t>rights</w:t>
      </w:r>
      <w:r w:rsidRPr="00EC4CE3">
        <w:t xml:space="preserve"> </w:t>
      </w:r>
      <w:r w:rsidRPr="00EC4CE3">
        <w:t>holders</w:t>
      </w:r>
      <w:r w:rsidRPr="00EC4CE3">
        <w:t xml:space="preserve"> </w:t>
      </w:r>
      <w:r w:rsidRPr="00EC4CE3">
        <w:t>at</w:t>
      </w:r>
      <w:r w:rsidRPr="00EC4CE3">
        <w:t xml:space="preserve"> </w:t>
      </w:r>
      <w:r w:rsidRPr="00EC4CE3">
        <w:t>the</w:t>
      </w:r>
      <w:r w:rsidRPr="00EC4CE3">
        <w:t xml:space="preserve"> centre </w:t>
      </w:r>
      <w:r w:rsidRPr="00EC4CE3">
        <w:t>of</w:t>
      </w:r>
      <w:r w:rsidRPr="00EC4CE3">
        <w:t xml:space="preserve"> </w:t>
      </w:r>
      <w:r w:rsidRPr="00EC4CE3">
        <w:t>EU’s</w:t>
      </w:r>
      <w:r w:rsidRPr="00EC4CE3">
        <w:t xml:space="preserve"> </w:t>
      </w:r>
      <w:r w:rsidRPr="00EC4CE3">
        <w:t>Neighbourhood</w:t>
      </w:r>
      <w:r w:rsidRPr="00EC4CE3">
        <w:t xml:space="preserve">, </w:t>
      </w:r>
      <w:r w:rsidRPr="00EC4CE3">
        <w:t>Development</w:t>
      </w:r>
      <w:r w:rsidRPr="00EC4CE3">
        <w:t xml:space="preserve"> </w:t>
      </w:r>
      <w:r w:rsidRPr="00EC4CE3">
        <w:t>and</w:t>
      </w:r>
      <w:r w:rsidRPr="00EC4CE3">
        <w:t xml:space="preserve"> </w:t>
      </w:r>
      <w:r w:rsidRPr="00EC4CE3">
        <w:t>International</w:t>
      </w:r>
      <w:r w:rsidRPr="00EC4CE3">
        <w:t xml:space="preserve"> </w:t>
      </w:r>
      <w:r w:rsidRPr="00EC4CE3">
        <w:t>Cooperation</w:t>
      </w:r>
      <w:r w:rsidRPr="00EC4CE3">
        <w:t>» [Aplicação da abordagem baseada nos direitos humanos às parcerias internacionais – Um conjunto de instrumentos atualizados para colocar os titulares de direitos no centro da vizinhança, do desenvolvimento e da cooperação internacional da UE] (SWD(2021)0179),</w:t>
      </w:r>
    </w:p>
    <w:p w:rsidR="009D7F27" w:rsidRPr="00EC4CE3" w:rsidP="009D7F27" w14:paraId="3A749C1A" w14:textId="060458AC">
      <w:pPr>
        <w:pStyle w:val="NormalHanging"/>
      </w:pPr>
      <w:r w:rsidRPr="00EC4CE3">
        <w:t>–</w:t>
      </w:r>
      <w:r w:rsidRPr="00EC4CE3">
        <w:tab/>
        <w:t>Tendo em conta o Regulamento (UE) 2021/947 do Parlamento Europeu e do Conselho, de 9 de junho de 2021, que cria o Instrumento de Vizinhança, de Cooperação para o Desenvolvimento e de Cooperação Internacional — Europa Global</w:t>
      </w:r>
      <w:r>
        <w:rPr>
          <w:rStyle w:val="FootnoteReference"/>
        </w:rPr>
        <w:footnoteReference w:id="2"/>
      </w:r>
      <w:r w:rsidRPr="00EC4CE3">
        <w:t>,</w:t>
      </w:r>
    </w:p>
    <w:p w:rsidR="009D7F27" w:rsidRPr="00EC4CE3" w:rsidP="009D7F27" w14:paraId="269557A8" w14:textId="77777777">
      <w:pPr>
        <w:pStyle w:val="NormalHanging"/>
      </w:pPr>
      <w:r w:rsidRPr="00EC4CE3">
        <w:t>–</w:t>
      </w:r>
      <w:r w:rsidRPr="00EC4CE3">
        <w:tab/>
        <w:t>Tendo em conta a proposta, apresentada pela Comissão em 16 de julho de 2025, de um regulamento do Parlamento Europeu e do Conselho que cria o Europa Global (COM(2025)0551),</w:t>
      </w:r>
    </w:p>
    <w:p w:rsidR="009D7F27" w:rsidRPr="00EC4CE3" w:rsidP="009D7F27" w14:paraId="4A508313" w14:textId="412F8093">
      <w:pPr>
        <w:pStyle w:val="NormalHanging"/>
      </w:pPr>
      <w:r w:rsidRPr="00EC4CE3">
        <w:t>–</w:t>
      </w:r>
      <w:r w:rsidRPr="00EC4CE3">
        <w:tab/>
        <w:t xml:space="preserve">Tendo em conta o Regulamento (UE) 2024/1351 do Parlamento Europeu e do Conselho, de 14 de maio de 2024, relativo à gestão do asilo e da migração, que altera os Regulamentos (UE) 2021/1147 e (UE) 2021/1060 e que revoga o Regulamento (UE) </w:t>
      </w:r>
      <w:r w:rsidRPr="00EC4CE3">
        <w:t>n.º 604/2013</w:t>
      </w:r>
      <w:r>
        <w:rPr>
          <w:rStyle w:val="FootnoteReference"/>
        </w:rPr>
        <w:footnoteReference w:id="3"/>
      </w:r>
      <w:r w:rsidRPr="00EC4CE3">
        <w:t>,</w:t>
      </w:r>
    </w:p>
    <w:p w:rsidR="009D7F27" w:rsidRPr="00EC4CE3" w:rsidP="009D7F27" w14:paraId="0DC14ED7" w14:textId="77777777">
      <w:pPr>
        <w:pStyle w:val="NormalHanging"/>
      </w:pPr>
      <w:r w:rsidRPr="00EC4CE3">
        <w:t>–</w:t>
      </w:r>
      <w:r w:rsidRPr="00EC4CE3">
        <w:tab/>
        <w:t>Tendo em conta a proposta da Comissão, de 11 de março de 2025, de regulamento do Parlamento Europeu e do Conselho que estabelece um sistema comum de regresso dos nacionais de países terceiros em situação irregular na União, e que revoga a Diretiva 2008/115/CE do Parlamento Europeu e do Conselho, a Diretiva 2001/40/CE do Conselho e a Decisão 2004/191/CE do Conselho (COM(2025)0101),</w:t>
      </w:r>
    </w:p>
    <w:p w:rsidR="009D7F27" w:rsidRPr="00EC4CE3" w:rsidP="009D7F27" w14:paraId="4BFA46E7" w14:textId="7AFA8052">
      <w:pPr>
        <w:pStyle w:val="NormalHanging"/>
      </w:pPr>
      <w:r w:rsidRPr="00EC4CE3">
        <w:t>–</w:t>
      </w:r>
      <w:r w:rsidRPr="00EC4CE3">
        <w:tab/>
        <w:t>Tendo em conta o Acordo de Parceria entre a União Europeia e os seus Estados-Membros, por um lado, e os Membros da Organização dos Estados de África, Caraíbas e Pacífico, por outro (Acordo de Samoa)</w:t>
      </w:r>
      <w:r>
        <w:rPr>
          <w:rStyle w:val="FootnoteReference"/>
        </w:rPr>
        <w:footnoteReference w:id="4"/>
      </w:r>
      <w:r w:rsidRPr="00EC4CE3">
        <w:t>,</w:t>
      </w:r>
    </w:p>
    <w:p w:rsidR="009D7F27" w:rsidRPr="00EC4CE3" w:rsidP="009D7F27" w14:paraId="5B7ED99E" w14:textId="77777777">
      <w:pPr>
        <w:pStyle w:val="NormalHanging"/>
      </w:pPr>
      <w:r w:rsidRPr="00EC4CE3">
        <w:t>–</w:t>
      </w:r>
      <w:r w:rsidRPr="00EC4CE3">
        <w:tab/>
        <w:t>Tendo em conta a Comunicação da Comissão, de 27 de abril de 2022, intitulada «Atrair competências e talentos para a UE» (COM(2022)0657),</w:t>
      </w:r>
    </w:p>
    <w:p w:rsidR="009D7F27" w:rsidRPr="00EC4CE3" w:rsidP="009D7F27" w14:paraId="2C6F6A1A" w14:textId="77777777">
      <w:pPr>
        <w:pStyle w:val="NormalHanging"/>
      </w:pPr>
      <w:r w:rsidRPr="00EC4CE3">
        <w:t>–</w:t>
      </w:r>
      <w:r w:rsidRPr="00EC4CE3">
        <w:tab/>
        <w:t>Tendo em conta o Pacto para o Mediterrâneo,</w:t>
      </w:r>
    </w:p>
    <w:p w:rsidR="009D7F27" w:rsidRPr="00EC4CE3" w:rsidP="009D7F27" w14:paraId="494629E8" w14:textId="77777777">
      <w:pPr>
        <w:pStyle w:val="NormalHanging"/>
      </w:pPr>
      <w:r w:rsidRPr="00EC4CE3">
        <w:t>–</w:t>
      </w:r>
      <w:r w:rsidRPr="00EC4CE3">
        <w:tab/>
        <w:t>Tendo em conta a Declaração comum do Conselho e dos representantes dos Governos dos Estados-Membros reunidos no Conselho, do Parlamento Europeu e da Comissão Europeia de 7 de junho de 2017, intitulada «O novo Consenso Europeu sobre o Desenvolvimento – O nosso mundo, a nossa dignidade, o nosso futuro»,</w:t>
      </w:r>
    </w:p>
    <w:p w:rsidR="009D7F27" w:rsidRPr="00EC4CE3" w:rsidP="009D7F27" w14:paraId="23C2878B" w14:textId="77777777">
      <w:pPr>
        <w:pStyle w:val="NormalHanging"/>
      </w:pPr>
      <w:r w:rsidRPr="00EC4CE3">
        <w:t>–</w:t>
      </w:r>
      <w:r w:rsidRPr="00EC4CE3">
        <w:tab/>
        <w:t>Tendo em conta o Fundo Fiduciário de Emergência da União Europeia para África (FFUE) e o Relatório Especial n.º 17/2024, de 25 de setembro de 2024, do Tribunal de Contas Europeu intitulado «Fundo Fiduciário da UE para África – Apesar das novas abordagens, continuou a faltar orientação ao apoio»,</w:t>
      </w:r>
    </w:p>
    <w:p w:rsidR="009D7F27" w:rsidRPr="00EC4CE3" w:rsidP="009D7F27" w14:paraId="78D6A64D" w14:textId="77777777">
      <w:pPr>
        <w:pStyle w:val="NormalHanging"/>
      </w:pPr>
      <w:r w:rsidRPr="00EC4CE3">
        <w:t>–</w:t>
      </w:r>
      <w:r w:rsidRPr="00EC4CE3">
        <w:tab/>
        <w:t>Tendo em conta a comunicação da Comissão, de 4 de junho de 2025, intitulada «Estratégia Europeia de Resiliência Hídrica» (COM(2025)0280),</w:t>
      </w:r>
    </w:p>
    <w:p w:rsidR="009D7F27" w:rsidRPr="00EC4CE3" w:rsidP="009D7F27" w14:paraId="5DB6CAC3" w14:textId="0E579828">
      <w:pPr>
        <w:pStyle w:val="NormalHanging"/>
      </w:pPr>
      <w:r w:rsidRPr="00EC4CE3">
        <w:t>–</w:t>
      </w:r>
      <w:r w:rsidRPr="00EC4CE3">
        <w:tab/>
        <w:t>Tendo em conta a sua Resolução, de 7 de maio de 2025, sobre a Estratégia Europeia de Resiliência Hídrica</w:t>
      </w:r>
      <w:r>
        <w:rPr>
          <w:rStyle w:val="FootnoteReference"/>
        </w:rPr>
        <w:footnoteReference w:id="5"/>
      </w:r>
      <w:r w:rsidRPr="00EC4CE3">
        <w:t>,</w:t>
      </w:r>
    </w:p>
    <w:p w:rsidR="009D7F27" w:rsidRPr="00EC4CE3" w:rsidP="009D7F27" w14:paraId="488D7F2B" w14:textId="38BB46EA">
      <w:pPr>
        <w:pStyle w:val="NormalHanging"/>
      </w:pPr>
      <w:r w:rsidRPr="00EC4CE3">
        <w:t>–</w:t>
      </w:r>
      <w:r w:rsidRPr="00EC4CE3">
        <w:tab/>
        <w:t>Tendo em conta a Comunicação Conjunta da Comissão e do Alto Representante da União para os Negócios Estrangeiros e a Política de Segurança, de 1 de dezembro de 2021, intitulada «A Estratégia Global Gateway» (</w:t>
      </w:r>
      <w:r w:rsidRPr="005153BF" w:rsidR="00BE1881">
        <w:t>JOIN(2021)0030</w:t>
      </w:r>
      <w:r w:rsidRPr="00EC4CE3">
        <w:t>),</w:t>
      </w:r>
    </w:p>
    <w:p w:rsidR="009D7F27" w:rsidRPr="00EC4CE3" w:rsidP="009D7F27" w14:paraId="775476C6" w14:textId="039C442C">
      <w:pPr>
        <w:pStyle w:val="NormalHanging"/>
      </w:pPr>
      <w:r w:rsidRPr="00EC4CE3">
        <w:t>–</w:t>
      </w:r>
      <w:r w:rsidRPr="00EC4CE3">
        <w:tab/>
        <w:t>Tendo em conta a comunicação conjunta da Comissão e do Alto Representante da União para os Negócios Estrangeiros e a Política de Segurança, de 2 de outubro de 2024, intitulada «Criar parcerias internacionais sustentáveis agindo enquanto Equipa Europa» (</w:t>
      </w:r>
      <w:r w:rsidRPr="005153BF" w:rsidR="00BE1881">
        <w:t>JOIN(2024)0025</w:t>
      </w:r>
      <w:r w:rsidRPr="00EC4CE3">
        <w:t>),</w:t>
      </w:r>
    </w:p>
    <w:p w:rsidR="009D7F27" w:rsidRPr="00EC4CE3" w:rsidP="009D7F27" w14:paraId="7E5D882E" w14:textId="77777777">
      <w:pPr>
        <w:pStyle w:val="NormalHanging"/>
      </w:pPr>
      <w:r w:rsidRPr="00EC4CE3">
        <w:t>–</w:t>
      </w:r>
      <w:r w:rsidRPr="00EC4CE3">
        <w:tab/>
        <w:t>Tendo em conta as Conclusões do Conselho Europeu, de 17 de outubro de 2024, sobre migração,</w:t>
      </w:r>
    </w:p>
    <w:p w:rsidR="009D7F27" w:rsidRPr="00EC4CE3" w:rsidP="009D7F27" w14:paraId="653E4F75" w14:textId="77777777">
      <w:pPr>
        <w:pStyle w:val="NormalHanging"/>
      </w:pPr>
      <w:r w:rsidRPr="00EC4CE3">
        <w:t>–</w:t>
      </w:r>
      <w:r w:rsidRPr="00EC4CE3">
        <w:tab/>
        <w:t xml:space="preserve">Tendo em conta a Resolução 73/195 da Assembleia-Geral das Nações Unidas, de 19 de dezembro de 2018, intitulada «Pacto Global para Migrações Seguras, Ordenadas e </w:t>
      </w:r>
      <w:r w:rsidRPr="00EC4CE3">
        <w:t>Regulares»,</w:t>
      </w:r>
    </w:p>
    <w:p w:rsidR="009D7F27" w:rsidRPr="00EC4CE3" w:rsidP="009D7F27" w14:paraId="227B3A5C" w14:textId="77777777">
      <w:pPr>
        <w:pStyle w:val="NormalHanging"/>
      </w:pPr>
      <w:r w:rsidRPr="00EC4CE3">
        <w:t>–</w:t>
      </w:r>
      <w:r w:rsidRPr="00EC4CE3">
        <w:tab/>
        <w:t>Tendo em conta a Resolução 71/1 da Assembleia Geral das Nações Unidas, de 19 de setembro de 2016, intitulada «Declaração de Nova Iorque sobre os Refugiados e os Migrantes»,</w:t>
      </w:r>
    </w:p>
    <w:p w:rsidR="009D7F27" w:rsidRPr="00EC4CE3" w:rsidP="009D7F27" w14:paraId="6C7AA2C0" w14:textId="77777777">
      <w:pPr>
        <w:pStyle w:val="NormalHanging"/>
      </w:pPr>
      <w:r w:rsidRPr="00EC4CE3">
        <w:t>–</w:t>
      </w:r>
      <w:r w:rsidRPr="00EC4CE3">
        <w:tab/>
        <w:t>Tendo em conta a Resolução 70/1 da Assembleia Geral das Nações Unidas, intitulada «Transformar o nosso mundo: a Agenda 2030 para o Desenvolvimento Sustentável», adotada na Cimeira das Nações Unidas sobre o Desenvolvimento Sustentável, realizada em 25 de setembro de 2015, em Nova Iorque, e que estabelece os Objetivos de Desenvolvimento Sustentável (ODS) e, em particular, a meta 7 do ODS 10,</w:t>
      </w:r>
    </w:p>
    <w:p w:rsidR="009D7F27" w:rsidRPr="00EC4CE3" w:rsidP="009D7F27" w14:paraId="37C29CF5" w14:textId="77777777">
      <w:pPr>
        <w:pStyle w:val="NormalHanging"/>
      </w:pPr>
      <w:r w:rsidRPr="00EC4CE3">
        <w:t>–</w:t>
      </w:r>
      <w:r w:rsidRPr="00EC4CE3">
        <w:tab/>
        <w:t>Tendo em conta a Convenção relativa ao Estatuto dos Refugiados, de 1951, e o respetivo Protocolo de Nova Iorque, de 1967,</w:t>
      </w:r>
    </w:p>
    <w:p w:rsidR="009D7F27" w:rsidRPr="00EC4CE3" w:rsidP="009D7F27" w14:paraId="400C2A90" w14:textId="77777777">
      <w:pPr>
        <w:pStyle w:val="NormalHanging"/>
      </w:pPr>
      <w:r w:rsidRPr="00EC4CE3">
        <w:t>–</w:t>
      </w:r>
      <w:r w:rsidRPr="00EC4CE3">
        <w:tab/>
        <w:t>Tendo em conta as orientações do Comité de Ajuda ao Desenvolvimento da Organização de Cooperação e de Desenvolvimento Económicos sobre as atividades relacionadas com a migração no âmbito da ajuda pública ao desenvolvimento (APD) e o conjunto de instrumentos conexo,</w:t>
      </w:r>
    </w:p>
    <w:p w:rsidR="009D7F27" w:rsidRPr="00EC4CE3" w:rsidP="009D7F27" w14:paraId="2DC99BB3" w14:textId="77777777">
      <w:pPr>
        <w:pStyle w:val="NormalHanging"/>
      </w:pPr>
      <w:r w:rsidRPr="00EC4CE3">
        <w:t>–</w:t>
      </w:r>
      <w:r w:rsidRPr="00EC4CE3">
        <w:tab/>
        <w:t>Tendo em conta a Convenção Europeia dos Direitos Humanos de 1950,</w:t>
      </w:r>
    </w:p>
    <w:p w:rsidR="009D7F27" w:rsidRPr="00EC4CE3" w:rsidP="009D7F27" w14:paraId="2A66DD26" w14:textId="5B4D576C">
      <w:pPr>
        <w:pStyle w:val="NormalHanging"/>
      </w:pPr>
      <w:r w:rsidRPr="00EC4CE3">
        <w:t>–</w:t>
      </w:r>
      <w:r w:rsidRPr="00EC4CE3">
        <w:tab/>
        <w:t>Tendo em conta o estudo da Comissão do Desenvolvimento sobre o papel da cooperação para o desenvolvimento da UE na luta contra a migração irregular em África</w:t>
      </w:r>
      <w:r>
        <w:rPr>
          <w:rStyle w:val="FootnoteReference"/>
        </w:rPr>
        <w:footnoteReference w:id="6"/>
      </w:r>
      <w:r w:rsidRPr="00EC4CE3">
        <w:t>,</w:t>
      </w:r>
    </w:p>
    <w:p w:rsidR="009D7F27" w:rsidRPr="00EC4CE3" w:rsidP="009D7F27" w14:paraId="473EBA58" w14:textId="227E1EEB">
      <w:pPr>
        <w:pStyle w:val="NormalHanging"/>
      </w:pPr>
      <w:r w:rsidRPr="00EC4CE3">
        <w:t>–</w:t>
      </w:r>
      <w:r w:rsidRPr="00EC4CE3">
        <w:tab/>
        <w:t>Tendo em conta a sua Resolução, de 25 de março de 2021, sobre uma Nova Estratégia UE-África — uma parceria para um desenvolvimento sustentável e inclusivo</w:t>
      </w:r>
      <w:r>
        <w:rPr>
          <w:rStyle w:val="FootnoteReference"/>
        </w:rPr>
        <w:footnoteReference w:id="7"/>
      </w:r>
      <w:r w:rsidRPr="00EC4CE3">
        <w:t>,</w:t>
      </w:r>
    </w:p>
    <w:p w:rsidR="009D7F27" w:rsidRPr="00EC4CE3" w:rsidP="009D7F27" w14:paraId="4C7F9D02" w14:textId="77777777">
      <w:pPr>
        <w:pStyle w:val="NormalHanging"/>
      </w:pPr>
      <w:r w:rsidRPr="00EC4CE3">
        <w:t>–</w:t>
      </w:r>
      <w:r w:rsidRPr="00EC4CE3">
        <w:tab/>
        <w:t>Tendo em conta o artigo 55.º do seu Regimento,</w:t>
      </w:r>
    </w:p>
    <w:p w:rsidR="009D7F27" w:rsidRPr="00EC4CE3" w:rsidP="009D7F27" w14:paraId="56B723CD" w14:textId="77777777">
      <w:pPr>
        <w:pStyle w:val="NormalHanging"/>
      </w:pPr>
      <w:r w:rsidRPr="00EC4CE3">
        <w:t>–</w:t>
      </w:r>
      <w:r w:rsidRPr="00EC4CE3">
        <w:tab/>
        <w:t>Tendo em conta o relatório da Comissão do Desenvolvimento (A10-0147/2026),</w:t>
      </w:r>
    </w:p>
    <w:p w:rsidR="009D7F27" w:rsidRPr="00EC4CE3" w:rsidP="009D7F27" w14:paraId="4AE553A7" w14:textId="1CEFF233">
      <w:pPr>
        <w:pStyle w:val="NormalHanging"/>
      </w:pPr>
      <w:r w:rsidRPr="00EC4CE3">
        <w:t>A.</w:t>
      </w:r>
      <w:r w:rsidRPr="00EC4CE3">
        <w:tab/>
        <w:t>Considerando que a migração e a mobilidade, a paz, a boa governação, a estabilidade, o crescimento inclusivo e o desenvolvimento sustentável estão fortemente interligados</w:t>
      </w:r>
      <w:r w:rsidR="00BE1881">
        <w:t>; considerando que</w:t>
      </w:r>
      <w:r w:rsidRPr="00EC4CE3">
        <w:t xml:space="preserve"> a migração é impulsionada por fatores tanto a nível macro como microeconómico, como os conflitos armados, a instabilidade política, as dificuldades económicas, a falta de oportunidades e a pobreza, o acesso limitado a mecanismos de proteção social, a prestação inadequada de serviços, a marginalização, a discriminação ou perseguição de pessoas vulneráveis, nomeadamente no que diz respeito à sua liberdade de religião ou de convicção, a insegurança alimentar e a escassez de acesso a </w:t>
      </w:r>
      <w:r w:rsidRPr="00EC4CE3">
        <w:t>água potável, bem como a degradação ambiental e as alterações climáticas</w:t>
      </w:r>
      <w:r>
        <w:rPr>
          <w:rStyle w:val="FootnoteReference"/>
        </w:rPr>
        <w:footnoteReference w:id="8"/>
      </w:r>
      <w:r w:rsidRPr="00EC4CE3">
        <w:t>;</w:t>
      </w:r>
    </w:p>
    <w:p w:rsidR="009D7F27" w:rsidRPr="00EC4CE3" w:rsidP="009D7F27" w14:paraId="5AC701E3" w14:textId="3C2B5A6E">
      <w:pPr>
        <w:pStyle w:val="NormalHanging"/>
      </w:pPr>
      <w:r w:rsidRPr="00EC4CE3">
        <w:t>B.</w:t>
      </w:r>
      <w:r w:rsidRPr="00EC4CE3">
        <w:tab/>
        <w:t>Considerando que os fluxos migratórios irregulares incluem diferentes categorias de migrantes, como os refugiados e os requerentes de asilo que solicitam proteção internacional</w:t>
      </w:r>
      <w:r w:rsidR="00BE1881">
        <w:t>; considerando que</w:t>
      </w:r>
      <w:r w:rsidRPr="00EC4CE3">
        <w:t xml:space="preserve"> os requerentes de proteção internacional podem permanecer nos Estados-Membros responsáveis, enquanto aguardam uma decisão sobre o seu pedido;</w:t>
      </w:r>
    </w:p>
    <w:p w:rsidR="009D7F27" w:rsidRPr="00EC4CE3" w:rsidP="009D7F27" w14:paraId="1FA0419A" w14:textId="77777777">
      <w:pPr>
        <w:pStyle w:val="NormalHanging"/>
      </w:pPr>
      <w:r w:rsidRPr="00EC4CE3">
        <w:t>C.</w:t>
      </w:r>
      <w:r w:rsidRPr="00EC4CE3">
        <w:tab/>
        <w:t>Considerando que a cooperação para o desenvolvimento desempenha um papel fundamental para erradicar a pobreza, abordar contextos de fragilidade, promover o desenvolvimento humano e a sustentabilidade em todas as suas dimensões, enfrentar os desafios globais através de parcerias internacionais que defendem e promovem os valores e interesses europeus, e contribuir para a paz e a prosperidade no mundo;</w:t>
      </w:r>
    </w:p>
    <w:p w:rsidR="009D7F27" w:rsidRPr="00EC4CE3" w:rsidP="009D7F27" w14:paraId="62016625" w14:textId="77777777">
      <w:pPr>
        <w:pStyle w:val="NormalHanging"/>
      </w:pPr>
      <w:r w:rsidRPr="00EC4CE3">
        <w:t>D.</w:t>
      </w:r>
      <w:r w:rsidRPr="00EC4CE3">
        <w:tab/>
        <w:t>Considerando que a política de desenvolvimento da UE promove o desenvolvimento sustentável e a estabilidade nos países em desenvolvimento, com o objetivo principal de erradicar a pobreza extrema, em consonância com a Agenda 2030 e os ODS, nos termos do artigo 208.º do TFUE, respeitando simultaneamente o princípio da coerência das políticas para o desenvolvimento;</w:t>
      </w:r>
    </w:p>
    <w:p w:rsidR="009D7F27" w:rsidRPr="00EC4CE3" w:rsidP="009D7F27" w14:paraId="6AB871EE" w14:textId="77777777">
      <w:pPr>
        <w:pStyle w:val="NormalHanging"/>
      </w:pPr>
      <w:r w:rsidRPr="00EC4CE3">
        <w:t>E.</w:t>
      </w:r>
      <w:r w:rsidRPr="00EC4CE3">
        <w:tab/>
        <w:t>Considerando que a cooperação para o desenvolvimento deve assentar em resultados verificáveis e num compromisso comum concreto em prol do desenvolvimento sustentável;</w:t>
      </w:r>
    </w:p>
    <w:p w:rsidR="009D7F27" w:rsidRPr="00EC4CE3" w:rsidP="009D7F27" w14:paraId="40F7A528" w14:textId="663907DF">
      <w:pPr>
        <w:pStyle w:val="NormalHanging"/>
      </w:pPr>
      <w:r w:rsidRPr="00EC4CE3">
        <w:t>F.</w:t>
      </w:r>
      <w:r w:rsidRPr="00EC4CE3">
        <w:tab/>
        <w:t>Considerando que o FFUE foi criado para combater as causas profundas da instabilidade, das deslocações forçadas e da migração irregular e contribuir para uma melhor gestão da migração</w:t>
      </w:r>
      <w:r w:rsidR="00BE1881">
        <w:t>; considerando que</w:t>
      </w:r>
      <w:r w:rsidRPr="00EC4CE3">
        <w:t xml:space="preserve"> o Tribunal de Contas Europeu concluiu, na sua análise, que o FFUE não alcançou muitos dos seus objetivos, uma vez que nem sempre foram claramente definidas estratégias eficazes;</w:t>
      </w:r>
    </w:p>
    <w:p w:rsidR="009D7F27" w:rsidRPr="00EC4CE3" w:rsidP="009D7F27" w14:paraId="7787C65F" w14:textId="70A5DACE">
      <w:pPr>
        <w:pStyle w:val="NormalHanging"/>
      </w:pPr>
      <w:r w:rsidRPr="00EC4CE3">
        <w:t>G.</w:t>
      </w:r>
      <w:r w:rsidRPr="00EC4CE3">
        <w:tab/>
        <w:t>Considerando que, desde 2015, a UE tem enfrentado fluxos migratórios sem precedentes, cuja gestão exigiu esforços contínuos por parte dos Estados-Membros, e que, por conseguinte, cumpre reforçar as políticas europeias de desenvolvimento para combater as causas profundas da migração irregular e das deslocações forçadas, uma vez que, entre 2015 e 2024, foram apresentados mais de 8,5 milhões de pedidos de asilo nos Estados-Membros da UE</w:t>
      </w:r>
      <w:r>
        <w:rPr>
          <w:rStyle w:val="FootnoteReference"/>
        </w:rPr>
        <w:footnoteReference w:id="9"/>
      </w:r>
      <w:r w:rsidR="00BE1881">
        <w:t>; considerando que</w:t>
      </w:r>
      <w:r w:rsidRPr="00EC4CE3">
        <w:t xml:space="preserve"> as passagens irregulares das fronteiras externas da UE diminuíram mais de um quarto (26 %) em 2025 para quase 178 000</w:t>
      </w:r>
      <w:r>
        <w:rPr>
          <w:rStyle w:val="FootnoteReference"/>
        </w:rPr>
        <w:footnoteReference w:id="10"/>
      </w:r>
      <w:r w:rsidR="00BE1881">
        <w:t>; considerando que</w:t>
      </w:r>
      <w:r w:rsidRPr="00EC4CE3">
        <w:t xml:space="preserve"> a maioria dos migrantes chega à Europa através de vias legais</w:t>
      </w:r>
      <w:r w:rsidR="00BE1881">
        <w:t>; considerando que</w:t>
      </w:r>
      <w:r w:rsidRPr="00EC4CE3">
        <w:t xml:space="preserve"> a meta 7 do ODS 10 exorta os países a facilitarem a migração e a mobilidade das pessoas de forma ordenada, segura, regular e responsável através de </w:t>
      </w:r>
      <w:r w:rsidRPr="00EC4CE3">
        <w:t>políticas de migração planeadas e bem geridas;</w:t>
      </w:r>
    </w:p>
    <w:p w:rsidR="009D7F27" w:rsidRPr="00EC4CE3" w:rsidP="009D7F27" w14:paraId="2ED2185C" w14:textId="03F7D2FA">
      <w:pPr>
        <w:pStyle w:val="NormalHanging"/>
      </w:pPr>
      <w:r w:rsidRPr="00EC4CE3">
        <w:t>H.</w:t>
      </w:r>
      <w:r w:rsidRPr="00EC4CE3">
        <w:tab/>
        <w:t>Considerando que, em 2024, 4,2 milhões de pessoas migraram para a UE a partir de países terceiros</w:t>
      </w:r>
      <w:r>
        <w:rPr>
          <w:rStyle w:val="FootnoteReference"/>
        </w:rPr>
        <w:footnoteReference w:id="11"/>
      </w:r>
      <w:r w:rsidRPr="00EC4CE3">
        <w:t>;</w:t>
      </w:r>
    </w:p>
    <w:p w:rsidR="009D7F27" w:rsidRPr="00EC4CE3" w:rsidP="009D7F27" w14:paraId="4CFD3FFD" w14:textId="25C7FF82">
      <w:pPr>
        <w:pStyle w:val="NormalHanging"/>
      </w:pPr>
      <w:r w:rsidRPr="00EC4CE3">
        <w:t>I.</w:t>
      </w:r>
      <w:r w:rsidRPr="00EC4CE3">
        <w:tab/>
        <w:t>Considerando que muitos países de origem dos requerentes de asilo são países de rendimento baixo e médio</w:t>
      </w:r>
      <w:r w:rsidR="00BE1881">
        <w:t>; considerando que</w:t>
      </w:r>
      <w:r w:rsidRPr="00EC4CE3">
        <w:t xml:space="preserve"> as taxas de aceitação de requerentes de asilo provenientes destes países variam consideravelmente;</w:t>
      </w:r>
    </w:p>
    <w:p w:rsidR="009D7F27" w:rsidRPr="00EC4CE3" w:rsidP="009D7F27" w14:paraId="2A8C9A17" w14:textId="509A652E">
      <w:pPr>
        <w:pStyle w:val="NormalHanging"/>
      </w:pPr>
      <w:r w:rsidRPr="00EC4CE3">
        <w:t>J.</w:t>
      </w:r>
      <w:r w:rsidRPr="00EC4CE3">
        <w:tab/>
        <w:t>Considerando que, em 2024, os países da UE concederam o estatuto de proteção a 437 900 requerentes de asilo, o que representa um aumento de 6,9 % em relação a 2023 (409 530)</w:t>
      </w:r>
      <w:r w:rsidR="00BE1881">
        <w:t>; considerando que</w:t>
      </w:r>
      <w:r w:rsidRPr="00EC4CE3">
        <w:t xml:space="preserve"> este foi o número mais elevado desde os máximos registados após a crise dos refugiados relacionada com a guerra na Síria em 2016 e 2017</w:t>
      </w:r>
      <w:r w:rsidR="00BE1881">
        <w:t>; considerando que</w:t>
      </w:r>
      <w:r w:rsidRPr="00EC4CE3">
        <w:t xml:space="preserve"> a taxa de reconhecimento a nível da UE, ou seja, a percentagem de decisões positivas em relação ao número total de decisões em matéria de asilo, foi de 51,4 % para as decisões em primeira instância em 2024;</w:t>
      </w:r>
    </w:p>
    <w:p w:rsidR="009D7F27" w:rsidRPr="00EC4CE3" w:rsidP="009D7F27" w14:paraId="6F001B46" w14:textId="4E287B3D">
      <w:pPr>
        <w:pStyle w:val="NormalHanging"/>
      </w:pPr>
      <w:r w:rsidRPr="00EC4CE3">
        <w:t>K.</w:t>
      </w:r>
      <w:r w:rsidRPr="00EC4CE3">
        <w:tab/>
        <w:t>Considerando que, em 2024, foi recusada a entrada na UE a 124 000 cidadãos de países terceiros, 919 000 careciam de estatuto, 453 000 receberam ordens para abandonar o território e cerca de 110 000 foram efetivamente repatriados para um país fora da UE</w:t>
      </w:r>
      <w:r>
        <w:rPr>
          <w:rStyle w:val="FootnoteReference"/>
        </w:rPr>
        <w:footnoteReference w:id="12"/>
      </w:r>
      <w:r w:rsidR="00BE1881">
        <w:t>; considerando que</w:t>
      </w:r>
      <w:r w:rsidRPr="00EC4CE3">
        <w:t xml:space="preserve"> cerca de 20 % das pessoas que receberam ordens para abandonar o território foram efetivamente repatriadas</w:t>
      </w:r>
      <w:r>
        <w:rPr>
          <w:rStyle w:val="FootnoteReference"/>
        </w:rPr>
        <w:footnoteReference w:id="13"/>
      </w:r>
      <w:r w:rsidRPr="00EC4CE3">
        <w:t>;</w:t>
      </w:r>
    </w:p>
    <w:p w:rsidR="009D7F27" w:rsidRPr="00EC4CE3" w:rsidP="009D7F27" w14:paraId="72235219" w14:textId="03D570FE">
      <w:pPr>
        <w:pStyle w:val="NormalHanging"/>
      </w:pPr>
      <w:r w:rsidRPr="00EC4CE3">
        <w:t>L.</w:t>
      </w:r>
      <w:r w:rsidRPr="00EC4CE3">
        <w:tab/>
        <w:t>Considerando que as viagens migratórias internacionais mais frequentes ocorrem entre países vizinhos</w:t>
      </w:r>
      <w:r w:rsidR="00BE1881">
        <w:t>; considerando que</w:t>
      </w:r>
      <w:r w:rsidRPr="00EC4CE3">
        <w:t xml:space="preserve"> a grande maioria dos refugiados, das pessoas que necessitam de proteção internacional e das pessoas deslocadas internamente são acolhidos em países de rendimento baixo e médio</w:t>
      </w:r>
      <w:r w:rsidR="00BE1881">
        <w:t>; considerando que</w:t>
      </w:r>
      <w:r w:rsidRPr="00EC4CE3">
        <w:t xml:space="preserve"> os encargos económicos nesses países são elevados e afetam a sua própria coesão social e económica e o seu desenvolvimento</w:t>
      </w:r>
      <w:r w:rsidR="00BE1881">
        <w:t>; considerando que</w:t>
      </w:r>
      <w:r w:rsidRPr="00EC4CE3">
        <w:t xml:space="preserve"> a cooperação para o desenvolvimento desempenha, por conseguinte, um papel fundamental no apoio às populações deslocadas e às comunidades de acolhimento;</w:t>
      </w:r>
    </w:p>
    <w:p w:rsidR="009D7F27" w:rsidRPr="00EC4CE3" w:rsidP="009D7F27" w14:paraId="50118B15" w14:textId="2B50043E">
      <w:pPr>
        <w:pStyle w:val="NormalHanging"/>
      </w:pPr>
      <w:r w:rsidRPr="00EC4CE3">
        <w:t>M.</w:t>
      </w:r>
      <w:r w:rsidRPr="00EC4CE3">
        <w:tab/>
        <w:t>Considerando que África enfrenta uma crise migratória interna, visto que cerca de 80 % de toda a migração africana ocorre dentro do continente</w:t>
      </w:r>
      <w:r w:rsidR="00BE1881">
        <w:t>; considerando que</w:t>
      </w:r>
      <w:r w:rsidRPr="00EC4CE3">
        <w:t>, em 2024, a África Subsariana registou 19,3 milhões de novas deslocações internas, 11,5 milhões das quais foram causadas por conflitos e 7,8 milhões por catástrofes</w:t>
      </w:r>
      <w:r w:rsidR="00BE1881">
        <w:t>; considerando que</w:t>
      </w:r>
      <w:r w:rsidRPr="00EC4CE3">
        <w:t xml:space="preserve"> o número total de pessoas deslocadas internamente em África atingiu 38,8 milhões entre 2015 e 2024, o que representa 46 % do total mundial, 68 % das quais provenientes da </w:t>
      </w:r>
      <w:r w:rsidRPr="00EC4CE3">
        <w:t>República Democrática do Congo, da Etiópia, da Nigéria, da Somália e do Sudão;</w:t>
      </w:r>
    </w:p>
    <w:p w:rsidR="009D7F27" w:rsidRPr="00EC4CE3" w:rsidP="009D7F27" w14:paraId="4C118429" w14:textId="37BF918B">
      <w:pPr>
        <w:pStyle w:val="NormalHanging"/>
      </w:pPr>
      <w:r w:rsidRPr="00EC4CE3">
        <w:t>N.</w:t>
      </w:r>
      <w:r w:rsidRPr="00EC4CE3">
        <w:tab/>
        <w:t>Considerando que, em junho de 2025, 117,3 milhões de pessoas tinham sido forçadas a abandonar as suas casas a nível mundial devido a perseguições, conflitos, violência, violações dos direitos humanos ou acontecimentos que perturbam gravemente a ordem pública</w:t>
      </w:r>
      <w:r w:rsidR="00BE1881">
        <w:t>; considerando que</w:t>
      </w:r>
      <w:r w:rsidRPr="00EC4CE3">
        <w:t xml:space="preserve"> 42,5 milhões destas pessoas eram refugiados, 67,8 milhões eram pessoas deslocadas internamente e 8,42 milhões eram requerentes de asilo</w:t>
      </w:r>
      <w:r>
        <w:rPr>
          <w:rStyle w:val="FootnoteReference"/>
        </w:rPr>
        <w:footnoteReference w:id="14"/>
      </w:r>
      <w:r w:rsidRPr="00EC4CE3">
        <w:t>;</w:t>
      </w:r>
    </w:p>
    <w:p w:rsidR="009D7F27" w:rsidRPr="00EC4CE3" w:rsidP="009D7F27" w14:paraId="57080970" w14:textId="4B3F653A">
      <w:pPr>
        <w:pStyle w:val="NormalHanging"/>
      </w:pPr>
      <w:r w:rsidRPr="00EC4CE3">
        <w:t>O.</w:t>
      </w:r>
      <w:r w:rsidRPr="00EC4CE3">
        <w:tab/>
        <w:t>Considerando que o relatório sobre as tendências mundiais e os inquéritos da Agência das Nações Unidas para os Refugiados (ACNUR) revelam que a maioria dos refugiados e das pessoas deslocadas não querem abandonar os seus países, mas são obrigados a fazê-lo devido a ameaças como conflitos, perseguições, violência ou dificuldades extremas</w:t>
      </w:r>
      <w:r w:rsidR="00BE1881">
        <w:t>; considerando que</w:t>
      </w:r>
      <w:r w:rsidRPr="00EC4CE3">
        <w:t xml:space="preserve"> um inquérito da ACNUR de 2023 concluiu que a grande maioria dos refugiados preferiria permanecer nas suas comunidades se a sua segurança e os seus meios de subsistência estivessem garantidos;</w:t>
      </w:r>
    </w:p>
    <w:p w:rsidR="009D7F27" w:rsidRPr="00EC4CE3" w:rsidP="009D7F27" w14:paraId="6A5EE0C8" w14:textId="77777777">
      <w:pPr>
        <w:pStyle w:val="NormalHanging"/>
      </w:pPr>
      <w:r w:rsidRPr="00EC4CE3">
        <w:t>P.</w:t>
      </w:r>
      <w:r w:rsidRPr="00EC4CE3">
        <w:tab/>
        <w:t>Considerando que a cooperação para o desenvolvimento desempenha um papel fundamental na redução da pobreza e na resolução de situações de fragilidade, contribuindo para o desenvolvimento humano, promovendo e apoiando os princípios da democracia, do Estado de direito, da igualdade de género, dos direitos humanos e dos direitos fundamentais e reforçando a aplicação da lei, bem como criando oportunidades económicas sustentáveis, melhorando a governação e fomentando a paz e a estabilidade, combatendo assim as causas profundas da migração irregular;</w:t>
      </w:r>
    </w:p>
    <w:p w:rsidR="009D7F27" w:rsidRPr="00EC4CE3" w:rsidP="009D7F27" w14:paraId="54E2435A" w14:textId="5A1B32D7">
      <w:pPr>
        <w:pStyle w:val="NormalHanging"/>
      </w:pPr>
      <w:r w:rsidRPr="00EC4CE3">
        <w:t>Q.</w:t>
      </w:r>
      <w:r w:rsidRPr="00EC4CE3">
        <w:tab/>
        <w:t>Considerando que a melhoria das condições de vida, da educação e das perspetivas de emprego nos países de origem é fundamental para garantir que as pessoas possam construir o seu futuro nas suas próprias comunidades, em vez de serem obrigadas a migrar</w:t>
      </w:r>
      <w:r w:rsidR="00BE1881">
        <w:t>; considerando que</w:t>
      </w:r>
      <w:r w:rsidRPr="00EC4CE3">
        <w:t xml:space="preserve"> uma cooperação orientada e eficaz pode, por conseguinte, reduzir os incentivos à migração irregular, promovendo a estabilidade, a segurança e a autossuficiência nos países parceiros;</w:t>
      </w:r>
    </w:p>
    <w:p w:rsidR="009D7F27" w:rsidRPr="00EC4CE3" w:rsidP="009D7F27" w14:paraId="073EC6B7" w14:textId="607A5AF7">
      <w:pPr>
        <w:pStyle w:val="NormalHanging"/>
      </w:pPr>
      <w:r w:rsidRPr="00EC4CE3">
        <w:t>R.</w:t>
      </w:r>
      <w:r w:rsidRPr="00EC4CE3">
        <w:tab/>
        <w:t>Considerando que o aumento da fragilidade, nomeadamente em relação às alterações climáticas e à degradação ambiental, bem como o esgotamento e a sobre-exploração dos recursos naturais, podem repercutir-se na migração</w:t>
      </w:r>
      <w:r w:rsidR="00BE1881">
        <w:t>; considerando que</w:t>
      </w:r>
      <w:r w:rsidRPr="00EC4CE3">
        <w:t xml:space="preserve"> 90 % de todas as catástrofes naturais estão relacionadas com a água, o que pode refletir-se na insegurança alimentar, no aumento dos conflitos sociais e na migração;</w:t>
      </w:r>
    </w:p>
    <w:p w:rsidR="009D7F27" w:rsidRPr="00EC4CE3" w:rsidP="009D7F27" w14:paraId="0E5A06FE" w14:textId="51008F0B">
      <w:pPr>
        <w:pStyle w:val="NormalHanging"/>
      </w:pPr>
      <w:r w:rsidRPr="00EC4CE3">
        <w:t>S.</w:t>
      </w:r>
      <w:r w:rsidRPr="00EC4CE3">
        <w:tab/>
        <w:t>Considerando que os elevados níveis de insegurança alimentar conduzem a níveis mais elevados de migração além-fronteiras, uma vez que cada aumento de 1 % na insegurança alimentar de uma população obriga mais 1,9 % de pessoas a migrar</w:t>
      </w:r>
      <w:r w:rsidR="00BE1881">
        <w:t>; considerando que</w:t>
      </w:r>
      <w:r w:rsidRPr="00EC4CE3">
        <w:t>, embora os fatores económicos e ambientais não constituam, por si só, motivos para a concessão de asilo, contribuem significativamente para os fatores de vulnerabilidade que podem exigir uma resposta internacional global orientada para a proteção;</w:t>
      </w:r>
    </w:p>
    <w:p w:rsidR="009D7F27" w:rsidRPr="00EC4CE3" w:rsidP="009D7F27" w14:paraId="2ECAEDB4" w14:textId="4D452B46">
      <w:pPr>
        <w:pStyle w:val="NormalHanging"/>
      </w:pPr>
      <w:r w:rsidRPr="00EC4CE3">
        <w:t>T.</w:t>
      </w:r>
      <w:r w:rsidRPr="00EC4CE3">
        <w:tab/>
        <w:t>Considerando que os fluxos migratórios estão frequentemente associados à escassez de recursos naturais, nomeadamente a água</w:t>
      </w:r>
      <w:r w:rsidR="00BE1881">
        <w:t>; considerando que</w:t>
      </w:r>
      <w:r w:rsidRPr="00EC4CE3">
        <w:t xml:space="preserve"> 2,2 mil milhões de pessoas em todo o mundo ainda não têm acesso a água potável segura</w:t>
      </w:r>
      <w:r w:rsidR="00BE1881">
        <w:t>; considerando que</w:t>
      </w:r>
      <w:r w:rsidRPr="00EC4CE3">
        <w:t xml:space="preserve"> a Estratégia Europeia de Resiliência Hídrica visa promover a resiliência hídrica e </w:t>
      </w:r>
      <w:r w:rsidRPr="00EC4CE3">
        <w:t>assegurar o acesso a água potável e saneamento melhorados para, pelo menos, 70 milhões de pessoas, através de um envolvimento reforçado a nível nacional e regional no âmbito da Estratégia Global Gateway;</w:t>
      </w:r>
    </w:p>
    <w:p w:rsidR="009D7F27" w:rsidRPr="00EC4CE3" w:rsidP="009D7F27" w14:paraId="3A0DEB68" w14:textId="77777777">
      <w:pPr>
        <w:pStyle w:val="NormalHanging"/>
      </w:pPr>
      <w:r w:rsidRPr="00EC4CE3">
        <w:t>U.</w:t>
      </w:r>
      <w:r w:rsidRPr="00EC4CE3">
        <w:tab/>
        <w:t>Considerando que o Pacto da UE em matéria de Migração e Asilo salienta a importância da dimensão externa da migração mediante o desenvolvimento de parcerias globais assentes no diálogo político, no compromisso mútuo e numa abordagem de acompanhamento ao longo de toda a rota;</w:t>
      </w:r>
    </w:p>
    <w:p w:rsidR="009D7F27" w:rsidRPr="00EC4CE3" w:rsidP="009D7F27" w14:paraId="430CC687" w14:textId="7199E808">
      <w:pPr>
        <w:pStyle w:val="NormalHanging"/>
      </w:pPr>
      <w:r w:rsidRPr="00EC4CE3">
        <w:t>V.</w:t>
      </w:r>
      <w:r w:rsidRPr="00EC4CE3">
        <w:tab/>
        <w:t>Considerando que o Pacto para o Mediterrâneo preconiza o alargamento do programa Erasmus+ a vários países do Médio Oriente e de África, a fim de estabelecer ligações entre os jovens e contribuir para um ambiente de ensino superior e de desenvolvimento de competências mais integrado e inclusivo</w:t>
      </w:r>
      <w:r w:rsidR="00BE1881">
        <w:t>; considerando que</w:t>
      </w:r>
      <w:r w:rsidRPr="00EC4CE3">
        <w:t xml:space="preserve"> o pacto exorta igualmente ao reforço das parcerias para atração de talentos, designadamente através da criação da reserva de talentos da UE, por forma a facilitar as ligações entre os empregadores da UE e os candidatos a emprego de países parceiros;</w:t>
      </w:r>
    </w:p>
    <w:p w:rsidR="009D7F27" w:rsidRPr="00EC4CE3" w:rsidP="009D7F27" w14:paraId="5C290966" w14:textId="77777777">
      <w:pPr>
        <w:pStyle w:val="NormalHanging"/>
      </w:pPr>
      <w:r w:rsidRPr="00EC4CE3">
        <w:t>W.</w:t>
      </w:r>
      <w:r w:rsidRPr="00EC4CE3">
        <w:tab/>
        <w:t>Considerando que a Estratégia Global Gateway e os investimentos no desenvolvimento humano devem oferecer a oportunidade de alinhar a cooperação para o desenvolvimento com as prioridades dos países parceiros, designadamente a migração, promovendo a criação de emprego, a educação, a formação profissional, os valores democráticos e normas elevadas, reforçando a boa governação e a transparência e investimentos sustentáveis, incluindo em matéria de segurança hídrica, nos países de origem e de trânsito;</w:t>
      </w:r>
    </w:p>
    <w:p w:rsidR="009D7F27" w:rsidRPr="00EC4CE3" w:rsidP="009D7F27" w14:paraId="2D5A7E86" w14:textId="38675F50">
      <w:pPr>
        <w:pStyle w:val="NormalHanging"/>
      </w:pPr>
      <w:r w:rsidRPr="00EC4CE3">
        <w:t>X.</w:t>
      </w:r>
      <w:r w:rsidRPr="00EC4CE3">
        <w:tab/>
        <w:t>Considerando que a Estratégia Global Gateway deve igualmente ter por objetivo promover parcerias sustentáveis e fiáveis no domínio da energia e das infraestruturas verdes</w:t>
      </w:r>
      <w:r w:rsidR="00BE1881">
        <w:t>; considerando que</w:t>
      </w:r>
      <w:r w:rsidRPr="00EC4CE3">
        <w:t xml:space="preserve"> a adaptação às alterações climáticas e o investimento em energias renováveis são essenciais para combater os motores socioeconómicos da migração;</w:t>
      </w:r>
    </w:p>
    <w:p w:rsidR="009D7F27" w:rsidRPr="00EC4CE3" w:rsidP="009D7F27" w14:paraId="03B4A6D0" w14:textId="77777777">
      <w:pPr>
        <w:pStyle w:val="NormalHanging"/>
      </w:pPr>
      <w:r w:rsidRPr="00EC4CE3">
        <w:t>Y.</w:t>
      </w:r>
      <w:r w:rsidRPr="00EC4CE3">
        <w:tab/>
        <w:t>Considerando que a cooperação económica e o investimento privado são instrumentos importantes para reduzir a pobreza e aumentar a autossuficiência, estimulando o crescimento sustentável e local nos países parceiros;</w:t>
      </w:r>
    </w:p>
    <w:p w:rsidR="009D7F27" w:rsidRPr="00EC4CE3" w:rsidP="009D7F27" w14:paraId="44701BA8" w14:textId="70C042D2">
      <w:pPr>
        <w:pStyle w:val="NormalHanging"/>
      </w:pPr>
      <w:r w:rsidRPr="00EC4CE3">
        <w:t>Z.</w:t>
      </w:r>
      <w:r w:rsidRPr="00EC4CE3">
        <w:tab/>
        <w:t>Considerando que o desenvolvimento industrial demonstrou ser uma das formas mais poderosas de tirar as pessoas da pobreza</w:t>
      </w:r>
      <w:r w:rsidR="00BE1881">
        <w:t>; considerando que</w:t>
      </w:r>
      <w:r w:rsidRPr="00EC4CE3">
        <w:t xml:space="preserve"> o investimento em capacidades de produtividade de maneira socialmente responsável e sustentável pode gerar muitas oportunidades de emprego e ter um efeito multiplicador;</w:t>
      </w:r>
    </w:p>
    <w:p w:rsidR="009D7F27" w:rsidRPr="00EC4CE3" w:rsidP="009D7F27" w14:paraId="1BE1C850" w14:textId="1AD06C6D">
      <w:pPr>
        <w:pStyle w:val="NormalHanging"/>
      </w:pPr>
      <w:r w:rsidRPr="00EC4CE3">
        <w:t>AA.</w:t>
      </w:r>
      <w:r w:rsidRPr="00EC4CE3">
        <w:tab/>
        <w:t>Considerando que o tráfico de seres humanos e a introdução clandestina de migrantes constituem violações graves dos direitos fundamentais e privam as pessoas da sua dignidade, liberdade e dos seus direitos fundamentais</w:t>
      </w:r>
      <w:r w:rsidR="00BE1881">
        <w:t>; considerando que</w:t>
      </w:r>
      <w:r w:rsidRPr="00EC4CE3">
        <w:t xml:space="preserve"> as redes criminosas de tráfico de seres humanos e introdução clandestina de migrantes exploram os migrantes, lucrando com viagens perigosas;</w:t>
      </w:r>
    </w:p>
    <w:p w:rsidR="009D7F27" w:rsidRPr="00EC4CE3" w:rsidP="009D7F27" w14:paraId="3FCE5518" w14:textId="48DC4812">
      <w:pPr>
        <w:pStyle w:val="NormalHanging"/>
      </w:pPr>
      <w:r w:rsidRPr="00EC4CE3">
        <w:t>AB.</w:t>
      </w:r>
      <w:r w:rsidRPr="00EC4CE3">
        <w:tab/>
        <w:t>Considerando que alguns países não dispõem dos instrumentos e recursos necessários para prevenir e combater estes crimes</w:t>
      </w:r>
      <w:r w:rsidR="00BE1881">
        <w:t>; considerando que</w:t>
      </w:r>
      <w:r w:rsidRPr="00EC4CE3">
        <w:t xml:space="preserve"> as parcerias internacionais podem contribuir eficazmente para a luta contra o tráfico de seres humanos e a introdução clandestina de migrantes;</w:t>
      </w:r>
    </w:p>
    <w:p w:rsidR="009D7F27" w:rsidRPr="00EC4CE3" w:rsidP="009D7F27" w14:paraId="69A33DC0" w14:textId="77777777">
      <w:pPr>
        <w:pStyle w:val="NormalHanging"/>
      </w:pPr>
      <w:r w:rsidRPr="00EC4CE3">
        <w:t>AC.</w:t>
      </w:r>
      <w:r w:rsidRPr="00EC4CE3">
        <w:tab/>
        <w:t>Considerando que a cooperação para o desenvolvimento desempenha um papel essencial contribuindo para a luta contra as causas profundas da migração irregular e das deslocações forçadas, bem como para o combate à introdução clandestina de migrantes, a proteção dos refugiados e das pessoas que necessitam de proteção internacional, apoiando os países de acolhimento de refugiados e desenvolvendo vias legais de migração;</w:t>
      </w:r>
    </w:p>
    <w:p w:rsidR="009D7F27" w:rsidRPr="00EC4CE3" w:rsidP="009D7F27" w14:paraId="3684EC41" w14:textId="77777777">
      <w:pPr>
        <w:pStyle w:val="NormalHanging"/>
      </w:pPr>
      <w:r w:rsidRPr="00EC4CE3">
        <w:t>AD.</w:t>
      </w:r>
      <w:r w:rsidRPr="00EC4CE3">
        <w:tab/>
        <w:t>Considerando que a segurança, a estabilidade, a integridade territorial e a boa governação são condições prévias para medidas de desenvolvimento sustentável e que a UE deve também apoiar os países parceiros no reforço das capacidades de aplicação da lei, de gestão das fronteiras e de luta contra a criminalidade organizada;</w:t>
      </w:r>
    </w:p>
    <w:p w:rsidR="009D7F27" w:rsidRPr="00EC4CE3" w:rsidP="009D7F27" w14:paraId="24685CF8" w14:textId="45C5B667">
      <w:pPr>
        <w:pStyle w:val="NormalHanging"/>
      </w:pPr>
      <w:r w:rsidRPr="00EC4CE3">
        <w:t>AE.</w:t>
      </w:r>
      <w:r w:rsidRPr="00EC4CE3">
        <w:tab/>
        <w:t>Considerando que uma gestão eficaz da migração exige também uma maior cooperação com os países de origem e de trânsito e o desmantelamento das redes criminosas que exploram as pessoas vulneráveis</w:t>
      </w:r>
      <w:r w:rsidR="00BE1881">
        <w:t>; considerando que</w:t>
      </w:r>
      <w:r w:rsidRPr="00EC4CE3">
        <w:t xml:space="preserve"> o apoio ao desenvolvimento local e à estabilidade nos países parceiros contribui para combater as causas profundas da migração de forma sustentável;</w:t>
      </w:r>
    </w:p>
    <w:p w:rsidR="009D7F27" w:rsidRPr="00EC4CE3" w:rsidP="009D7F27" w14:paraId="52C36A63" w14:textId="77777777">
      <w:pPr>
        <w:pStyle w:val="NormalHanging"/>
      </w:pPr>
      <w:r w:rsidRPr="00EC4CE3">
        <w:t>AF.</w:t>
      </w:r>
      <w:r w:rsidRPr="00EC4CE3">
        <w:tab/>
        <w:t>Considerando que o apoio europeu a sistemas funcionais de asilo em países terceiros, como parte da cooperação para o desenvolvimento, é de importância vital para a proteção internacional dos requerentes de asilo;</w:t>
      </w:r>
    </w:p>
    <w:p w:rsidR="009D7F27" w:rsidRPr="00EC4CE3" w:rsidP="009D7F27" w14:paraId="2DD53F11" w14:textId="4CF35B6B">
      <w:pPr>
        <w:pStyle w:val="NormalHanging"/>
      </w:pPr>
      <w:r w:rsidRPr="00EC4CE3">
        <w:t>AG.</w:t>
      </w:r>
      <w:r w:rsidRPr="00EC4CE3">
        <w:tab/>
        <w:t>Considerando que as políticas de regresso e reintegração têm de respeitar plenamente os direitos humanos</w:t>
      </w:r>
      <w:r w:rsidR="00BE1881">
        <w:t>; considerando que</w:t>
      </w:r>
      <w:r w:rsidRPr="00EC4CE3">
        <w:t xml:space="preserve"> a cooperação em matéria de regresso e reintegração pode acarretar benefícios mútuos quando tem em conta o regresso voluntário, digno e sustentável aos países de origem;</w:t>
      </w:r>
    </w:p>
    <w:p w:rsidR="009D7F27" w:rsidRPr="00EC4CE3" w:rsidP="009D7F27" w14:paraId="68E1469D" w14:textId="77777777">
      <w:pPr>
        <w:pStyle w:val="NormalHanging"/>
      </w:pPr>
      <w:r w:rsidRPr="00EC4CE3">
        <w:t>AH.</w:t>
      </w:r>
      <w:r w:rsidRPr="00EC4CE3">
        <w:tab/>
        <w:t>Considerando que os acordos de readmissão e os projetos inovadores e específicos destinados a reintegrar os migrantes nos seus países de origem fazem parte integrante de uma cooperação eficaz com os países parceiros;</w:t>
      </w:r>
    </w:p>
    <w:p w:rsidR="009D7F27" w:rsidRPr="00EC4CE3" w:rsidP="009D7F27" w14:paraId="255EF444" w14:textId="77777777">
      <w:pPr>
        <w:pStyle w:val="NormalHanging"/>
      </w:pPr>
      <w:r w:rsidRPr="00EC4CE3">
        <w:t>AI.</w:t>
      </w:r>
      <w:r w:rsidRPr="00EC4CE3">
        <w:tab/>
        <w:t>Considerando que a cooperação para o desenvolvimento desempenha um papel crucial no apoio à integração socioeconómica das populações deslocadas e das comunidades de acolhimento, bem como na proteção das pessoas em situações vulneráveis, designadamente mulheres, crianças e pessoas com deficiência;</w:t>
      </w:r>
    </w:p>
    <w:p w:rsidR="009D7F27" w:rsidRPr="00EC4CE3" w:rsidP="009D7F27" w14:paraId="46CD9883" w14:textId="38F4FEF8">
      <w:pPr>
        <w:pStyle w:val="NormalHanging"/>
      </w:pPr>
      <w:r w:rsidRPr="00EC4CE3">
        <w:t>AJ.</w:t>
      </w:r>
      <w:r w:rsidRPr="00EC4CE3">
        <w:tab/>
        <w:t>Considerando que a migração pode contribuir para o desenvolvimento sustentável e o crescimento inclusivo, tanto nos países de origem como nos países de destino, bem como no seio das regiões e entre elas</w:t>
      </w:r>
      <w:r w:rsidR="00BE1881">
        <w:t>; considerando que</w:t>
      </w:r>
      <w:r w:rsidRPr="00EC4CE3">
        <w:t xml:space="preserve"> a migração tem repercussões económicas tanto no país de destino como no país de origem</w:t>
      </w:r>
      <w:r w:rsidR="00BE1881">
        <w:t>; considerando que</w:t>
      </w:r>
      <w:r w:rsidRPr="00EC4CE3">
        <w:t xml:space="preserve"> estas repercussões podem ser visíveis na contribuição dos migrantes para as finanças públicas, o emprego e a criação de emprego, bem como no papel desempenhado pelas comunidades da diáspora no apoio ao desenvolvimento económico dos seus países de origem;</w:t>
      </w:r>
    </w:p>
    <w:p w:rsidR="009D7F27" w:rsidRPr="00EC4CE3" w:rsidP="009D7F27" w14:paraId="5860C230" w14:textId="29E64FDB">
      <w:pPr>
        <w:pStyle w:val="NormalHanging"/>
      </w:pPr>
      <w:r w:rsidRPr="00EC4CE3">
        <w:t>AK.</w:t>
      </w:r>
      <w:r w:rsidRPr="00EC4CE3">
        <w:tab/>
        <w:t>Considerando que as comunidades da diáspora desempenham um papel importante no desenvolvimento dos países parceiros, especialmente na promoção do comércio e do desenvolvimento económico, bem como na abordagem de uma série de questões relacionadas com a migração e a mobilidade</w:t>
      </w:r>
      <w:r w:rsidR="00BE1881">
        <w:t>; considerando que</w:t>
      </w:r>
      <w:r w:rsidRPr="00EC4CE3">
        <w:t xml:space="preserve"> o Mecanismo Global da UE para a Diáspora pode desempenhar um papel fundamental neste contexto;</w:t>
      </w:r>
    </w:p>
    <w:p w:rsidR="009D7F27" w:rsidRPr="00EC4CE3" w:rsidP="009D7F27" w14:paraId="13069B29" w14:textId="77777777">
      <w:pPr>
        <w:pStyle w:val="NormalHanging"/>
      </w:pPr>
      <w:r w:rsidRPr="00EC4CE3">
        <w:t>AL.</w:t>
      </w:r>
      <w:r w:rsidRPr="00EC4CE3">
        <w:tab/>
        <w:t>Considerando que a fuga de cérebros pode acarretar dificuldades para os países terceiros na consecução dos seus objetivos estratégicos relacionados com o desenvolvimento e a migração;</w:t>
      </w:r>
    </w:p>
    <w:p w:rsidR="009D7F27" w:rsidRPr="00EC4CE3" w:rsidP="009D7F27" w14:paraId="7F7B20B3" w14:textId="77777777">
      <w:pPr>
        <w:pStyle w:val="Normal12a"/>
      </w:pPr>
      <w:r w:rsidRPr="00EC4CE3">
        <w:rPr>
          <w:b/>
          <w:i/>
        </w:rPr>
        <w:t>Interligações entre a migração e a cooperação para o desenvolvimento</w:t>
      </w:r>
    </w:p>
    <w:p w:rsidR="009D7F27" w:rsidRPr="00EC4CE3" w:rsidP="009D7F27" w14:paraId="31A264B2" w14:textId="77777777">
      <w:pPr>
        <w:pStyle w:val="NormalHanging12a"/>
      </w:pPr>
      <w:r w:rsidRPr="00EC4CE3">
        <w:t>1.</w:t>
      </w:r>
      <w:r w:rsidRPr="00EC4CE3">
        <w:tab/>
        <w:t>Realça a interligação entre a migração e a cooperação para o desenvolvimento e insta a Comissão e os Estados-Membros a continuarem a comprometer-se com a coerência das políticas para o desenvolvimento nas suas políticas de migração, no pleno respeito dos direitos humanos e da Agenda 2030 das Nações Unidas;</w:t>
      </w:r>
    </w:p>
    <w:p w:rsidR="009D7F27" w:rsidRPr="00EC4CE3" w:rsidP="009D7F27" w14:paraId="3DFDC945" w14:textId="77777777">
      <w:pPr>
        <w:pStyle w:val="NormalHanging12a"/>
      </w:pPr>
      <w:r w:rsidRPr="00EC4CE3">
        <w:t>2.</w:t>
      </w:r>
      <w:r w:rsidRPr="00EC4CE3">
        <w:tab/>
        <w:t>Salienta que a cooperação para o desenvolvimento e a política externa e de segurança da UE devem ser sempre elaboradas e aplicadas de maneira plenamente coerente, com uma abordagem pragmática e mutuamente benéfica, orientada para os resultados, destinada a garantir a estabilidade e as oportunidades económicas nos países parceiros, nomeadamente os países de origem e de trânsito dos fluxos migratórios;</w:t>
      </w:r>
    </w:p>
    <w:p w:rsidR="009D7F27" w:rsidRPr="00EC4CE3" w:rsidP="009D7F27" w14:paraId="4C1F3648" w14:textId="77777777">
      <w:pPr>
        <w:pStyle w:val="NormalHanging12a"/>
      </w:pPr>
      <w:r w:rsidRPr="00EC4CE3">
        <w:t>3.</w:t>
      </w:r>
      <w:r w:rsidRPr="00EC4CE3">
        <w:tab/>
        <w:t>Salienta que a cooperação para o desenvolvimento deve dar prioridade à erradicação da pobreza, à redução das desigualdades e ao desenvolvimento sustentável, em conformidade com os ODS, à prevenção de conflitos e à consolidação da paz através da capacitação económica, de reformas da governação e da promoção dos direitos humanos nos países parceiros, dando simultaneamente prioridade aos investimentos a longo prazo com base nas prioridades e necessidades de desenvolvimento dos países parceiros, inclusivamente ao abordar as causas profundas da migração irregular e as deslocações forçadas, entre outros objetivos;</w:t>
      </w:r>
    </w:p>
    <w:p w:rsidR="009D7F27" w:rsidRPr="00EC4CE3" w:rsidP="009D7F27" w14:paraId="6472364E" w14:textId="77777777">
      <w:pPr>
        <w:pStyle w:val="NormalHanging12a"/>
      </w:pPr>
      <w:r w:rsidRPr="00EC4CE3">
        <w:t>4.</w:t>
      </w:r>
      <w:r w:rsidRPr="00EC4CE3">
        <w:tab/>
        <w:t>Recorda que as mulheres e as raparigas são frequentemente afetadas de forma desproporcionada por crises e pela pobreza; insta, por conseguinte, a Comissão a aplicar, nos programas de desenvolvimento, uma abordagem baseada nos direitos humanos, sensível às questões de género e à vulnerabilidade, destacando a importância de identificar os riscos em matéria de direitos humanos, tomar medidas de atenuação e assegurar que seja dada especial atenção a todas as pessoas em situações vulneráveis — nomeadamente as pessoas com deficiência, os idosos, as comunidades marginalizadas e as mulheres, as raparigas e os jovens — sobretudo porque as mulheres desempenham um papel fundamental em contextos frágeis e na consolidação da paz, na prevenção de conflitos e no desenvolvimento sustentável, uma vez que atuam frequentemente como intervenientes de primeira linha e podem ser catalisadores essenciais da mudança, da resiliência e da recuperação; sublinha que a participação inclusiva e das mulheres na tomada de decisões, na mediação, na ação climática e no desenvolvimento comunitário traduz-se em resultados mais eficazes e sustentáveis;</w:t>
      </w:r>
    </w:p>
    <w:p w:rsidR="009D7F27" w:rsidRPr="00EC4CE3" w:rsidP="009D7F27" w14:paraId="0C9A397D" w14:textId="77777777">
      <w:pPr>
        <w:pStyle w:val="NormalHanging12a"/>
      </w:pPr>
      <w:r w:rsidRPr="00EC4CE3">
        <w:t>5.</w:t>
      </w:r>
      <w:r w:rsidRPr="00EC4CE3">
        <w:tab/>
        <w:t>Realça a importância de uma abordagem Equipa Europa, que assegure a coerência entre as instituições da UE e os Estados-Membros que trabalham na dimensão externa da migração; salienta que a Equipa Europa deve coordenar os esforços políticos, diplomáticos, financeiros e técnicos para desenvolver e aprofundar parcerias globais que apoiem os países parceiros na gestão da migração de forma segura, ordenada, regular e responsável, mediante a aplicação de uma abordagem eficaz baseada nos direitos humanos e centrada nas pessoas, que também responda às necessidades dos refugiados e das pessoas deslocadas internamente;</w:t>
      </w:r>
    </w:p>
    <w:p w:rsidR="009D7F27" w:rsidRPr="00EC4CE3" w:rsidP="009D7F27" w14:paraId="139C1A26" w14:textId="77777777">
      <w:pPr>
        <w:pStyle w:val="NormalHanging12a"/>
      </w:pPr>
      <w:r w:rsidRPr="00EC4CE3">
        <w:t>6.</w:t>
      </w:r>
      <w:r w:rsidRPr="00EC4CE3">
        <w:tab/>
        <w:t>Salienta que, a fim de prevenir a corrupção e evitar a má gestão, a Comissão deve garantir a existência de mecanismos claros de acompanhamento e avaliação, de modo a proporcionar uma responsabilização e transparência efetivas na execução do orçamento da UE, nomeadamente ao afrontar a ligação entre o desenvolvimento e as causas profundas da migração;</w:t>
      </w:r>
    </w:p>
    <w:p w:rsidR="009D7F27" w:rsidRPr="00EC4CE3" w:rsidP="009D7F27" w14:paraId="66A3DDF2" w14:textId="77777777">
      <w:pPr>
        <w:pStyle w:val="NormalHanging12a"/>
      </w:pPr>
      <w:r w:rsidRPr="00EC4CE3">
        <w:t>7.</w:t>
      </w:r>
      <w:r w:rsidRPr="00EC4CE3">
        <w:tab/>
        <w:t>Exorta a Comissão e os Estados-Membros a reforçar o diálogo político com os países terceiros, a fim de consolidar e desenvolver abordagens globais e mutuamente benéficas, país a país, que tenham em conta as necessidades de desenvolvimento e migração e os contextos específicos dos países de origem e de trânsito, sobretudo no que diz respeito ao desenvolvimento humano, ao trabalho digno, à inclusão social, à proteção dos migrantes, dos refugiados e das pessoas deslocadas internamente; ressalta que tal cooperação deve basear-se na solidariedade, na responsabilidade partilhada e no respeito dos direitos humanos;</w:t>
      </w:r>
    </w:p>
    <w:p w:rsidR="009D7F27" w:rsidRPr="00EC4CE3" w:rsidP="009D7F27" w14:paraId="37868B52" w14:textId="77777777">
      <w:pPr>
        <w:pStyle w:val="NormalHanging12a"/>
      </w:pPr>
      <w:r w:rsidRPr="00EC4CE3">
        <w:t>8.</w:t>
      </w:r>
      <w:r w:rsidRPr="00EC4CE3">
        <w:tab/>
        <w:t xml:space="preserve">Salienta a necessidade de uma compreensão clara dos acampamentos de migrantes e dos seus efeitos locais; insta a Comissão e os Estados-Membros a desenvolver uma estratégia que destaque a necessidade de uma perspetiva local, a reforçar a apropriação local e a basear-se nas prioridades regionais existentes, nomeadamente apoiando os sistemas de migração </w:t>
      </w:r>
      <w:r w:rsidRPr="00EC4CE3">
        <w:t>intracontinentais</w:t>
      </w:r>
      <w:r w:rsidRPr="00EC4CE3">
        <w:t>;</w:t>
      </w:r>
    </w:p>
    <w:p w:rsidR="009D7F27" w:rsidRPr="00EC4CE3" w:rsidP="009D7F27" w14:paraId="3F9B8CAD" w14:textId="77777777">
      <w:pPr>
        <w:pStyle w:val="NormalHanging12a"/>
      </w:pPr>
      <w:r w:rsidRPr="00EC4CE3">
        <w:t>9.</w:t>
      </w:r>
      <w:r w:rsidRPr="00EC4CE3">
        <w:tab/>
        <w:t>Insta a Comissão a dar prioridade aos contextos geográficos frágeis, tendo igualmente em conta os dados específicos da migração e as informações baseadas na investigação, com vista a determinar melhor as necessidades dos países parceiros e concentrar-se nas suas prioridades, designadamente em matéria de migração irregular e deslocações forçadas;</w:t>
      </w:r>
    </w:p>
    <w:p w:rsidR="009D7F27" w:rsidRPr="00EC4CE3" w:rsidP="009D7F27" w14:paraId="4D70920D" w14:textId="77777777">
      <w:pPr>
        <w:pStyle w:val="NormalHanging12a"/>
      </w:pPr>
      <w:r w:rsidRPr="00EC4CE3">
        <w:t>10.</w:t>
      </w:r>
      <w:r w:rsidRPr="00EC4CE3">
        <w:tab/>
        <w:t>Sublinha que a Estratégia Global Gateway pode desempenhar um papel fundamental na promoção do desenvolvimento económico sustentável e na criação de emprego nos países parceiros, capacitando assim as comunidades locais e permitindo que as pessoas contribuam ativamente para o desenvolvimento tanto dos seus países de origem como das comunidades de acolhimento, combatendo, desta forma, as causas profundas da migração irregular;</w:t>
      </w:r>
    </w:p>
    <w:p w:rsidR="009D7F27" w:rsidRPr="00EC4CE3" w:rsidP="009D7F27" w14:paraId="729FE851" w14:textId="77777777">
      <w:pPr>
        <w:pStyle w:val="NormalHanging12a"/>
      </w:pPr>
      <w:r w:rsidRPr="00EC4CE3">
        <w:t>11.</w:t>
      </w:r>
      <w:r w:rsidRPr="00EC4CE3">
        <w:tab/>
        <w:t>Sublinha a necessidade de assegurar uma maior participação do setor privado, diversificar e implementar vias legais, reconhecer competências, envolver os bancos de desenvolvimento da UE e desenvolver abordagens inovadoras para combinar fundos no quadro da Equipa Europa, contribuindo simultaneamente para a Estratégia Global Gateway; insta à participação do setor privado europeu em projetos de desenvolvimento em países parceiros, garantindo o apoio a um quadro de investimento seguro e transparente que viabilize a participação das pequenas e médias empresas e a criação de cadeias de produção locais;</w:t>
      </w:r>
    </w:p>
    <w:p w:rsidR="009D7F27" w:rsidRPr="00EC4CE3" w:rsidP="009D7F27" w14:paraId="7BA06555" w14:textId="77777777">
      <w:pPr>
        <w:pStyle w:val="NormalHanging12a"/>
      </w:pPr>
      <w:r w:rsidRPr="00EC4CE3">
        <w:t>12.</w:t>
      </w:r>
      <w:r w:rsidRPr="00EC4CE3">
        <w:tab/>
        <w:t xml:space="preserve">Sublinha que a escassez de água, a degradação ambiental e dos solos, a desflorestação e outras catástrofes relacionadas com o clima são fatores subjacentes aos fluxos migratórios, nomeadamente as deslocações forçadas; frisa que as pessoas deslocadas devido à degradação ambiental e às catástrofes provocadas pelo clima necessitam de apoio adequado; insta a Comissão e os Estados-Membros a dar prioridade, no âmbito dos programas de desenvolvimento, aos investimentos na gestão sustentável dos recursos naturais, designadamente a conservação da água e dos solos, a reflorestação, a agricultura resiliente às alterações climáticas e as energias renováveis, a fim de reforçar </w:t>
      </w:r>
      <w:r w:rsidRPr="00EC4CE3">
        <w:t>a coesão social e a resiliência das comunidades, evitar tensões em relação aos recursos naturais e aumentar as possibilidades de as pessoas construírem vidas sustentáveis nos seus países de origem;</w:t>
      </w:r>
    </w:p>
    <w:p w:rsidR="009D7F27" w:rsidRPr="00EC4CE3" w:rsidP="009D7F27" w14:paraId="535C5C19" w14:textId="77777777">
      <w:pPr>
        <w:pStyle w:val="NormalHanging12a"/>
      </w:pPr>
      <w:r w:rsidRPr="00EC4CE3">
        <w:t>13.</w:t>
      </w:r>
      <w:r w:rsidRPr="00EC4CE3">
        <w:tab/>
        <w:t>Enfatiza que a UE tem de aplicar uma abordagem holística, centrada no nível local, com o objetivo de prestar ajuda ao desenvolvimento para contribuir para o desenvolvimento estrutural através do apoio à democracia, ao Estado de direito, a uma ordem baseada em normas e nas instituições, com vista a criar um impacto sustentável;</w:t>
      </w:r>
    </w:p>
    <w:p w:rsidR="009D7F27" w:rsidRPr="00EC4CE3" w:rsidP="009D7F27" w14:paraId="19460C6B" w14:textId="77777777">
      <w:pPr>
        <w:pStyle w:val="NormalHanging12a"/>
      </w:pPr>
      <w:r w:rsidRPr="00EC4CE3">
        <w:t>14.</w:t>
      </w:r>
      <w:r w:rsidRPr="00EC4CE3">
        <w:tab/>
        <w:t>Sublinha a importância de executar programas de desenvolvimento em estreita cooperação com as autoridades locais, a sociedade civil e o setor privado;</w:t>
      </w:r>
    </w:p>
    <w:p w:rsidR="009D7F27" w:rsidRPr="00EC4CE3" w:rsidP="009D7F27" w14:paraId="2F57167A" w14:textId="77777777">
      <w:pPr>
        <w:pStyle w:val="NormalHanging12a"/>
      </w:pPr>
      <w:r w:rsidRPr="00EC4CE3">
        <w:t>15.</w:t>
      </w:r>
      <w:r w:rsidRPr="00EC4CE3">
        <w:tab/>
        <w:t>Salienta a necessidade de combater a introdução clandestina de migrantes e o tráfico de seres humanos através do reforço da cooperação internacional e multilateral com os países parceiros, incluindo, quando aplicável, com as autoridades locais, as forças de segurança e as organizações da sociedade civil, em matéria de prevenção da criminalidade, proteção das vítimas, reforço da aplicação da lei, campanhas de sensibilização do público para combater a desinformação, ações penais contra os autores dos crimes e prevenção da exploração de migrantes por redes de criminalidade e passadores de migrantes, bem como proporcionando alternativas mais seguras mediante a criação de vias legais para a migração segura e regular e a mobilidade laboral; sublinha que um controlo rigoroso das fronteiras sem vias legais alternativas para a migração altera as rotas de migração, introduzindo diferentes etapas na viagem e novos países de trânsito, aumentando assim a precariedade da viagem e a exposição dos migrantes a redes de introdução clandestina de migrantes, extorsão e violência;</w:t>
      </w:r>
    </w:p>
    <w:p w:rsidR="009D7F27" w:rsidRPr="00EC4CE3" w:rsidP="009D7F27" w14:paraId="3B06033D" w14:textId="77777777">
      <w:pPr>
        <w:pStyle w:val="NormalHanging12a"/>
      </w:pPr>
      <w:r w:rsidRPr="00EC4CE3">
        <w:t>16.</w:t>
      </w:r>
      <w:r w:rsidRPr="00EC4CE3">
        <w:tab/>
        <w:t>Insta a Comissão e os Estados-Membros a promover a cooperação com os países parceiros em matéria de migração;</w:t>
      </w:r>
    </w:p>
    <w:p w:rsidR="009D7F27" w:rsidRPr="00EC4CE3" w:rsidP="009D7F27" w14:paraId="70B7087C" w14:textId="77777777">
      <w:pPr>
        <w:pStyle w:val="NormalHanging12a"/>
      </w:pPr>
      <w:r w:rsidRPr="00EC4CE3">
        <w:t>17.</w:t>
      </w:r>
      <w:r w:rsidRPr="00EC4CE3">
        <w:tab/>
        <w:t>Recorda que a ajuda humanitária deve ser sempre prestada em conformidade com os princípios humanitários;</w:t>
      </w:r>
    </w:p>
    <w:p w:rsidR="009D7F27" w:rsidP="009D7F27" w14:paraId="38CD6845" w14:textId="77777777">
      <w:pPr>
        <w:pStyle w:val="NormalHanging12a"/>
      </w:pPr>
      <w:r w:rsidRPr="00EC4CE3">
        <w:t>18.</w:t>
      </w:r>
      <w:r w:rsidRPr="00EC4CE3">
        <w:tab/>
        <w:t>Solicita que a Comissão continue a apoiar os países de origem e os países vizinhos de acolhimento para fazer frente ao aumento dos fluxos migratórios intercontinentais;</w:t>
      </w:r>
    </w:p>
    <w:p w:rsidR="005153BF" w:rsidRPr="00EC4CE3" w:rsidP="009D7F27" w14:paraId="39A0296D" w14:textId="33B68D52">
      <w:pPr>
        <w:pStyle w:val="NormalHanging12a"/>
      </w:pPr>
      <w:r>
        <w:t>19.</w:t>
      </w:r>
      <w:r>
        <w:tab/>
      </w:r>
      <w:r w:rsidRPr="005153BF">
        <w:t>Insta a Comissão e os Estados</w:t>
      </w:r>
      <w:r>
        <w:t>-</w:t>
      </w:r>
      <w:r w:rsidRPr="005153BF">
        <w:t>Membros a reforçarem a sua capacidade de prevenção e resposta à instrumentalização dos migrantes; destaca a necessidade de uma cooperação reforçada com os países parceiros e as agências competentes, a fim de detetar, prevenir e combater tais ações;</w:t>
      </w:r>
    </w:p>
    <w:p w:rsidR="009D7F27" w:rsidRPr="00EC4CE3" w:rsidP="009D7F27" w14:paraId="3B25F635" w14:textId="137F1318">
      <w:pPr>
        <w:pStyle w:val="NormalHanging12a"/>
      </w:pPr>
      <w:r>
        <w:t>20</w:t>
      </w:r>
      <w:r w:rsidRPr="00EC4CE3">
        <w:t>.</w:t>
      </w:r>
      <w:r w:rsidRPr="00EC4CE3">
        <w:tab/>
        <w:t>Salienta que o financiamento público do desenvolvimento é crucial para os países parceiros e que o investimento privado pode contribuir para a consecução dos objetivos da política de desenvolvimento da UE e observa que as garantias de investimento da UE incentivam as empresas a realizar investimentos, desde que seja exercido um dever de diligência rigoroso para garantir o cumprimento das normas sociais, ambientais e de governação, bem como o alinhamento com os ODS; recorda que a consecução dos ODS é essencial para melhorar os meios de subsistência nos países terceiros;</w:t>
      </w:r>
    </w:p>
    <w:p w:rsidR="009D7F27" w:rsidRPr="00EC4CE3" w:rsidP="009D7F27" w14:paraId="3A63329C" w14:textId="0D0C4209">
      <w:pPr>
        <w:pStyle w:val="NormalHanging12a"/>
      </w:pPr>
      <w:r>
        <w:t>21</w:t>
      </w:r>
      <w:r w:rsidRPr="00EC4CE3">
        <w:t>.</w:t>
      </w:r>
      <w:r w:rsidRPr="00EC4CE3">
        <w:tab/>
        <w:t xml:space="preserve">Solicita que os instrumentos financeiros da UE, o Fundo Europeu para o Desenvolvimento Sustentável Mais e o Banco Europeu de Investimento tenham por </w:t>
      </w:r>
      <w:r w:rsidRPr="00EC4CE3">
        <w:t>objetivo gerar retornos económicos locais, com o intuito de reforçar a autonomia económica e a sustentabilidade a longo prazo;</w:t>
      </w:r>
    </w:p>
    <w:p w:rsidR="009D7F27" w:rsidRPr="00EC4CE3" w:rsidP="009D7F27" w14:paraId="0A995EF8" w14:textId="2A4DFD3B">
      <w:pPr>
        <w:pStyle w:val="NormalHanging12a"/>
      </w:pPr>
      <w:r>
        <w:t>22</w:t>
      </w:r>
      <w:r w:rsidRPr="00EC4CE3">
        <w:t>.</w:t>
      </w:r>
      <w:r w:rsidRPr="00EC4CE3">
        <w:tab/>
        <w:t>Relembra que a APD continua a ser um instrumento vital para a redução da pobreza, combater as desigualdades e apoiar as comunidades mais vulneráveis; critica veementemente os cortes drásticos na APD efetuados pelos principais doadores mundiais; insta a UE e os seus Estados-Membros a respeitar o seu compromisso de afetar 0,7 % do rendimento nacional bruto à APD;</w:t>
      </w:r>
    </w:p>
    <w:p w:rsidR="009D7F27" w:rsidRPr="00EC4CE3" w:rsidP="009D7F27" w14:paraId="38DD10D5" w14:textId="0CF88F7D">
      <w:pPr>
        <w:pStyle w:val="NormalHanging12a"/>
      </w:pPr>
      <w:r>
        <w:t>23</w:t>
      </w:r>
      <w:r w:rsidRPr="00EC4CE3">
        <w:t>.</w:t>
      </w:r>
      <w:r w:rsidRPr="00EC4CE3">
        <w:tab/>
        <w:t>Insta a Comissão a assegurar uma maior responsabilização, transparência e supervisão parlamentar na conceção e execução de todo o financiamento da UE, designadamente o futuro Instrumento Europa Global, que deve dar prioridade à execução dos ODS, inclusivamente no tocante à resolução dos problemas associados à migração irregular;</w:t>
      </w:r>
    </w:p>
    <w:p w:rsidR="009D7F27" w:rsidRPr="00EC4CE3" w:rsidP="009D7F27" w14:paraId="13DB92D3" w14:textId="36A553BA">
      <w:pPr>
        <w:pStyle w:val="NormalHanging12a"/>
      </w:pPr>
      <w:r>
        <w:t>24</w:t>
      </w:r>
      <w:r w:rsidRPr="00EC4CE3">
        <w:t>.</w:t>
      </w:r>
      <w:r w:rsidRPr="00EC4CE3">
        <w:tab/>
        <w:t>Salienta que o desenvolvimento agrícola e rural, juntamente com a política alimentar e nutricional, pode contribuir para dar resposta a algumas das causas profundas da migração; recorda que o acesso à terra e aos recursos naturais é primordial para garantir a segurança alimentar e nutricional das comunidades locais, melhorar a produtividade dos pequenos agricultores, adaptando simultaneamente a produção às alterações climáticas, e promover a aplicação das diretrizes voluntárias para os regimes fundiários da Organização das Nações Unidas para a Alimentação e a Agricultura (FAO), que dão prioridade aos direitos e às necessidades dos legítimos titulares dos direitos fundiários, em especial as mulheres;</w:t>
      </w:r>
    </w:p>
    <w:p w:rsidR="009D7F27" w:rsidRPr="00EC4CE3" w:rsidP="009D7F27" w14:paraId="699C5B27" w14:textId="7F89CB93">
      <w:pPr>
        <w:pStyle w:val="NormalHanging12a"/>
      </w:pPr>
      <w:r>
        <w:t>25</w:t>
      </w:r>
      <w:r w:rsidRPr="00EC4CE3">
        <w:t>.</w:t>
      </w:r>
      <w:r w:rsidRPr="00EC4CE3">
        <w:tab/>
        <w:t>Convida a Comissão a aumentar o apoio às instituições de ensino superior e à educação e formação técnica e profissional nos países parceiros, no âmbito da sua estratégia de desenvolvimento, a fim de combater as causas profundas da migração; destaca a importância de reforçar o desenvolvimento humano através do investimento em competências a nível local; insta a Comissão a ajudar os países parceiros a reforçar as suas capacidades a este respeito; solicita igualmente um maior apoio às iniciativas lideradas por jovens para reforçar as competências, a inovação e os intercâmbios e a tirar partido da migração enquanto motor do desenvolvimento sustentável;</w:t>
      </w:r>
    </w:p>
    <w:p w:rsidR="009D7F27" w:rsidRPr="00EC4CE3" w:rsidP="009D7F27" w14:paraId="2E61D158" w14:textId="6453D1C4">
      <w:pPr>
        <w:pStyle w:val="NormalHanging12a"/>
      </w:pPr>
      <w:r>
        <w:t>26</w:t>
      </w:r>
      <w:r w:rsidRPr="00EC4CE3">
        <w:t>.</w:t>
      </w:r>
      <w:r w:rsidRPr="00EC4CE3">
        <w:tab/>
        <w:t>Insta a Comissão a continuar a explorar a parceria de talentos da UE com mais países terceiros, especialmente os que registam elevados níveis de emigração;</w:t>
      </w:r>
    </w:p>
    <w:p w:rsidR="009D7F27" w:rsidRPr="00EC4CE3" w:rsidP="009D7F27" w14:paraId="79A8DF34" w14:textId="7EA346B5">
      <w:pPr>
        <w:pStyle w:val="NormalHanging12a"/>
      </w:pPr>
      <w:r>
        <w:t>27</w:t>
      </w:r>
      <w:r w:rsidRPr="00EC4CE3">
        <w:t>.</w:t>
      </w:r>
      <w:r w:rsidRPr="00EC4CE3">
        <w:tab/>
        <w:t>Salienta que a emancipação económica e a criação de empregos dignos são instrumentos fundamentais para reduzir as desigualdades e que melhoram os meios de subsistência nos países de origem, limitando assim as causas da migração irregular; solicita que os fundos da UE apoiem igualmente o empreendedorismo local e as infraestruturas públicas;</w:t>
      </w:r>
    </w:p>
    <w:p w:rsidR="009D7F27" w:rsidRPr="00EC4CE3" w:rsidP="009D7F27" w14:paraId="5E87BD9B" w14:textId="58DC8D48">
      <w:pPr>
        <w:pStyle w:val="NormalHanging12a"/>
      </w:pPr>
      <w:r>
        <w:t>28</w:t>
      </w:r>
      <w:r w:rsidRPr="00EC4CE3">
        <w:t>.</w:t>
      </w:r>
      <w:r w:rsidRPr="00EC4CE3">
        <w:tab/>
        <w:t>Salienta que os jovens devem estar no centro das parcerias e são essenciais para o desenvolvimento sustentável; sublinha a importância de apoiar programas de intercâmbio, como o Erasmus+ e outros programas de mobilidade e competências dos jovens, a fim de proporcionar educação e oportunidades de emprego e dar aos jovens a possibilidade de prosperar nos seus países de origem;</w:t>
      </w:r>
    </w:p>
    <w:p w:rsidR="009D7F27" w:rsidRPr="00EC4CE3" w:rsidP="009D7F27" w14:paraId="1881DCEC" w14:textId="2024E2FE">
      <w:pPr>
        <w:pStyle w:val="NormalHanging12a"/>
      </w:pPr>
      <w:r>
        <w:t>29</w:t>
      </w:r>
      <w:r w:rsidRPr="00EC4CE3">
        <w:t>.</w:t>
      </w:r>
      <w:r w:rsidRPr="00EC4CE3">
        <w:tab/>
        <w:t>Insta a Comissão a incluir a agricultura e a gestão da água nas suas prioridades para a cooperação, promovendo projetos que melhorem a autossuficiência e reduzam a pressão migratória;</w:t>
      </w:r>
    </w:p>
    <w:p w:rsidR="009D7F27" w:rsidRPr="00EC4CE3" w:rsidP="009D7F27" w14:paraId="4904F5A4" w14:textId="4224E9F6">
      <w:pPr>
        <w:pStyle w:val="NormalHanging12a"/>
      </w:pPr>
      <w:r>
        <w:t>30</w:t>
      </w:r>
      <w:r w:rsidRPr="00EC4CE3">
        <w:t>.</w:t>
      </w:r>
      <w:r w:rsidRPr="00EC4CE3">
        <w:tab/>
        <w:t>Assinala que a migração e a fuga de cérebros podem ser problemáticos para o desenvolvimento de um país parceiro ao reduzir a disponibilidade de mão de obra qualificada; recorda que a cooperação para o desenvolvimento pode atenuar este risco mediante estratégias globais que apoiem sistemas de educação e formação de qualidade, reforcem as oportunidades de emprego a nível local e promovam a transferência de conhecimentos e competências; insta, portanto, a Comissão a prosseguir o seu trabalho neste domínio, nomeadamente abordando a questão da fuga de cérebros através do quadro e do financiamento da política de desenvolvimento;</w:t>
      </w:r>
    </w:p>
    <w:p w:rsidR="009D7F27" w:rsidRPr="00EC4CE3" w:rsidP="009D7F27" w14:paraId="5E507F59" w14:textId="1D306B58">
      <w:pPr>
        <w:pStyle w:val="NormalHanging12a"/>
      </w:pPr>
      <w:r>
        <w:t>31</w:t>
      </w:r>
      <w:r w:rsidRPr="00EC4CE3">
        <w:t>.</w:t>
      </w:r>
      <w:r w:rsidRPr="00EC4CE3">
        <w:tab/>
        <w:t>Reconhece o papel crucial das comunidades da diáspora na promoção do desenvolvimento sustentável, do investimento e da inovação nos seus países de origem; salienta que a capacitação das redes da diáspora cria benefícios recíprocos tanto para os países parceiros como para a UE; insta a UE e os seus Estados-Membros a reforçarem o diálogo com as organizações da diáspora e a desenvolverem programas inclusivos que contribuam para formas mutuamente benéficas de migração circular;</w:t>
      </w:r>
    </w:p>
    <w:p w:rsidR="009D7F27" w:rsidRPr="00EC4CE3" w:rsidP="009D7F27" w14:paraId="51327351" w14:textId="6592D4CD">
      <w:pPr>
        <w:pStyle w:val="NormalHanging12a"/>
      </w:pPr>
      <w:r>
        <w:t>32</w:t>
      </w:r>
      <w:r w:rsidRPr="00EC4CE3">
        <w:t>.</w:t>
      </w:r>
      <w:r w:rsidRPr="00EC4CE3">
        <w:tab/>
        <w:t>Exorta a Comissão e os Estados-Membros a investirem em campanhas de sensibilização, tanto na UE como em países terceiros, para combater a desinformação e divulgar informações sobre os riscos da migração irregular, bem como para promover a compreensão das regras da UE em matéria de obrigações relativas à migração laboral;</w:t>
      </w:r>
    </w:p>
    <w:p w:rsidR="009D7F27" w:rsidRPr="00EC4CE3" w:rsidP="009D7F27" w14:paraId="177EB92E" w14:textId="4CFAA167">
      <w:pPr>
        <w:pStyle w:val="NormalHanging12a"/>
      </w:pPr>
      <w:r>
        <w:t>33</w:t>
      </w:r>
      <w:r w:rsidRPr="00EC4CE3">
        <w:t>.</w:t>
      </w:r>
      <w:r w:rsidRPr="00EC4CE3">
        <w:tab/>
        <w:t>Insta a Comissão e os Estados-Membros a aumentarem o financiamento para melhorar o Estado de direito, o apoio à democracia, ao reforço do Estado e das capacidades, bem como aos serviços públicos, designadamente a saúde, o acesso à água potável e a educação;</w:t>
      </w:r>
    </w:p>
    <w:p w:rsidR="009D7F27" w:rsidRPr="00EC4CE3" w:rsidP="009D7F27" w14:paraId="7392C983" w14:textId="460EB998">
      <w:pPr>
        <w:pStyle w:val="NormalHanging12a"/>
      </w:pPr>
      <w:r>
        <w:t>34</w:t>
      </w:r>
      <w:r w:rsidRPr="00EC4CE3">
        <w:t>.</w:t>
      </w:r>
      <w:r w:rsidRPr="00EC4CE3">
        <w:tab/>
        <w:t>Reitera que uma abordagem holística que combine a cooperação para o desenvolvimento e a gestão da migração é essencial para garantir eficazmente a segurança e a solidariedade, tanto na UE como nos países de origem e de trânsito;</w:t>
      </w:r>
    </w:p>
    <w:p w:rsidR="009D7F27" w:rsidRPr="00EC4CE3" w:rsidP="009D7F27" w14:paraId="6149A272" w14:textId="3DF2D981">
      <w:pPr>
        <w:pStyle w:val="NormalHanging12a"/>
      </w:pPr>
      <w:r>
        <w:t>35</w:t>
      </w:r>
      <w:r w:rsidRPr="00EC4CE3">
        <w:t>.</w:t>
      </w:r>
      <w:r w:rsidRPr="00EC4CE3">
        <w:tab/>
        <w:t>Saúda o trabalho essencial dos intervenientes nos domínios humanitário, do desenvolvimento e da paz, em especial as organizações das Nações Unidas, outras organizações internacionais e os intervenientes locais, nomeadamente as autoridades locais, as organizações da sociedade civil, os defensores dos direitos humanos, as organizações de mulheres, as organizações de jovens e as organizações não governamentais e as comunidades e organizações confessionais;</w:t>
      </w:r>
    </w:p>
    <w:p w:rsidR="009D7F27" w:rsidRPr="00EC4CE3" w:rsidP="009D7F27" w14:paraId="60E9D2FE" w14:textId="77777777">
      <w:pPr>
        <w:pStyle w:val="NormalCenter12a"/>
      </w:pPr>
      <w:r w:rsidRPr="00EC4CE3">
        <w:t>°</w:t>
      </w:r>
    </w:p>
    <w:p w:rsidR="009D7F27" w:rsidRPr="00EC4CE3" w:rsidP="009D7F27" w14:paraId="0550437A" w14:textId="77777777">
      <w:pPr>
        <w:pStyle w:val="NormalCenter12a"/>
      </w:pPr>
      <w:r w:rsidRPr="00EC4CE3">
        <w:t>°</w:t>
      </w:r>
      <w:r w:rsidRPr="00EC4CE3">
        <w:tab/>
        <w:t>°</w:t>
      </w:r>
    </w:p>
    <w:p w:rsidR="00E365E1" w:rsidRPr="00EC4CE3" w:rsidP="00EC4CE3" w14:paraId="196FE03C" w14:textId="288F092C">
      <w:pPr>
        <w:pStyle w:val="NormalHanging12a"/>
      </w:pPr>
      <w:r>
        <w:t>36</w:t>
      </w:r>
      <w:r w:rsidRPr="00EC4CE3" w:rsidR="009D7F27">
        <w:t>.</w:t>
      </w:r>
      <w:r w:rsidRPr="00EC4CE3" w:rsidR="009D7F27">
        <w:tab/>
        <w:t>Encarrega a sua Presidente de transmitir a presente resolução ao Conselho, à Comissão e ao Serviço Europeu para a Ação Externa.</w:t>
      </w:r>
    </w:p>
    <w:sectPr w:rsidSect="00733082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52358" w:rsidRPr="00733082" w14:paraId="332A7029" w14:textId="77777777">
      <w:r w:rsidRPr="00733082">
        <w:separator/>
      </w:r>
    </w:p>
  </w:footnote>
  <w:footnote w:type="continuationSeparator" w:id="1">
    <w:p w:rsidR="00552358" w:rsidRPr="00733082" w14:paraId="527D82B6" w14:textId="77777777">
      <w:r w:rsidRPr="00733082">
        <w:continuationSeparator/>
      </w:r>
    </w:p>
  </w:footnote>
  <w:footnote w:id="2">
    <w:p w:rsidR="0060343A" w:rsidRPr="005153BF" w:rsidP="00733082" w14:paraId="4C37715A" w14:textId="4717DE4B">
      <w:pPr>
        <w:pStyle w:val="FootnoteText"/>
        <w:ind w:left="567" w:hanging="567"/>
        <w:rPr>
          <w:sz w:val="24"/>
          <w:szCs w:val="24"/>
          <w:lang w:val="fi-FI"/>
        </w:rPr>
      </w:pPr>
      <w:r w:rsidRPr="005153BF">
        <w:rPr>
          <w:rStyle w:val="FootnoteReference"/>
          <w:sz w:val="24"/>
          <w:szCs w:val="24"/>
        </w:rPr>
        <w:footnoteRef/>
      </w:r>
      <w:r w:rsidRPr="005153BF">
        <w:rPr>
          <w:sz w:val="24"/>
          <w:szCs w:val="24"/>
          <w:lang w:val="fi-FI"/>
        </w:rPr>
        <w:t xml:space="preserve"> </w:t>
      </w:r>
      <w:r w:rsidRPr="005153BF">
        <w:rPr>
          <w:sz w:val="24"/>
          <w:szCs w:val="24"/>
          <w:lang w:val="fi-FI"/>
        </w:rPr>
        <w:tab/>
        <w:t xml:space="preserve">JO L 209 de 14.6.2021, p. 1, ELI: </w:t>
      </w:r>
      <w:hyperlink r:id="rId1" w:tgtFrame="http://data.europa.eu/eli/reg/2021/947/oj" w:history="1">
        <w:r w:rsidRPr="005153BF">
          <w:rPr>
            <w:rStyle w:val="Hyperlink"/>
            <w:sz w:val="24"/>
            <w:szCs w:val="24"/>
            <w:lang w:val="fi-FI"/>
          </w:rPr>
          <w:t>http://data.europa.eu/eli/reg/2021/947/oj</w:t>
        </w:r>
      </w:hyperlink>
      <w:r w:rsidRPr="005153BF">
        <w:rPr>
          <w:sz w:val="24"/>
          <w:szCs w:val="24"/>
          <w:lang w:val="fi-FI"/>
        </w:rPr>
        <w:t>.</w:t>
      </w:r>
    </w:p>
  </w:footnote>
  <w:footnote w:id="3">
    <w:p w:rsidR="0060343A" w:rsidRPr="005153BF" w:rsidP="00733082" w14:paraId="7E91F9F7" w14:textId="65C5043E">
      <w:pPr>
        <w:pStyle w:val="FootnoteText"/>
        <w:ind w:left="567" w:hanging="567"/>
        <w:rPr>
          <w:sz w:val="24"/>
          <w:szCs w:val="24"/>
          <w:lang w:val="fi-FI"/>
        </w:rPr>
      </w:pPr>
      <w:r w:rsidRPr="005153BF">
        <w:rPr>
          <w:rStyle w:val="FootnoteReference"/>
          <w:sz w:val="24"/>
          <w:szCs w:val="24"/>
        </w:rPr>
        <w:footnoteRef/>
      </w:r>
      <w:r w:rsidRPr="005153BF">
        <w:rPr>
          <w:sz w:val="24"/>
          <w:szCs w:val="24"/>
          <w:lang w:val="fi-FI"/>
        </w:rPr>
        <w:t xml:space="preserve"> </w:t>
      </w:r>
      <w:r w:rsidRPr="005153BF">
        <w:rPr>
          <w:sz w:val="24"/>
          <w:szCs w:val="24"/>
          <w:lang w:val="fi-FI"/>
        </w:rPr>
        <w:tab/>
        <w:t xml:space="preserve">JO L, 2024/1351, 22.5.2024, ELI: </w:t>
      </w:r>
      <w:hyperlink r:id="rId2" w:tgtFrame="http://data.europa.eu/eli/reg/2024/1351/oj" w:history="1">
        <w:r w:rsidRPr="005153BF">
          <w:rPr>
            <w:rStyle w:val="Hyperlink"/>
            <w:sz w:val="24"/>
            <w:szCs w:val="24"/>
            <w:lang w:val="fi-FI"/>
          </w:rPr>
          <w:t>http://data.europa.eu/eli/reg/2024/1351/oj</w:t>
        </w:r>
      </w:hyperlink>
      <w:r w:rsidRPr="005153BF">
        <w:rPr>
          <w:sz w:val="24"/>
          <w:szCs w:val="24"/>
          <w:lang w:val="fi-FI"/>
        </w:rPr>
        <w:t>.</w:t>
      </w:r>
    </w:p>
  </w:footnote>
  <w:footnote w:id="4">
    <w:p w:rsidR="0060343A" w:rsidRPr="005153BF" w:rsidP="00733082" w14:paraId="368DDA3F" w14:textId="308FA7D1">
      <w:pPr>
        <w:pStyle w:val="FootnoteText"/>
        <w:ind w:left="567" w:hanging="567"/>
        <w:rPr>
          <w:sz w:val="24"/>
          <w:szCs w:val="24"/>
          <w:lang w:val="fi-FI"/>
        </w:rPr>
      </w:pPr>
      <w:r w:rsidRPr="005153BF">
        <w:rPr>
          <w:rStyle w:val="FootnoteReference"/>
          <w:sz w:val="24"/>
          <w:szCs w:val="24"/>
        </w:rPr>
        <w:footnoteRef/>
      </w:r>
      <w:r w:rsidRPr="005153BF">
        <w:rPr>
          <w:sz w:val="24"/>
          <w:szCs w:val="24"/>
          <w:lang w:val="fi-FI"/>
        </w:rPr>
        <w:t xml:space="preserve"> </w:t>
      </w:r>
      <w:r w:rsidRPr="005153BF">
        <w:rPr>
          <w:sz w:val="24"/>
          <w:szCs w:val="24"/>
          <w:lang w:val="fi-FI"/>
        </w:rPr>
        <w:tab/>
        <w:t xml:space="preserve">JO L, 2023/2862, 28.12.2023, ELI: </w:t>
      </w:r>
      <w:hyperlink r:id="rId3" w:tgtFrame="http://data.europa.eu/eli/agree_internation/2023/2862/oj" w:history="1">
        <w:r w:rsidRPr="005153BF">
          <w:rPr>
            <w:rStyle w:val="Hyperlink"/>
            <w:sz w:val="24"/>
            <w:szCs w:val="24"/>
            <w:lang w:val="fi-FI"/>
          </w:rPr>
          <w:t>http://data.europa.eu/eli/agree_internation/2023/2862/oj</w:t>
        </w:r>
      </w:hyperlink>
      <w:r w:rsidRPr="005153BF">
        <w:rPr>
          <w:sz w:val="24"/>
          <w:szCs w:val="24"/>
          <w:lang w:val="fi-FI"/>
        </w:rPr>
        <w:t>.</w:t>
      </w:r>
    </w:p>
  </w:footnote>
  <w:footnote w:id="5">
    <w:p w:rsidR="0060343A" w:rsidRPr="005153BF" w:rsidP="00733082" w14:paraId="5CB45CC3" w14:textId="10641C52">
      <w:pPr>
        <w:pStyle w:val="FootnoteText"/>
        <w:ind w:left="567" w:hanging="567"/>
        <w:rPr>
          <w:sz w:val="24"/>
          <w:szCs w:val="24"/>
          <w:lang w:val="fi-FI"/>
        </w:rPr>
      </w:pPr>
      <w:r w:rsidRPr="005153BF">
        <w:rPr>
          <w:rStyle w:val="FootnoteReference"/>
          <w:sz w:val="24"/>
          <w:szCs w:val="24"/>
        </w:rPr>
        <w:footnoteRef/>
      </w:r>
      <w:r w:rsidRPr="005153BF">
        <w:rPr>
          <w:sz w:val="24"/>
          <w:szCs w:val="24"/>
          <w:lang w:val="fi-FI"/>
        </w:rPr>
        <w:t xml:space="preserve"> </w:t>
      </w:r>
      <w:r w:rsidRPr="005153BF">
        <w:rPr>
          <w:sz w:val="24"/>
          <w:szCs w:val="24"/>
          <w:lang w:val="fi-FI"/>
        </w:rPr>
        <w:tab/>
        <w:t xml:space="preserve">JO C, C/2026/576, 24.2.2026, ELI: </w:t>
      </w:r>
      <w:hyperlink r:id="rId4" w:tgtFrame="http://data.europa.eu/eli/C/2026/576/oj" w:history="1">
        <w:r w:rsidRPr="005153BF">
          <w:rPr>
            <w:rStyle w:val="Hyperlink"/>
            <w:sz w:val="24"/>
            <w:szCs w:val="24"/>
            <w:lang w:val="fi-FI"/>
          </w:rPr>
          <w:t>http://data.europa.eu/eli/C/2026/576/oj</w:t>
        </w:r>
      </w:hyperlink>
      <w:r w:rsidRPr="005153BF">
        <w:rPr>
          <w:sz w:val="24"/>
          <w:szCs w:val="24"/>
          <w:lang w:val="fi-FI"/>
        </w:rPr>
        <w:t>.</w:t>
      </w:r>
    </w:p>
  </w:footnote>
  <w:footnote w:id="6">
    <w:p w:rsidR="0060343A" w:rsidRPr="0060343A" w:rsidP="00733082" w14:paraId="1943DBA0" w14:textId="7A94E8A4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</w:r>
      <w:r w:rsidRPr="0060343A">
        <w:rPr>
          <w:sz w:val="24"/>
          <w:szCs w:val="24"/>
          <w:lang w:val="pt-PT"/>
        </w:rPr>
        <w:t>Talleraas</w:t>
      </w:r>
      <w:r w:rsidRPr="0060343A">
        <w:rPr>
          <w:sz w:val="24"/>
          <w:szCs w:val="24"/>
          <w:lang w:val="pt-PT"/>
        </w:rPr>
        <w:t>, C., «</w:t>
      </w:r>
      <w:r w:rsidRPr="0060343A">
        <w:rPr>
          <w:sz w:val="24"/>
          <w:szCs w:val="24"/>
          <w:lang w:val="pt-PT"/>
        </w:rPr>
        <w:t>The</w:t>
      </w:r>
      <w:r w:rsidRPr="0060343A">
        <w:rPr>
          <w:sz w:val="24"/>
          <w:szCs w:val="24"/>
          <w:lang w:val="pt-PT"/>
        </w:rPr>
        <w:t xml:space="preserve"> role </w:t>
      </w:r>
      <w:r w:rsidRPr="0060343A">
        <w:rPr>
          <w:sz w:val="24"/>
          <w:szCs w:val="24"/>
          <w:lang w:val="pt-PT"/>
        </w:rPr>
        <w:t>of</w:t>
      </w:r>
      <w:r w:rsidRPr="0060343A">
        <w:rPr>
          <w:sz w:val="24"/>
          <w:szCs w:val="24"/>
          <w:lang w:val="pt-PT"/>
        </w:rPr>
        <w:t xml:space="preserve"> EU </w:t>
      </w:r>
      <w:r w:rsidRPr="0060343A">
        <w:rPr>
          <w:sz w:val="24"/>
          <w:szCs w:val="24"/>
          <w:lang w:val="pt-PT"/>
        </w:rPr>
        <w:t>development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cooperation</w:t>
      </w:r>
      <w:r w:rsidRPr="0060343A">
        <w:rPr>
          <w:sz w:val="24"/>
          <w:szCs w:val="24"/>
          <w:lang w:val="pt-PT"/>
        </w:rPr>
        <w:t xml:space="preserve"> in </w:t>
      </w:r>
      <w:r w:rsidRPr="0060343A">
        <w:rPr>
          <w:sz w:val="24"/>
          <w:szCs w:val="24"/>
          <w:lang w:val="pt-PT"/>
        </w:rPr>
        <w:t>addressing</w:t>
      </w:r>
      <w:r w:rsidRPr="0060343A">
        <w:rPr>
          <w:sz w:val="24"/>
          <w:szCs w:val="24"/>
          <w:lang w:val="pt-PT"/>
        </w:rPr>
        <w:t xml:space="preserve"> irregular 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in Africa» [O papel da cooperação para o desenvolvimento da UE na luta contra a migração irregular em África], Unidade de Análise e Acompanhamento das Políticas Externas, Direção-Geral das Políticas Externas da União, outubro de 2025.</w:t>
      </w:r>
    </w:p>
  </w:footnote>
  <w:footnote w:id="7">
    <w:p w:rsidR="0060343A" w:rsidRPr="0060343A" w:rsidP="00733082" w14:paraId="072E9E5E" w14:textId="2D1AD3E2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>JO C 494 de 8.12.2021, p. 80.</w:t>
      </w:r>
    </w:p>
  </w:footnote>
  <w:footnote w:id="8">
    <w:p w:rsidR="0060343A" w:rsidRPr="0060343A" w:rsidP="00733082" w14:paraId="17E44C6E" w14:textId="196B77C9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 xml:space="preserve">Essentials </w:t>
      </w:r>
      <w:r w:rsidRPr="0060343A">
        <w:rPr>
          <w:sz w:val="24"/>
          <w:szCs w:val="24"/>
          <w:lang w:val="pt-PT"/>
        </w:rPr>
        <w:t>of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Management, «Drivers </w:t>
      </w:r>
      <w:r w:rsidRPr="0060343A">
        <w:rPr>
          <w:sz w:val="24"/>
          <w:szCs w:val="24"/>
          <w:lang w:val="pt-PT"/>
        </w:rPr>
        <w:t>of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international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>» [Fundamentos da gestão da migração «Fatores impulsionadores da migração internacional],</w:t>
      </w:r>
      <w:hyperlink r:id="rId5" w:tgtFrame="https://emm.iom.int/handbooks/global-context-international-migration/drivers-international-migration" w:history="1">
        <w:r w:rsidRPr="0060343A">
          <w:rPr>
            <w:rStyle w:val="Hyperlink"/>
            <w:sz w:val="24"/>
            <w:szCs w:val="24"/>
            <w:lang w:val="pt-PT"/>
          </w:rPr>
          <w:t xml:space="preserve"> https://emm.iom.int/handbooks/global-context-international-migration/drivers-international-migration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9">
    <w:p w:rsidR="0060343A" w:rsidRPr="0060343A" w:rsidP="00733082" w14:paraId="3980772D" w14:textId="44D8708D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 xml:space="preserve">Agência da União Europeia para o Asilo, «3.4. Data </w:t>
      </w:r>
      <w:r w:rsidRPr="0060343A">
        <w:rPr>
          <w:sz w:val="24"/>
          <w:szCs w:val="24"/>
          <w:lang w:val="pt-PT"/>
        </w:rPr>
        <w:t>on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applications</w:t>
      </w:r>
      <w:r w:rsidRPr="0060343A">
        <w:rPr>
          <w:sz w:val="24"/>
          <w:szCs w:val="24"/>
          <w:lang w:val="pt-PT"/>
        </w:rPr>
        <w:t xml:space="preserve"> for </w:t>
      </w:r>
      <w:r w:rsidRPr="0060343A">
        <w:rPr>
          <w:sz w:val="24"/>
          <w:szCs w:val="24"/>
          <w:lang w:val="pt-PT"/>
        </w:rPr>
        <w:t>international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protection</w:t>
      </w:r>
      <w:r w:rsidRPr="0060343A">
        <w:rPr>
          <w:sz w:val="24"/>
          <w:szCs w:val="24"/>
          <w:lang w:val="pt-PT"/>
        </w:rPr>
        <w:t xml:space="preserve">» [Dados sobre pedidos de proteção internacional], </w:t>
      </w:r>
      <w:hyperlink r:id="rId6" w:tgtFrame="https://euaa.europa.eu/asylum-report-2025/34-data-applications-international-protection" w:history="1">
        <w:r w:rsidRPr="0060343A">
          <w:rPr>
            <w:rStyle w:val="Hyperlink"/>
            <w:sz w:val="24"/>
            <w:szCs w:val="24"/>
            <w:lang w:val="pt-PT"/>
          </w:rPr>
          <w:t>https://euaa.europa.eu/asylum-report-2025/34-data-applications-international-protection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10">
    <w:p w:rsidR="0060343A" w:rsidRPr="0060343A" w:rsidP="00733082" w14:paraId="0FA67683" w14:textId="43025AFC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</w:r>
      <w:hyperlink r:id="rId7" w:tgtFrame="https://www.frontex.europa.eu/media-centre/news/news-release/frontex-irregular-border-crossings-down-26-in-2025-europe-must-stay-prepared-lyKpVb" w:history="1">
        <w:r w:rsidRPr="0060343A">
          <w:rPr>
            <w:rStyle w:val="Hyperlink"/>
            <w:sz w:val="24"/>
            <w:szCs w:val="24"/>
            <w:lang w:val="pt-PT"/>
          </w:rPr>
          <w:t>https://www.frontex.europa.eu/media-centre/news/news-release/frontex-irregular-border-crossings-down-26-in-2025-europe-must-stay-prepared-lyKpVb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11">
    <w:p w:rsidR="0060343A" w:rsidRPr="0060343A" w:rsidP="00733082" w14:paraId="0D4AA710" w14:textId="32675F8C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>Este número não inclui os requerentes de asilo e os refugiados oriundos da Ucrânia sob proteção temporária para alguns Estados-Membros. Eurostat, «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to </w:t>
      </w:r>
      <w:r w:rsidRPr="0060343A">
        <w:rPr>
          <w:sz w:val="24"/>
          <w:szCs w:val="24"/>
          <w:lang w:val="pt-PT"/>
        </w:rPr>
        <w:t>and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from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the</w:t>
      </w:r>
      <w:r w:rsidRPr="0060343A">
        <w:rPr>
          <w:sz w:val="24"/>
          <w:szCs w:val="24"/>
          <w:lang w:val="pt-PT"/>
        </w:rPr>
        <w:t xml:space="preserve"> EU» [Migração de e para a UE], </w:t>
      </w:r>
      <w:hyperlink r:id="rId8" w:tgtFrame="https://ec.europa.eu/eurostat/statistics-explained/index.php?title=Migration_to_and_from_the_EU" w:history="1">
        <w:r w:rsidRPr="0060343A">
          <w:rPr>
            <w:rStyle w:val="Hyperlink"/>
            <w:sz w:val="24"/>
            <w:szCs w:val="24"/>
            <w:lang w:val="pt-PT"/>
          </w:rPr>
          <w:t>https://ec.europa.eu/eurostat/statistics-explained/index.php?title=Migration_to_and_from_the_EU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12">
    <w:p w:rsidR="0060343A" w:rsidRPr="0060343A" w:rsidP="00733082" w14:paraId="0CD671C0" w14:textId="4F9BA9FD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>Eurostat, «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and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asylum</w:t>
      </w:r>
      <w:r w:rsidRPr="0060343A">
        <w:rPr>
          <w:sz w:val="24"/>
          <w:szCs w:val="24"/>
          <w:lang w:val="pt-PT"/>
        </w:rPr>
        <w:t xml:space="preserve"> in </w:t>
      </w:r>
      <w:r w:rsidRPr="0060343A">
        <w:rPr>
          <w:sz w:val="24"/>
          <w:szCs w:val="24"/>
          <w:lang w:val="pt-PT"/>
        </w:rPr>
        <w:t>Europe</w:t>
      </w:r>
      <w:r w:rsidRPr="0060343A">
        <w:rPr>
          <w:sz w:val="24"/>
          <w:szCs w:val="24"/>
          <w:lang w:val="pt-PT"/>
        </w:rPr>
        <w:t xml:space="preserve">» [Migração e asilo na Europa] — edição de 2025, «Irregular 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and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return</w:t>
      </w:r>
      <w:r w:rsidRPr="0060343A">
        <w:rPr>
          <w:sz w:val="24"/>
          <w:szCs w:val="24"/>
          <w:lang w:val="pt-PT"/>
        </w:rPr>
        <w:t xml:space="preserve">» [Migração irregular e regresso], </w:t>
      </w:r>
      <w:hyperlink r:id="rId9" w:anchor="irregular-migration-and-return" w:tgtFrame="https://ec.europa.eu/eurostat/web/interactive-publications/migration-2025#irregular-migration-and-return" w:history="1">
        <w:r w:rsidRPr="0060343A">
          <w:rPr>
            <w:rStyle w:val="Hyperlink"/>
            <w:sz w:val="24"/>
            <w:szCs w:val="24"/>
            <w:lang w:val="pt-PT"/>
          </w:rPr>
          <w:t>https://ec.europa.eu/eurostat/web/interactive-publications/migration-2025#irregular-migration-and-return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13">
    <w:p w:rsidR="0060343A" w:rsidRPr="0060343A" w:rsidP="00733082" w14:paraId="6DD4FC08" w14:textId="60C7729F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  <w:t>Eurostat, «</w:t>
      </w:r>
      <w:r w:rsidRPr="0060343A">
        <w:rPr>
          <w:sz w:val="24"/>
          <w:szCs w:val="24"/>
          <w:lang w:val="pt-PT"/>
        </w:rPr>
        <w:t>Migration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and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asylum</w:t>
      </w:r>
      <w:r w:rsidRPr="0060343A">
        <w:rPr>
          <w:sz w:val="24"/>
          <w:szCs w:val="24"/>
          <w:lang w:val="pt-PT"/>
        </w:rPr>
        <w:t xml:space="preserve"> in </w:t>
      </w:r>
      <w:r w:rsidRPr="0060343A">
        <w:rPr>
          <w:sz w:val="24"/>
          <w:szCs w:val="24"/>
          <w:lang w:val="pt-PT"/>
        </w:rPr>
        <w:t>Europe</w:t>
      </w:r>
      <w:r w:rsidRPr="0060343A">
        <w:rPr>
          <w:sz w:val="24"/>
          <w:szCs w:val="24"/>
          <w:lang w:val="pt-PT"/>
        </w:rPr>
        <w:t>» [Migração e asilo na Europa] — edição de 2025, «</w:t>
      </w:r>
      <w:r w:rsidRPr="0060343A">
        <w:rPr>
          <w:sz w:val="24"/>
          <w:szCs w:val="24"/>
          <w:lang w:val="pt-PT"/>
        </w:rPr>
        <w:t>Orders</w:t>
      </w:r>
      <w:r w:rsidRPr="0060343A">
        <w:rPr>
          <w:sz w:val="24"/>
          <w:szCs w:val="24"/>
          <w:lang w:val="pt-PT"/>
        </w:rPr>
        <w:t xml:space="preserve"> to </w:t>
      </w:r>
      <w:r w:rsidRPr="0060343A">
        <w:rPr>
          <w:sz w:val="24"/>
          <w:szCs w:val="24"/>
          <w:lang w:val="pt-PT"/>
        </w:rPr>
        <w:t>leave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and</w:t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>return</w:t>
      </w:r>
      <w:r w:rsidRPr="0060343A">
        <w:rPr>
          <w:sz w:val="24"/>
          <w:szCs w:val="24"/>
          <w:lang w:val="pt-PT"/>
        </w:rPr>
        <w:t xml:space="preserve">» [Ordens de saída e de regresso], </w:t>
      </w:r>
      <w:hyperlink r:id="rId9" w:anchor="orders-to-leave-and-returns-of-non-eu-citizens" w:tgtFrame="https://ec.europa.eu/eurostat/web/interactive-publications/migration-2025#orders-to-leave-and-returns-of-non-eu-citizens" w:history="1">
        <w:r w:rsidRPr="0060343A">
          <w:rPr>
            <w:rStyle w:val="Hyperlink"/>
            <w:sz w:val="24"/>
            <w:szCs w:val="24"/>
            <w:lang w:val="pt-PT"/>
          </w:rPr>
          <w:t>https://ec.europa.eu/eurostat/web/interactive-publications/migration-2025#orders-to-leave-and-returns-of-non-eu-citizens</w:t>
        </w:r>
      </w:hyperlink>
      <w:r w:rsidRPr="0060343A">
        <w:rPr>
          <w:sz w:val="24"/>
          <w:szCs w:val="24"/>
          <w:lang w:val="pt-PT"/>
        </w:rPr>
        <w:t>.</w:t>
      </w:r>
    </w:p>
  </w:footnote>
  <w:footnote w:id="14">
    <w:p w:rsidR="0060343A" w:rsidRPr="0060343A" w:rsidP="00733082" w14:paraId="6B9AFB1E" w14:textId="226C5137">
      <w:pPr>
        <w:pStyle w:val="FootnoteText"/>
        <w:ind w:left="567" w:hanging="567"/>
        <w:rPr>
          <w:sz w:val="24"/>
          <w:szCs w:val="24"/>
          <w:lang w:val="pt-PT"/>
        </w:rPr>
      </w:pPr>
      <w:r w:rsidRPr="005153BF">
        <w:rPr>
          <w:rStyle w:val="FootnoteReference"/>
          <w:sz w:val="24"/>
          <w:szCs w:val="24"/>
        </w:rPr>
        <w:footnoteRef/>
      </w:r>
      <w:r w:rsidRPr="0060343A">
        <w:rPr>
          <w:sz w:val="24"/>
          <w:szCs w:val="24"/>
          <w:lang w:val="pt-PT"/>
        </w:rPr>
        <w:t xml:space="preserve"> </w:t>
      </w:r>
      <w:r w:rsidRPr="0060343A">
        <w:rPr>
          <w:sz w:val="24"/>
          <w:szCs w:val="24"/>
          <w:lang w:val="pt-PT"/>
        </w:rPr>
        <w:tab/>
      </w:r>
      <w:hyperlink r:id="rId10" w:tgtFrame="https://www.unhcr.org/about-unhcr/overview/figures-glance" w:history="1">
        <w:r w:rsidRPr="0060343A">
          <w:rPr>
            <w:rStyle w:val="Hyperlink"/>
            <w:sz w:val="24"/>
            <w:szCs w:val="24"/>
            <w:lang w:val="pt-PT"/>
          </w:rPr>
          <w:t>https://www.unhcr.org/about-unhcr/overview/figures-glance</w:t>
        </w:r>
      </w:hyperlink>
      <w:r w:rsidRPr="0060343A">
        <w:rPr>
          <w:sz w:val="24"/>
          <w:szCs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5281988">
    <w:abstractNumId w:val="9"/>
  </w:num>
  <w:num w:numId="2" w16cid:durableId="258103798">
    <w:abstractNumId w:val="9"/>
  </w:num>
  <w:num w:numId="3" w16cid:durableId="2039696500">
    <w:abstractNumId w:val="7"/>
  </w:num>
  <w:num w:numId="4" w16cid:durableId="1102456153">
    <w:abstractNumId w:val="7"/>
  </w:num>
  <w:num w:numId="5" w16cid:durableId="817109394">
    <w:abstractNumId w:val="6"/>
  </w:num>
  <w:num w:numId="6" w16cid:durableId="1581791571">
    <w:abstractNumId w:val="6"/>
  </w:num>
  <w:num w:numId="7" w16cid:durableId="1458448927">
    <w:abstractNumId w:val="5"/>
  </w:num>
  <w:num w:numId="8" w16cid:durableId="1562011307">
    <w:abstractNumId w:val="5"/>
  </w:num>
  <w:num w:numId="9" w16cid:durableId="2108767471">
    <w:abstractNumId w:val="4"/>
  </w:num>
  <w:num w:numId="10" w16cid:durableId="1558011581">
    <w:abstractNumId w:val="4"/>
  </w:num>
  <w:num w:numId="11" w16cid:durableId="713698932">
    <w:abstractNumId w:val="8"/>
  </w:num>
  <w:num w:numId="12" w16cid:durableId="1029451153">
    <w:abstractNumId w:val="8"/>
  </w:num>
  <w:num w:numId="13" w16cid:durableId="1074815776">
    <w:abstractNumId w:val="3"/>
  </w:num>
  <w:num w:numId="14" w16cid:durableId="1693847792">
    <w:abstractNumId w:val="3"/>
  </w:num>
  <w:num w:numId="15" w16cid:durableId="401023590">
    <w:abstractNumId w:val="2"/>
  </w:num>
  <w:num w:numId="16" w16cid:durableId="1340545495">
    <w:abstractNumId w:val="2"/>
  </w:num>
  <w:num w:numId="17" w16cid:durableId="1924992005">
    <w:abstractNumId w:val="1"/>
  </w:num>
  <w:num w:numId="18" w16cid:durableId="1676957532">
    <w:abstractNumId w:val="1"/>
  </w:num>
  <w:num w:numId="19" w16cid:durableId="235551283">
    <w:abstractNumId w:val="0"/>
  </w:num>
  <w:num w:numId="20" w16cid:durableId="52047325">
    <w:abstractNumId w:val="0"/>
  </w:num>
  <w:num w:numId="21" w16cid:durableId="470559915">
    <w:abstractNumId w:val="9"/>
  </w:num>
  <w:num w:numId="22" w16cid:durableId="2057969868">
    <w:abstractNumId w:val="7"/>
  </w:num>
  <w:num w:numId="23" w16cid:durableId="1129131366">
    <w:abstractNumId w:val="6"/>
  </w:num>
  <w:num w:numId="24" w16cid:durableId="586383239">
    <w:abstractNumId w:val="5"/>
  </w:num>
  <w:num w:numId="25" w16cid:durableId="902758754">
    <w:abstractNumId w:val="4"/>
  </w:num>
  <w:num w:numId="26" w16cid:durableId="1907522310">
    <w:abstractNumId w:val="8"/>
  </w:num>
  <w:num w:numId="27" w16cid:durableId="123474995">
    <w:abstractNumId w:val="3"/>
  </w:num>
  <w:num w:numId="28" w16cid:durableId="1158032741">
    <w:abstractNumId w:val="2"/>
  </w:num>
  <w:num w:numId="29" w16cid:durableId="1421566496">
    <w:abstractNumId w:val="1"/>
  </w:num>
  <w:num w:numId="30" w16cid:durableId="5641300">
    <w:abstractNumId w:val="0"/>
  </w:num>
  <w:num w:numId="31" w16cid:durableId="1868907550">
    <w:abstractNumId w:val="9"/>
  </w:num>
  <w:num w:numId="32" w16cid:durableId="1259681865">
    <w:abstractNumId w:val="7"/>
  </w:num>
  <w:num w:numId="33" w16cid:durableId="1393848330">
    <w:abstractNumId w:val="6"/>
  </w:num>
  <w:num w:numId="34" w16cid:durableId="1724401181">
    <w:abstractNumId w:val="5"/>
  </w:num>
  <w:num w:numId="35" w16cid:durableId="1870558672">
    <w:abstractNumId w:val="4"/>
  </w:num>
  <w:num w:numId="36" w16cid:durableId="1167359492">
    <w:abstractNumId w:val="8"/>
  </w:num>
  <w:num w:numId="37" w16cid:durableId="1280644198">
    <w:abstractNumId w:val="3"/>
  </w:num>
  <w:num w:numId="38" w16cid:durableId="2123961194">
    <w:abstractNumId w:val="2"/>
  </w:num>
  <w:num w:numId="39" w16cid:durableId="1541898132">
    <w:abstractNumId w:val="1"/>
  </w:num>
  <w:num w:numId="40" w16cid:durableId="627904973">
    <w:abstractNumId w:val="0"/>
  </w:num>
  <w:num w:numId="41" w16cid:durableId="1846817852">
    <w:abstractNumId w:val="10"/>
  </w:num>
  <w:num w:numId="42" w16cid:durableId="1134447584">
    <w:abstractNumId w:val="10"/>
  </w:num>
  <w:num w:numId="43" w16cid:durableId="246499002">
    <w:abstractNumId w:val="10"/>
  </w:num>
  <w:num w:numId="44" w16cid:durableId="7400629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58"/>
    <w:rsid w:val="00002272"/>
    <w:rsid w:val="00064002"/>
    <w:rsid w:val="000677B9"/>
    <w:rsid w:val="000831BA"/>
    <w:rsid w:val="000A42CC"/>
    <w:rsid w:val="000E326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A6"/>
    <w:rsid w:val="00471C19"/>
    <w:rsid w:val="004867E3"/>
    <w:rsid w:val="00494A28"/>
    <w:rsid w:val="004C0004"/>
    <w:rsid w:val="004C5D52"/>
    <w:rsid w:val="0050519A"/>
    <w:rsid w:val="005072A1"/>
    <w:rsid w:val="00514517"/>
    <w:rsid w:val="005153BF"/>
    <w:rsid w:val="00545827"/>
    <w:rsid w:val="00552358"/>
    <w:rsid w:val="00560270"/>
    <w:rsid w:val="005C2568"/>
    <w:rsid w:val="005F1B17"/>
    <w:rsid w:val="0060343A"/>
    <w:rsid w:val="006037C0"/>
    <w:rsid w:val="006631B6"/>
    <w:rsid w:val="00680577"/>
    <w:rsid w:val="00697BFD"/>
    <w:rsid w:val="006F74FA"/>
    <w:rsid w:val="00731ADD"/>
    <w:rsid w:val="00733082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F27"/>
    <w:rsid w:val="00A05EB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881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7ED"/>
    <w:rsid w:val="00E365E1"/>
    <w:rsid w:val="00E820A4"/>
    <w:rsid w:val="00EB006A"/>
    <w:rsid w:val="00EB4772"/>
    <w:rsid w:val="00EC4CE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7/2026"/>
    <w:docVar w:name="dvlangue" w:val="PT"/>
    <w:docVar w:name="dvnumam" w:val="0"/>
    <w:docVar w:name="dvpe" w:val="776.883"/>
    <w:docVar w:name="dvrapporteur" w:val="Relator: "/>
    <w:docVar w:name="dvtitre" w:val="Resolução do Parlamento Europeu, de ... de ... de 2026,&#13;_x000a_ sobre o reforço da cooperação para o desenvolvimento para fazer face aos fluxos migratórios irregulares e às suas causas profundas nos países parceiros(2025/21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C28610"/>
  <w15:chartTrackingRefBased/>
  <w15:docId w15:val="{BC70F0B8-25E2-498B-9ECD-9C1845F7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D7F2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D7F2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D7F27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D7F27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D7F2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D7F27"/>
    <w:rPr>
      <w:color w:val="0000FF"/>
      <w:u w:val="single"/>
    </w:rPr>
  </w:style>
  <w:style w:type="paragraph" w:styleId="Revision">
    <w:name w:val="Revision"/>
    <w:hidden/>
    <w:uiPriority w:val="99"/>
    <w:semiHidden/>
    <w:rsid w:val="00EC4CE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10" Type="http://schemas.openxmlformats.org/officeDocument/2006/relationships/hyperlink" Target="https://www.unhcr.org/about-unhcr/overview/figures-glance" TargetMode="External" /><Relationship Id="rId2" Type="http://schemas.openxmlformats.org/officeDocument/2006/relationships/hyperlink" Target="http://data.europa.eu/eli/reg/2024/1351/oj" TargetMode="External" /><Relationship Id="rId3" Type="http://schemas.openxmlformats.org/officeDocument/2006/relationships/hyperlink" Target="http://data.europa.eu/eli/agree_internation/2023/2862/oj" TargetMode="External" /><Relationship Id="rId4" Type="http://schemas.openxmlformats.org/officeDocument/2006/relationships/hyperlink" Target="http://data.europa.eu/eli/C/2026/576/oj" TargetMode="External" /><Relationship Id="rId5" Type="http://schemas.openxmlformats.org/officeDocument/2006/relationships/hyperlink" Target="https://emm.iom.int/handbooks/global-context-international-migration/drivers-international-migration" TargetMode="External" /><Relationship Id="rId6" Type="http://schemas.openxmlformats.org/officeDocument/2006/relationships/hyperlink" Target="https://euaa.europa.eu/asylum-report-2025/34-data-applications-international-protection" TargetMode="External" /><Relationship Id="rId7" Type="http://schemas.openxmlformats.org/officeDocument/2006/relationships/hyperlink" Target="https://www.frontex.europa.eu/media-centre/news/news-release/frontex-irregular-border-crossings-down-26-in-2025-europe-must-stay-prepared-lyKpVb" TargetMode="External" /><Relationship Id="rId8" Type="http://schemas.openxmlformats.org/officeDocument/2006/relationships/hyperlink" Target="https://ec.europa.eu/eurostat/statistics-explained/index.php?title=Migration_to_and_from_the_EU" TargetMode="External" /><Relationship Id="rId9" Type="http://schemas.openxmlformats.org/officeDocument/2006/relationships/hyperlink" Target="https://ec.europa.eu/eurostat/web/interactive-publications/migration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5754</Words>
  <Characters>31073</Characters>
  <Application>Microsoft Office Word</Application>
  <DocSecurity>0</DocSecurity>
  <Lines>258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2026-06-16T13:05:00Z</dcterms:created>
  <dcterms:modified xsi:type="dcterms:W3CDTF">2026-06-16T13:05:00Z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A10-0147/2026</vt:lpwstr>
  </property>
  <property fmtid="{D5CDD505-2E9C-101B-9397-08002B2CF9AE}" pid="4" name="&lt;Type&gt;">
    <vt:lpwstr>RR</vt:lpwstr>
  </property>
</Properties>
</file>