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D3F3EE" w14:textId="77777777" w:rsidTr="0010095E">
        <w:tblPrEx>
          <w:tblW w:w="9072" w:type="dxa"/>
          <w:tblLook w:val="01E0"/>
        </w:tblPrEx>
        <w:trPr>
          <w:trHeight w:hRule="exact" w:val="1418"/>
        </w:trPr>
        <w:tc>
          <w:tcPr>
            <w:tcW w:w="6804" w:type="dxa"/>
            <w:shd w:val="clear" w:color="auto" w:fill="auto"/>
            <w:vAlign w:val="center"/>
          </w:tcPr>
          <w:p w:rsidR="00751A4A" w:rsidRPr="00C07391" w:rsidP="0010095E" w14:paraId="4C23D458" w14:textId="17F342D9">
            <w:pPr>
              <w:pStyle w:val="EPName"/>
            </w:pPr>
            <w:r w:rsidRPr="00C07391">
              <w:t>Parlamentul European</w:t>
            </w:r>
          </w:p>
          <w:p w:rsidR="00751A4A" w:rsidRPr="00C07391" w:rsidP="005F1B17" w14:paraId="159607F7" w14:textId="77777777">
            <w:pPr>
              <w:pStyle w:val="EPTerm"/>
              <w:rPr>
                <w:rStyle w:val="HideTWBExt"/>
                <w:noProof w:val="0"/>
                <w:vanish w:val="0"/>
                <w:color w:val="auto"/>
              </w:rPr>
            </w:pPr>
            <w:r w:rsidRPr="00C07391">
              <w:t>2024</w:t>
            </w:r>
            <w:r w:rsidRPr="00C07391" w:rsidR="00817416">
              <w:t>-202</w:t>
            </w:r>
            <w:r w:rsidRPr="00C07391">
              <w:t>9</w:t>
            </w:r>
          </w:p>
        </w:tc>
        <w:tc>
          <w:tcPr>
            <w:tcW w:w="2268" w:type="dxa"/>
            <w:shd w:val="clear" w:color="auto" w:fill="auto"/>
          </w:tcPr>
          <w:p w:rsidR="00751A4A" w:rsidRPr="00C07391" w:rsidP="0010095E" w14:paraId="37BC59F6" w14:textId="77777777">
            <w:pPr>
              <w:pStyle w:val="EPLogo"/>
            </w:pPr>
            <w:r w:rsidRPr="00C0739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07391" w:rsidP="004C5D52" w14:paraId="1141C8D5" w14:textId="77777777">
      <w:pPr>
        <w:pStyle w:val="LineTop"/>
      </w:pPr>
    </w:p>
    <w:p w:rsidR="00680577" w:rsidRPr="00C07391" w:rsidP="00680577" w14:paraId="23C23EEA" w14:textId="558EA6DC">
      <w:pPr>
        <w:pStyle w:val="EPBodyTA1"/>
      </w:pPr>
      <w:r w:rsidRPr="00C07391">
        <w:t>TEXTE ADOPTATE</w:t>
      </w:r>
    </w:p>
    <w:p w:rsidR="00D058B8" w:rsidRPr="00C07391" w:rsidP="00D058B8" w14:paraId="6DF45EF0" w14:textId="77777777">
      <w:pPr>
        <w:pStyle w:val="LineBottom"/>
      </w:pPr>
    </w:p>
    <w:p w:rsidR="00540CB2" w:rsidRPr="00C07391" w:rsidP="00540CB2" w14:paraId="122F942C" w14:textId="1F81EF26">
      <w:pPr>
        <w:pStyle w:val="ATHeading1"/>
      </w:pPr>
      <w:bookmarkStart w:id="0" w:name="TANumber"/>
      <w:r w:rsidRPr="00C07391">
        <w:t>P10_TA(2026)0</w:t>
      </w:r>
      <w:bookmarkEnd w:id="0"/>
      <w:r w:rsidRPr="00C07391" w:rsidR="00CC1CDE">
        <w:t>205</w:t>
      </w:r>
    </w:p>
    <w:p w:rsidR="00540CB2" w:rsidRPr="00C07391" w:rsidP="00540CB2" w14:paraId="6824C77F" w14:textId="77777777">
      <w:pPr>
        <w:pStyle w:val="ATHeading2"/>
      </w:pPr>
      <w:bookmarkStart w:id="1" w:name="title"/>
      <w:r w:rsidRPr="00C07391">
        <w:t>Consolidarea cooperării pentru dezvoltare pentru a aborda deplasările ilegale de populație și cauzele profunde ale acestora în țările partenere</w:t>
      </w:r>
      <w:bookmarkEnd w:id="1"/>
    </w:p>
    <w:p w:rsidR="00540CB2" w:rsidRPr="00C07391" w:rsidP="00540CB2" w14:paraId="4F1E3E75" w14:textId="77777777">
      <w:pPr>
        <w:rPr>
          <w:i/>
          <w:vanish/>
        </w:rPr>
      </w:pPr>
      <w:r>
        <w:rPr>
          <w:i/>
        </w:rPr>
        <w:fldChar w:fldCharType="begin"/>
      </w:r>
      <w:r w:rsidRPr="00C07391">
        <w:rPr>
          <w:i/>
        </w:rPr>
        <w:instrText xml:space="preserve"> TC"(</w:instrText>
      </w:r>
      <w:bookmarkStart w:id="2" w:name="DocNumber"/>
      <w:r w:rsidRPr="00C07391">
        <w:rPr>
          <w:i/>
        </w:rPr>
        <w:instrText>A10-0147/2026</w:instrText>
      </w:r>
      <w:bookmarkEnd w:id="2"/>
      <w:r w:rsidRPr="00C07391">
        <w:rPr>
          <w:i/>
        </w:rPr>
        <w:instrText xml:space="preserve"> - Raportor: Lukas Mandl)"\l3 \n&gt; \* MERGEFORMAT </w:instrText>
      </w:r>
      <w:r>
        <w:rPr>
          <w:i/>
        </w:rPr>
        <w:fldChar w:fldCharType="end"/>
      </w:r>
    </w:p>
    <w:p w:rsidR="00540CB2" w:rsidRPr="00C07391" w:rsidP="00540CB2" w14:paraId="0874369D" w14:textId="77777777">
      <w:pPr>
        <w:rPr>
          <w:vanish/>
        </w:rPr>
      </w:pPr>
      <w:bookmarkStart w:id="3" w:name="Commission"/>
      <w:r w:rsidRPr="00C07391">
        <w:rPr>
          <w:vanish/>
        </w:rPr>
        <w:t>Comisia pentru dezvoltare</w:t>
      </w:r>
      <w:bookmarkEnd w:id="3"/>
    </w:p>
    <w:p w:rsidR="00540CB2" w:rsidRPr="00C07391" w:rsidP="00540CB2" w14:paraId="566C7CE3" w14:textId="77777777">
      <w:pPr>
        <w:rPr>
          <w:vanish/>
        </w:rPr>
      </w:pPr>
      <w:bookmarkStart w:id="4" w:name="PE"/>
      <w:r w:rsidRPr="00C07391">
        <w:rPr>
          <w:vanish/>
        </w:rPr>
        <w:t>PE776.883</w:t>
      </w:r>
      <w:bookmarkEnd w:id="4"/>
    </w:p>
    <w:p w:rsidR="00540CB2" w:rsidRPr="00C07391" w:rsidP="00540CB2" w14:paraId="06A0283C" w14:textId="77777777">
      <w:pPr>
        <w:pStyle w:val="ATHeading3"/>
      </w:pPr>
      <w:bookmarkStart w:id="5" w:name="Sujet"/>
      <w:r w:rsidRPr="00C07391">
        <w:t>Rezoluția Parlamentului European din 16 iunie 2026 referitoare la consolidarea cooperării pentru dezvoltare pentru a aborda deplasările ilegale de populație și cauzele profunde ale acestora în țările partenere</w:t>
      </w:r>
      <w:bookmarkEnd w:id="5"/>
      <w:r w:rsidRPr="00C07391">
        <w:t xml:space="preserve"> </w:t>
      </w:r>
      <w:bookmarkStart w:id="6" w:name="References"/>
      <w:r w:rsidRPr="00C07391">
        <w:t>(2025/2111(INI))</w:t>
      </w:r>
      <w:bookmarkEnd w:id="6"/>
    </w:p>
    <w:p w:rsidR="005D3BF9" w:rsidRPr="00C07391" w:rsidP="005D3BF9" w14:paraId="4ED74C52" w14:textId="77777777">
      <w:pPr>
        <w:pStyle w:val="Normal12"/>
      </w:pPr>
      <w:r w:rsidRPr="00C07391">
        <w:rPr>
          <w:i/>
          <w:iCs/>
        </w:rPr>
        <w:t>Parlamentul European</w:t>
      </w:r>
      <w:r w:rsidRPr="00C07391">
        <w:t>,</w:t>
      </w:r>
    </w:p>
    <w:p w:rsidR="005D3BF9" w:rsidRPr="00C07391" w:rsidP="005D3BF9" w14:paraId="3497CC24" w14:textId="77777777">
      <w:pPr>
        <w:pStyle w:val="NormalHanging"/>
      </w:pPr>
      <w:r w:rsidRPr="00C07391">
        <w:t>–</w:t>
      </w:r>
      <w:r w:rsidRPr="00C07391">
        <w:tab/>
        <w:t>având în vedere articolele 79 și 208 din Tratatul privind funcționarea Uniunii Europene (TFUE),</w:t>
      </w:r>
    </w:p>
    <w:p w:rsidR="005D3BF9" w:rsidRPr="00C07391" w:rsidP="005D3BF9" w14:paraId="3E7F5F90" w14:textId="77777777">
      <w:pPr>
        <w:pStyle w:val="NormalHanging"/>
      </w:pPr>
      <w:r w:rsidRPr="00C07391">
        <w:t>–</w:t>
      </w:r>
      <w:r w:rsidRPr="00C07391">
        <w:tab/>
        <w:t>având în vedere articolul 3 alineatul (5) și articolul 21 din Tratatul privind Uniunea Europeană (TUE),</w:t>
      </w:r>
    </w:p>
    <w:p w:rsidR="005D3BF9" w:rsidRPr="00C07391" w:rsidP="005D3BF9" w14:paraId="3781F307" w14:textId="5B5D10D3">
      <w:pPr>
        <w:pStyle w:val="NormalHanging"/>
      </w:pPr>
      <w:r w:rsidRPr="00C07391">
        <w:t>–</w:t>
      </w:r>
      <w:r w:rsidRPr="00C07391">
        <w:tab/>
        <w:t>având în vedere documentul de lucru al serviciilor Comisiei din 30 iunie 2021 intitulat „Aplicarea abordării bazate pe drepturile omului în cazul parteneriatelor internaționale – Un set de instrumente actualizat pentru plasarea titularilor de drepturi în centrul politicii de vecinătate, al politicii de dezvoltare și al cooperării internaționale ale UE” (SWD(2021)0179),</w:t>
      </w:r>
    </w:p>
    <w:p w:rsidR="005D3BF9" w:rsidRPr="00C07391" w:rsidP="005D3BF9" w14:paraId="0F55139C" w14:textId="5B48AF99">
      <w:pPr>
        <w:pStyle w:val="NormalHanging"/>
      </w:pPr>
      <w:r w:rsidRPr="00C07391">
        <w:t>–</w:t>
      </w:r>
      <w:r w:rsidRPr="00C07391">
        <w:tab/>
        <w:t>având în vedere Regulamentul (UE) 2021/947 al Parlamentului European și al Consiliului din 9 iunie 2021 de instituire a Instrumentului de vecinătate, cooperare pentru dezvoltare și cooperare internațională – „Europa globală”</w:t>
      </w:r>
      <w:r>
        <w:rPr>
          <w:rStyle w:val="FootnoteReference"/>
        </w:rPr>
        <w:footnoteReference w:id="2"/>
      </w:r>
      <w:r w:rsidRPr="00C07391">
        <w:t>,</w:t>
      </w:r>
    </w:p>
    <w:p w:rsidR="005D3BF9" w:rsidRPr="00C07391" w:rsidP="005D3BF9" w14:paraId="4DDE06C3" w14:textId="77777777">
      <w:pPr>
        <w:pStyle w:val="NormalHanging"/>
      </w:pPr>
      <w:r w:rsidRPr="00C07391">
        <w:t>–</w:t>
      </w:r>
      <w:r w:rsidRPr="00C07391">
        <w:tab/>
        <w:t>având în vedere propunerea Comisiei din 16 iulie 2025 de regulament al Parlamentului European și al Consiliului de instituire a instrumentului „Europa globală” (COM(2025)0551),</w:t>
      </w:r>
    </w:p>
    <w:p w:rsidR="005D3BF9" w:rsidRPr="00C07391" w:rsidP="005D3BF9" w14:paraId="59B63E6E" w14:textId="6B73D539">
      <w:pPr>
        <w:pStyle w:val="NormalHanging"/>
      </w:pPr>
      <w:r w:rsidRPr="00C07391">
        <w:t>–</w:t>
      </w:r>
      <w:r w:rsidRPr="00C07391">
        <w:tab/>
        <w:t>având în vedere Regulamentul (UE) 2024/1351 al Parlamentului European și al Consiliului din 14 mai 2024 privind gestionarea azilului și migrației, de modificare a Regulamentelor (UE) 2021/1147 și (UE) 2021/1060 și de abrogare a Regulamentului (UE) nr. 604/2013</w:t>
      </w:r>
      <w:r>
        <w:rPr>
          <w:rStyle w:val="FootnoteReference"/>
        </w:rPr>
        <w:footnoteReference w:id="3"/>
      </w:r>
      <w:r w:rsidRPr="00C07391">
        <w:t>,</w:t>
      </w:r>
    </w:p>
    <w:p w:rsidR="005D3BF9" w:rsidRPr="00C07391" w:rsidP="005D3BF9" w14:paraId="3F85E8C3" w14:textId="77777777">
      <w:pPr>
        <w:pStyle w:val="NormalHanging"/>
      </w:pPr>
      <w:r w:rsidRPr="00C07391">
        <w:t>–</w:t>
      </w:r>
      <w:r w:rsidRPr="00C07391">
        <w:tab/>
        <w:t xml:space="preserve">având în vedere propunerea Comisiei din 11 martie 2025 de regulament al Parlamentului European și al Consiliului de instituire a unui sistem comun pentru returnarea resortisanților țărilor terțe aflați în situație de ședere ilegală în Uniune și de abrogare a Directivei 2008/115/CE a Parlamentului European și a Consiliului, a Directivei 2001/40/CE a Consiliului și a Deciziei 2004/191/CE a Consiliului </w:t>
      </w:r>
      <w:r w:rsidRPr="00C07391">
        <w:t>(COM(2025)0101),</w:t>
      </w:r>
    </w:p>
    <w:p w:rsidR="005D3BF9" w:rsidRPr="00C07391" w:rsidP="005D3BF9" w14:paraId="0F3F62C6" w14:textId="2F29A6C2">
      <w:pPr>
        <w:pStyle w:val="NormalHanging"/>
      </w:pPr>
      <w:r w:rsidRPr="00C07391">
        <w:t>–</w:t>
      </w:r>
      <w:r w:rsidRPr="00C07391">
        <w:tab/>
        <w:t>având în vedere Acordul de parteneriat între Uniunea Europeană și statele membre ale acesteia, pe de o parte, și membrii Organizației statelor din Africa, zona Caraibilor și Pacific, pe de altă parte (Acordul din Samoa)</w:t>
      </w:r>
      <w:r>
        <w:rPr>
          <w:rStyle w:val="FootnoteReference"/>
        </w:rPr>
        <w:footnoteReference w:id="4"/>
      </w:r>
      <w:r w:rsidRPr="00C07391">
        <w:t>,</w:t>
      </w:r>
    </w:p>
    <w:p w:rsidR="005D3BF9" w:rsidRPr="00C07391" w:rsidP="005D3BF9" w14:paraId="0DBD08EB" w14:textId="77777777">
      <w:pPr>
        <w:pStyle w:val="NormalHanging"/>
      </w:pPr>
      <w:r w:rsidRPr="00C07391">
        <w:t>–</w:t>
      </w:r>
      <w:r w:rsidRPr="00C07391">
        <w:tab/>
        <w:t>având în vedere comunicarea Comisiei din 27 aprilie 2022 privind atragerea de competențe și de talente în UE (COM(2022)0657),</w:t>
      </w:r>
    </w:p>
    <w:p w:rsidR="005D3BF9" w:rsidRPr="00C07391" w:rsidP="005D3BF9" w14:paraId="280BE1AF" w14:textId="77777777">
      <w:pPr>
        <w:pStyle w:val="NormalHanging"/>
      </w:pPr>
      <w:r w:rsidRPr="00C07391">
        <w:t>–</w:t>
      </w:r>
      <w:r w:rsidRPr="00C07391">
        <w:tab/>
        <w:t>având în vedere Pactul pentru Mediterana,</w:t>
      </w:r>
    </w:p>
    <w:p w:rsidR="005D3BF9" w:rsidRPr="00C07391" w:rsidP="005D3BF9" w14:paraId="6ADDC6E5" w14:textId="77777777">
      <w:pPr>
        <w:pStyle w:val="NormalHanging"/>
      </w:pPr>
      <w:r w:rsidRPr="00C07391">
        <w:t>–</w:t>
      </w:r>
      <w:r w:rsidRPr="00C07391">
        <w:tab/>
        <w:t>având în vedere declarația comună din 7 iunie 2017 a Consiliului și a reprezentanților guvernelor statelor membre reuniți în cadrul Consiliului, a Parlamentului European și a Comisiei intitulată „Noul consens european privind dezvoltarea – «Lumea noastră, demnitatea noastră, viitorul nostru»”,</w:t>
      </w:r>
    </w:p>
    <w:p w:rsidR="005D3BF9" w:rsidRPr="00C07391" w:rsidP="005D3BF9" w14:paraId="5924349A" w14:textId="77777777">
      <w:pPr>
        <w:pStyle w:val="NormalHanging"/>
      </w:pPr>
      <w:r w:rsidRPr="00C07391">
        <w:t>–</w:t>
      </w:r>
      <w:r w:rsidRPr="00C07391">
        <w:tab/>
        <w:t>având în vedere Fondul fiduciar de urgență al UE pentru Africa (EUTF) și raportul special nr. 17/2024 al Curții de Conturi Europene din 25 septembrie 2024 intitulat „Fondul fiduciar al UE pentru Africa – În ciuda noilor abordări, sprijinul continuă să nu fie bine direcționat”,</w:t>
      </w:r>
    </w:p>
    <w:p w:rsidR="005D3BF9" w:rsidRPr="00C07391" w:rsidP="005D3BF9" w14:paraId="5D02EA0F" w14:textId="77777777">
      <w:pPr>
        <w:pStyle w:val="NormalHanging"/>
      </w:pPr>
      <w:r w:rsidRPr="00C07391">
        <w:t>–</w:t>
      </w:r>
      <w:r w:rsidRPr="00C07391">
        <w:tab/>
        <w:t>având în vedere comunicarea Comisiei din 4 iunie 2025 intitulată „Strategia europeană pentru reziliența în domeniul apei” (COM(2025)0280),</w:t>
      </w:r>
    </w:p>
    <w:p w:rsidR="005D3BF9" w:rsidRPr="00C07391" w:rsidP="005D3BF9" w14:paraId="53DA33CA" w14:textId="18192BEC">
      <w:pPr>
        <w:pStyle w:val="NormalHanging"/>
      </w:pPr>
      <w:r w:rsidRPr="00C07391">
        <w:t>–</w:t>
      </w:r>
      <w:r w:rsidRPr="00C07391">
        <w:tab/>
        <w:t>având în vedere rezoluția sa din 7 mai 2025 referitoare la Strategia europeană pentru reziliența în domeniul apei</w:t>
      </w:r>
      <w:r>
        <w:rPr>
          <w:rStyle w:val="FootnoteReference"/>
        </w:rPr>
        <w:footnoteReference w:id="5"/>
      </w:r>
      <w:r w:rsidRPr="00C07391">
        <w:t>,</w:t>
      </w:r>
    </w:p>
    <w:p w:rsidR="005D3BF9" w:rsidRPr="00C07391" w:rsidP="005D3BF9" w14:paraId="7501AD43" w14:textId="78907C8F">
      <w:pPr>
        <w:pStyle w:val="NormalHanging"/>
      </w:pPr>
      <w:r w:rsidRPr="00C07391">
        <w:t>–</w:t>
      </w:r>
      <w:r w:rsidRPr="00C07391">
        <w:tab/>
        <w:t>având în vedere comunicarea comună a Comisiei și a Înaltului Reprezentant al Uniunii pentru afaceri externe și politica de securitate din 1 decembrie 2021 intitulată „Inițiativa «Global Gateway»” (</w:t>
      </w:r>
      <w:r w:rsidRPr="00C07391" w:rsidR="00AE2B45">
        <w:t>JOIN(2021)0030</w:t>
      </w:r>
      <w:r w:rsidRPr="00C07391">
        <w:t>),</w:t>
      </w:r>
    </w:p>
    <w:p w:rsidR="005D3BF9" w:rsidRPr="00C07391" w:rsidP="005D3BF9" w14:paraId="5C60DE39" w14:textId="5A076F5C">
      <w:pPr>
        <w:pStyle w:val="NormalHanging"/>
      </w:pPr>
      <w:r w:rsidRPr="00C07391">
        <w:t>–</w:t>
      </w:r>
      <w:r w:rsidRPr="00C07391">
        <w:tab/>
        <w:t>având în vedere comunicarea comună a Comisiei și a Înaltului Reprezentant al Uniunii pentru afaceri externe și politica de securitate din 2 octombrie 2024 intitulată „Construirea unor parteneriate internaționale durabile de tip « Echipa Europa »” (</w:t>
      </w:r>
      <w:r w:rsidRPr="00C07391" w:rsidR="00AE2B45">
        <w:t>JOIN(2024)0025)</w:t>
      </w:r>
      <w:r w:rsidRPr="00C07391">
        <w:t>,</w:t>
      </w:r>
    </w:p>
    <w:p w:rsidR="005D3BF9" w:rsidRPr="00C07391" w:rsidP="005D3BF9" w14:paraId="0B3A065B" w14:textId="77777777">
      <w:pPr>
        <w:pStyle w:val="NormalHanging"/>
      </w:pPr>
      <w:r w:rsidRPr="00C07391">
        <w:t>–</w:t>
      </w:r>
      <w:r w:rsidRPr="00C07391">
        <w:tab/>
        <w:t>având în vedere concluziile Consiliului European din 17 octombrie 2024 privind migrația,</w:t>
      </w:r>
    </w:p>
    <w:p w:rsidR="005D3BF9" w:rsidRPr="00C07391" w:rsidP="005D3BF9" w14:paraId="4C1275C6" w14:textId="77777777">
      <w:pPr>
        <w:pStyle w:val="NormalHanging"/>
      </w:pPr>
      <w:r w:rsidRPr="00C07391">
        <w:t>–</w:t>
      </w:r>
      <w:r w:rsidRPr="00C07391">
        <w:tab/>
        <w:t>având în vedere rezoluția Adunării Generale a ONU 73/195 din 19 decembrie 2018 intitulată „Pactul mondial pentru asigurarea unei migrații legale, desfășurate în condiții de siguranță și de ordine”,</w:t>
      </w:r>
    </w:p>
    <w:p w:rsidR="005D3BF9" w:rsidRPr="00C07391" w:rsidP="005D3BF9" w14:paraId="7B3D06EA" w14:textId="77777777">
      <w:pPr>
        <w:pStyle w:val="NormalHanging"/>
      </w:pPr>
      <w:r w:rsidRPr="00C07391">
        <w:t>–</w:t>
      </w:r>
      <w:r w:rsidRPr="00C07391">
        <w:tab/>
        <w:t xml:space="preserve">având în vedere rezoluția 71/1 a Adunării Generale a ONU din 19 septembrie 2016 intitulată „Declarația de la New York pentru refugiați și </w:t>
      </w:r>
      <w:r w:rsidRPr="00C07391">
        <w:t>migranți</w:t>
      </w:r>
      <w:r w:rsidRPr="00C07391">
        <w:t>”,</w:t>
      </w:r>
    </w:p>
    <w:p w:rsidR="005D3BF9" w:rsidRPr="00C07391" w:rsidP="005D3BF9" w14:paraId="6F3F44FA" w14:textId="77777777">
      <w:pPr>
        <w:pStyle w:val="NormalHanging"/>
      </w:pPr>
      <w:r w:rsidRPr="00C07391">
        <w:t>–</w:t>
      </w:r>
      <w:r w:rsidRPr="00C07391">
        <w:tab/>
        <w:t xml:space="preserve">având în vedere rezoluția 70/1 a Adunării Generale a ONU intitulată „Transformarea lumii în care trăim: Agenda 2030 pentru dezvoltare durabilă”, adoptată la </w:t>
      </w:r>
      <w:r w:rsidRPr="00C07391">
        <w:t>Summitul</w:t>
      </w:r>
      <w:r w:rsidRPr="00C07391">
        <w:t xml:space="preserve"> ONU privind dezvoltarea durabilă din 25 septembrie 2015 de la New York și care </w:t>
      </w:r>
      <w:r w:rsidRPr="00C07391">
        <w:t>stabilește obiectivele de dezvoltare durabilă (ODD), în special ODD 10.7,</w:t>
      </w:r>
    </w:p>
    <w:p w:rsidR="005D3BF9" w:rsidRPr="00C07391" w:rsidP="005D3BF9" w14:paraId="69462254" w14:textId="77777777">
      <w:pPr>
        <w:pStyle w:val="NormalHanging"/>
      </w:pPr>
      <w:r w:rsidRPr="00C07391">
        <w:t>–</w:t>
      </w:r>
      <w:r w:rsidRPr="00C07391">
        <w:tab/>
        <w:t>având în vedere Convenția privind statutul refugiaților din 1951 și protocolul de la New York la aceasta din 1967,</w:t>
      </w:r>
    </w:p>
    <w:p w:rsidR="005D3BF9" w:rsidRPr="00C07391" w:rsidP="005D3BF9" w14:paraId="429FE5EE" w14:textId="77777777">
      <w:pPr>
        <w:pStyle w:val="NormalHanging"/>
      </w:pPr>
      <w:r w:rsidRPr="00C07391">
        <w:t>–</w:t>
      </w:r>
      <w:r w:rsidRPr="00C07391">
        <w:tab/>
        <w:t>având în vedere orientările Comitetului de asistență pentru dezvoltare al Organizației pentru Cooperare și Dezvoltare Economică privind activitățile legate de migrație în cadrul asistenței oficiale pentru dezvoltare (AOD) și setul de instrumente aferent,</w:t>
      </w:r>
    </w:p>
    <w:p w:rsidR="005D3BF9" w:rsidRPr="00C07391" w:rsidP="005D3BF9" w14:paraId="0B44A724" w14:textId="77777777">
      <w:pPr>
        <w:pStyle w:val="NormalHanging"/>
      </w:pPr>
      <w:r w:rsidRPr="00C07391">
        <w:t>–</w:t>
      </w:r>
      <w:r w:rsidRPr="00C07391">
        <w:tab/>
        <w:t>având în vedere Convenția europeană a drepturilor omului din 1950,</w:t>
      </w:r>
    </w:p>
    <w:p w:rsidR="005D3BF9" w:rsidRPr="00C07391" w:rsidP="005D3BF9" w14:paraId="63CCD516" w14:textId="372838B4">
      <w:pPr>
        <w:pStyle w:val="NormalHanging"/>
      </w:pPr>
      <w:r w:rsidRPr="00C07391">
        <w:t>–</w:t>
      </w:r>
      <w:r w:rsidRPr="00C07391">
        <w:tab/>
        <w:t>având în vedere studiul realizat pentru Comisia sa pentru dezvoltare privind rolul politicii de cooperare pentru dezvoltare a UE în combaterea migrației ilegale din Africa</w:t>
      </w:r>
      <w:r>
        <w:rPr>
          <w:rStyle w:val="FootnoteReference"/>
        </w:rPr>
        <w:footnoteReference w:id="6"/>
      </w:r>
      <w:r w:rsidRPr="00C07391">
        <w:t>,</w:t>
      </w:r>
    </w:p>
    <w:p w:rsidR="005D3BF9" w:rsidRPr="00C07391" w:rsidP="005D3BF9" w14:paraId="441791FF" w14:textId="15E4F758">
      <w:pPr>
        <w:pStyle w:val="NormalHanging"/>
      </w:pPr>
      <w:r w:rsidRPr="00C07391">
        <w:t>–</w:t>
      </w:r>
      <w:r w:rsidRPr="00C07391">
        <w:tab/>
        <w:t>având în vedere rezoluția sa din 25 martie 2021 referitoare la o nouă strategie UE-Africa – un parteneriat pentru o dezvoltare durabilă și favorabilă incluziunii</w:t>
      </w:r>
      <w:r>
        <w:rPr>
          <w:rStyle w:val="FootnoteReference"/>
        </w:rPr>
        <w:footnoteReference w:id="7"/>
      </w:r>
      <w:r w:rsidRPr="00C07391">
        <w:t>,</w:t>
      </w:r>
    </w:p>
    <w:p w:rsidR="005D3BF9" w:rsidRPr="00C07391" w:rsidP="005D3BF9" w14:paraId="5748B7C8" w14:textId="77777777">
      <w:pPr>
        <w:pStyle w:val="NormalHanging"/>
      </w:pPr>
      <w:r w:rsidRPr="00C07391">
        <w:t>–</w:t>
      </w:r>
      <w:r w:rsidRPr="00C07391">
        <w:tab/>
        <w:t>având în vedere articolul 55 din Regulamentul său de procedură,</w:t>
      </w:r>
    </w:p>
    <w:p w:rsidR="005D3BF9" w:rsidRPr="00C07391" w:rsidP="005D3BF9" w14:paraId="1BBF4CD3" w14:textId="77777777">
      <w:pPr>
        <w:pStyle w:val="NormalHanging"/>
      </w:pPr>
      <w:r w:rsidRPr="00C07391">
        <w:t>–</w:t>
      </w:r>
      <w:r w:rsidRPr="00C07391">
        <w:tab/>
        <w:t>având în vedere raportul Comisiei pentru dezvoltare (A10-0147/2026),</w:t>
      </w:r>
    </w:p>
    <w:p w:rsidR="005D3BF9" w:rsidRPr="00C07391" w:rsidP="005D3BF9" w14:paraId="14F2F3FA" w14:textId="642AA4C6">
      <w:pPr>
        <w:pStyle w:val="NormalHanging"/>
      </w:pPr>
      <w:r w:rsidRPr="00C07391">
        <w:t>A.</w:t>
      </w:r>
      <w:r w:rsidRPr="00C07391">
        <w:tab/>
        <w:t>întrucât migrația și mobilitatea, pacea, buna guvernanță, stabilitatea, creșterea favorabilă incluziunii și dezvoltarea durabilă sunt strâns legate între ele; întrucât migrația este determinată atât de factori la nivel macro, cât și de factori la nivel micro, cum ar fi conflictele armate, instabilitatea politică, dificultățile economice, lipsa oportunităților și sărăcia, accesul limitat la mecanismele de protecție socială, furnizarea inadecvată de servicii, marginalizarea, discriminarea sau persecutarea persoanelor vulnerabile, inclusiv în ceea ce privește libertatea lor religioasă sau de convingere, insecuritatea alimentară și accesul limitat la apă curată, precum și degradarea mediului și schimbările climatice</w:t>
      </w:r>
      <w:r>
        <w:rPr>
          <w:rStyle w:val="FootnoteReference"/>
        </w:rPr>
        <w:footnoteReference w:id="8"/>
      </w:r>
      <w:r w:rsidRPr="00C07391">
        <w:t>;</w:t>
      </w:r>
    </w:p>
    <w:p w:rsidR="005D3BF9" w:rsidRPr="00C07391" w:rsidP="005D3BF9" w14:paraId="47866F93" w14:textId="77777777">
      <w:pPr>
        <w:pStyle w:val="NormalHanging"/>
      </w:pPr>
      <w:r w:rsidRPr="00C07391">
        <w:t>B.</w:t>
      </w:r>
      <w:r w:rsidRPr="00C07391">
        <w:tab/>
        <w:t xml:space="preserve">întrucât deplasările ilegale ale populației includ diferite categorii de </w:t>
      </w:r>
      <w:r w:rsidRPr="00C07391">
        <w:t>migranți</w:t>
      </w:r>
      <w:r w:rsidRPr="00C07391">
        <w:t>, cum ar fi refugiații și solicitanții de azil care caută protecție internațională; întrucât solicitanții de protecție internațională pot rămâne în statele membre responsabile până la luarea unei decizii cu privire la cererea lor;</w:t>
      </w:r>
    </w:p>
    <w:p w:rsidR="005D3BF9" w:rsidRPr="00C07391" w:rsidP="005D3BF9" w14:paraId="0B732542" w14:textId="77777777">
      <w:pPr>
        <w:pStyle w:val="NormalHanging"/>
      </w:pPr>
      <w:r w:rsidRPr="00C07391">
        <w:t>C.</w:t>
      </w:r>
      <w:r w:rsidRPr="00C07391">
        <w:tab/>
        <w:t>întrucât cooperarea pentru dezvoltare joacă un rol fundamental în eradicarea sărăciei, în abordarea contextelor fragile, în promovarea dezvoltării umane și a sustenabilității în toate dimensiunile sale, în abordarea provocărilor globale prin parteneriate internaționale care susțin și promovează valorile și interesele europene și în contribuția la pace și prosperitate în lume;</w:t>
      </w:r>
    </w:p>
    <w:p w:rsidR="005D3BF9" w:rsidRPr="00C07391" w:rsidP="005D3BF9" w14:paraId="5B691A0F" w14:textId="77777777">
      <w:pPr>
        <w:pStyle w:val="NormalHanging"/>
      </w:pPr>
      <w:r w:rsidRPr="00C07391">
        <w:t>D.</w:t>
      </w:r>
      <w:r w:rsidRPr="00C07391">
        <w:tab/>
        <w:t xml:space="preserve">întrucât politica de dezvoltare a UE promovează dezvoltarea durabilă și stabilitatea în </w:t>
      </w:r>
      <w:r w:rsidRPr="00C07391">
        <w:t>țările în curs de dezvoltare, cu scopul final de a eradica sărăcia extremă, în conformitate cu Agenda 2030 și cu ODD, în temeiul articolului 208 din TFUE, respectând în același timp principiul coerenței politicilor în favoarea dezvoltării;</w:t>
      </w:r>
    </w:p>
    <w:p w:rsidR="005D3BF9" w:rsidRPr="00C07391" w:rsidP="005D3BF9" w14:paraId="6A199D6B" w14:textId="77777777">
      <w:pPr>
        <w:pStyle w:val="NormalHanging"/>
      </w:pPr>
      <w:r w:rsidRPr="00C07391">
        <w:t>E.</w:t>
      </w:r>
      <w:r w:rsidRPr="00C07391">
        <w:tab/>
        <w:t>întrucât cooperarea pentru dezvoltare trebuie să se bazeze pe rezultate verificabile și pe un angajament comun concret față de dezvoltarea durabilă;</w:t>
      </w:r>
    </w:p>
    <w:p w:rsidR="005D3BF9" w:rsidRPr="00C07391" w:rsidP="005D3BF9" w14:paraId="73B90841" w14:textId="77777777">
      <w:pPr>
        <w:pStyle w:val="NormalHanging"/>
      </w:pPr>
      <w:r w:rsidRPr="00C07391">
        <w:t>F.</w:t>
      </w:r>
      <w:r w:rsidRPr="00C07391">
        <w:tab/>
        <w:t>întrucât Fondul fiduciar de urgență pentru Africa al UE (EUTF) a fost creat pentru a aborda cauzele profunde ale instabilității, strămutării forțate și ale migrației ilegale și pentru a contribui la o mai bună gestionare a migrației; întrucât Curtea de Conturi Europeană a constatat în analiza sa că EUTF nu și-a atins multe dintre obiective, deoarece strategiile eficace nu au fost întotdeauna identificate în mod clar;</w:t>
      </w:r>
    </w:p>
    <w:p w:rsidR="005D3BF9" w:rsidRPr="00C07391" w:rsidP="005D3BF9" w14:paraId="1C7EA585" w14:textId="721127FE">
      <w:pPr>
        <w:pStyle w:val="NormalHanging"/>
      </w:pPr>
      <w:r w:rsidRPr="00C07391">
        <w:t>G.</w:t>
      </w:r>
      <w:r w:rsidRPr="00C07391">
        <w:tab/>
        <w:t>întrucât, din 2015, UE se confruntă cu fluxuri de migrație fără precedent, a căror gestionare a necesitat eforturi susținute din partea statelor membre, și întrucât, prin urmare, este necesar să se consolideze politicile europene de dezvoltare pentru a aborda cauzele profunde ale migrației ilegale și ale strămutării forțate, având în vedere că peste 8,5 milioane de cereri de azil au fost depuse în statele membre ale UE în perioada 2015-2024</w:t>
      </w:r>
      <w:r>
        <w:rPr>
          <w:rStyle w:val="FootnoteReference"/>
        </w:rPr>
        <w:footnoteReference w:id="9"/>
      </w:r>
      <w:r w:rsidRPr="00C07391">
        <w:t>; întrucât trecerile ilegale ale frontierei la frontierele externe ale UE au scăzut cu peste un sfert (26 %) în 2025, ajungând la aproape 178 000</w:t>
      </w:r>
      <w:r>
        <w:rPr>
          <w:rStyle w:val="FootnoteReference"/>
        </w:rPr>
        <w:footnoteReference w:id="10"/>
      </w:r>
      <w:r w:rsidRPr="00C07391">
        <w:t xml:space="preserve">; întrucât majoritatea </w:t>
      </w:r>
      <w:r w:rsidRPr="00C07391">
        <w:t>migranților</w:t>
      </w:r>
      <w:r w:rsidRPr="00C07391">
        <w:t xml:space="preserve"> care sosesc în Europa ajung pe căi legale; întrucât ODD 10 ținta 7 solicită țărilor să faciliteze migrația și mobilitatea ordonată, sigură, legală și responsabilă a persoanelor prin politici planificate și bine gestionate în domeniul migrației;</w:t>
      </w:r>
    </w:p>
    <w:p w:rsidR="005D3BF9" w:rsidRPr="00C07391" w:rsidP="005D3BF9" w14:paraId="41A09531" w14:textId="5672C3B7">
      <w:pPr>
        <w:pStyle w:val="NormalHanging"/>
      </w:pPr>
      <w:r w:rsidRPr="00C07391">
        <w:t>H.</w:t>
      </w:r>
      <w:r w:rsidRPr="00C07391">
        <w:tab/>
        <w:t>întrucât 4,2 milioane de persoane au migrat în UE din țări din afara UE în 2024</w:t>
      </w:r>
      <w:r>
        <w:rPr>
          <w:rStyle w:val="FootnoteReference"/>
        </w:rPr>
        <w:footnoteReference w:id="11"/>
      </w:r>
      <w:r w:rsidRPr="00C07391">
        <w:t>;</w:t>
      </w:r>
    </w:p>
    <w:p w:rsidR="005D3BF9" w:rsidRPr="00C07391" w:rsidP="005D3BF9" w14:paraId="48884348" w14:textId="77777777">
      <w:pPr>
        <w:pStyle w:val="NormalHanging"/>
      </w:pPr>
      <w:r w:rsidRPr="00C07391">
        <w:t>I.</w:t>
      </w:r>
      <w:r w:rsidRPr="00C07391">
        <w:tab/>
        <w:t>întrucât multe țări de origine ale solicitanților de azil sunt țări cu venituri mici și medii; întrucât ratele de acceptare a solicitanților de azil din aceste țări variază considerabil;</w:t>
      </w:r>
    </w:p>
    <w:p w:rsidR="005D3BF9" w:rsidRPr="00C07391" w:rsidP="005D3BF9" w14:paraId="2E89E9C3" w14:textId="77777777">
      <w:pPr>
        <w:pStyle w:val="NormalHanging"/>
      </w:pPr>
      <w:r w:rsidRPr="00C07391">
        <w:t>J.</w:t>
      </w:r>
      <w:r w:rsidRPr="00C07391">
        <w:tab/>
        <w:t>întrucât, în 2024, țările UE au acordat statut de protecție unui număr de 437 900 de solicitanți de azil, în creștere cu 6,9 % față de 2023 (409 530); întrucât acesta a fost cel mai mare număr de la vârfurile înregistrate după criza refugiaților legată de războiul din Siria din 2016 și 2017; întrucât rata de recunoaștere la nivelul UE, adică ponderea deciziilor pozitive din numărul total de decizii în materie de azil, a fost de 51,4 % pentru deciziile în primă instanță în 2024;</w:t>
      </w:r>
    </w:p>
    <w:p w:rsidR="005D3BF9" w:rsidRPr="00C07391" w:rsidP="005D3BF9" w14:paraId="7BD9B80D" w14:textId="44CEFE5A">
      <w:pPr>
        <w:pStyle w:val="NormalHanging"/>
      </w:pPr>
      <w:r w:rsidRPr="00C07391">
        <w:t>K.</w:t>
      </w:r>
      <w:r w:rsidRPr="00C07391">
        <w:tab/>
        <w:t>întrucât, în 2024, unui număr de 124 000 de cetățeni din afara UE li s-a refuzat intrarea în UE, 919 000 au fost găsiți fără statut, 453 000 au primit decizii de returnare și aproximativ 110 000 au fost returnați efectiv într-o țară din afara UE</w:t>
      </w:r>
      <w:r>
        <w:rPr>
          <w:rStyle w:val="FootnoteReference"/>
        </w:rPr>
        <w:footnoteReference w:id="12"/>
      </w:r>
      <w:r w:rsidRPr="00C07391">
        <w:t xml:space="preserve">; întrucât </w:t>
      </w:r>
      <w:r w:rsidRPr="00C07391">
        <w:t>aproximativ 20 % dintre cei cărora li s-au emis decizii de returnare au fost efectiv returnați</w:t>
      </w:r>
      <w:r>
        <w:rPr>
          <w:rStyle w:val="FootnoteReference"/>
        </w:rPr>
        <w:footnoteReference w:id="13"/>
      </w:r>
      <w:r w:rsidRPr="00C07391">
        <w:t>;</w:t>
      </w:r>
    </w:p>
    <w:p w:rsidR="005D3BF9" w:rsidRPr="00C07391" w:rsidP="005D3BF9" w14:paraId="6A76BF3C" w14:textId="77777777">
      <w:pPr>
        <w:pStyle w:val="NormalHanging"/>
      </w:pPr>
      <w:r w:rsidRPr="00C07391">
        <w:t>L.</w:t>
      </w:r>
      <w:r w:rsidRPr="00C07391">
        <w:tab/>
        <w:t>întrucât cele mai frecvente deplasări migratorii internaționale au loc între țările învecinate; întrucât marea majoritate a refugiaților, a persoanelor care au nevoie de protecție internațională și a persoanelor strămutate în interiorul țării sunt găzduiți în țări cu venituri mici și medii; întrucât povara economică asupra acestor țări este grea și le afectează propria coeziune și dezvoltare socială și economică; întrucât cooperarea pentru dezvoltare joacă, prin urmare, un rol esențial în sprijinirea populațiilor strămutate și a comunităților-gazdă;</w:t>
      </w:r>
    </w:p>
    <w:p w:rsidR="005D3BF9" w:rsidRPr="00C07391" w:rsidP="005D3BF9" w14:paraId="68934C04" w14:textId="77777777">
      <w:pPr>
        <w:pStyle w:val="NormalHanging"/>
      </w:pPr>
      <w:r w:rsidRPr="00C07391">
        <w:t>M.</w:t>
      </w:r>
      <w:r w:rsidRPr="00C07391">
        <w:tab/>
        <w:t xml:space="preserve">întrucât Africa se confruntă cu migrația internă, aproximativ 80 % din totalul migrației africane având loc pe continent; întrucât, în 2024, Africa </w:t>
      </w:r>
      <w:r w:rsidRPr="00C07391">
        <w:t>Subsahariană</w:t>
      </w:r>
      <w:r w:rsidRPr="00C07391">
        <w:t xml:space="preserve"> a înregistrat 19,3 milioane de noi strămutări interne, dintre care 11,5 milioane au fost cauzate de conflicte și 7,8 milioane de dezastre; întrucât numărul total al persoanelor strămutate intern în Africa a ajuns la 38,8 milioane între 2015 și 2024, reprezentând 46 % din numărul total la nivel mondial, 68 % dintre acestea provenind din Republica Democratică Congo, Etiopia, Nigeria, Somalia și Sudan;</w:t>
      </w:r>
    </w:p>
    <w:p w:rsidR="005D3BF9" w:rsidRPr="00C07391" w:rsidP="005D3BF9" w14:paraId="75D832E1" w14:textId="1F0CFFBF">
      <w:pPr>
        <w:pStyle w:val="NormalHanging"/>
      </w:pPr>
      <w:r w:rsidRPr="00C07391">
        <w:t>N.</w:t>
      </w:r>
      <w:r w:rsidRPr="00C07391">
        <w:tab/>
        <w:t>întrucât, în iunie 2025, 117,3 milioane de persoane fuseseră obligate să își părăsească locuințele la nivel mondial din cauza persecuțiilor, a conflictelor, a violenței, a încălcărilor drepturilor omului sau a evenimentelor care perturbă grav ordinea publică; întrucât 42,5 milioane dintre aceștia erau refugiați, 67,8 milioane erau persoane strămutate intern, iar 8,42 milioane erau solicitanți de azil</w:t>
      </w:r>
      <w:r>
        <w:rPr>
          <w:rStyle w:val="FootnoteReference"/>
        </w:rPr>
        <w:footnoteReference w:id="14"/>
      </w:r>
      <w:r w:rsidRPr="00C07391">
        <w:t>;</w:t>
      </w:r>
    </w:p>
    <w:p w:rsidR="005D3BF9" w:rsidRPr="00C07391" w:rsidP="005D3BF9" w14:paraId="0224E47E" w14:textId="77777777">
      <w:pPr>
        <w:pStyle w:val="NormalHanging"/>
      </w:pPr>
      <w:r w:rsidRPr="00C07391">
        <w:t>O.</w:t>
      </w:r>
      <w:r w:rsidRPr="00C07391">
        <w:tab/>
        <w:t>întrucât Raportul privind tendințele globale și sondajele realizate de Înaltul Comisariat al Națiunilor Unite pentru Refugiați (UNHCR) arată că majoritatea refugiaților și a persoanelor strămutate nu doresc să își părăsească țările, ci sunt constrânse de amenințări precum conflictele, persecuțiile, violența sau dificultățile extreme; întrucât un sondaj al UNHCR din 2023 a constatat că marea majoritate a refugiaților ar prefera să rămână în comunitățile lor dacă li s-ar garanta securitatea și mijloacele de subzistență;</w:t>
      </w:r>
    </w:p>
    <w:p w:rsidR="005D3BF9" w:rsidRPr="00C07391" w:rsidP="005D3BF9" w14:paraId="5C5E67E6" w14:textId="77777777">
      <w:pPr>
        <w:pStyle w:val="NormalHanging"/>
      </w:pPr>
      <w:r w:rsidRPr="00C07391">
        <w:t>P.</w:t>
      </w:r>
      <w:r w:rsidRPr="00C07391">
        <w:tab/>
        <w:t>întrucât cooperarea pentru dezvoltare joacă un rol fundamental în reducerea sărăciei și abordarea situațiilor de fragilitate prin sprijinirea dezvoltării umane, promovarea și sprijinirea principiilor democrației, statului de drept, egalității de gen, drepturilor omului și drepturilor fundamentale și prin consolidarea aplicării legii, precum și prin crearea de oportunități economice sustenabile, consolidarea guvernanței și promovarea păcii și a stabilității, abordând astfel cauzele profunde ale migrației ilegale;</w:t>
      </w:r>
    </w:p>
    <w:p w:rsidR="005D3BF9" w:rsidRPr="00C07391" w:rsidP="005D3BF9" w14:paraId="2CC4D041" w14:textId="77777777">
      <w:pPr>
        <w:pStyle w:val="NormalHanging"/>
      </w:pPr>
      <w:r w:rsidRPr="00C07391">
        <w:t>Q.</w:t>
      </w:r>
      <w:r w:rsidRPr="00C07391">
        <w:tab/>
        <w:t>întrucât îmbunătățirea condițiilor de viață, a educației și a perspectivelor de angajare în țările de origine este esențială pentru a se asigura că oamenii își pot construi un viitor în propriile comunități, mai degrabă decât să fie obligați să migreze; întrucât o cooperare specifică și eficace poate, prin urmare, să reducă stimulentele pentru migrația ilegală prin promovarea stabilității, a securității și a autosuficienței în țările partenere;</w:t>
      </w:r>
    </w:p>
    <w:p w:rsidR="005D3BF9" w:rsidRPr="00C07391" w:rsidP="005D3BF9" w14:paraId="15761519" w14:textId="77777777">
      <w:pPr>
        <w:pStyle w:val="NormalHanging"/>
      </w:pPr>
      <w:r w:rsidRPr="00C07391">
        <w:t>R.</w:t>
      </w:r>
      <w:r w:rsidRPr="00C07391">
        <w:tab/>
        <w:t>întrucât fragilitatea crescută, inclusiv în ceea ce privește schimbările climatice și degradarea mediului, precum și epuizarea și supraexploatarea resurselor naturale, poate avea un impact asupra migrației; întrucât 90 % din toate dezastrele naturale sunt legate de apă, cu posibile efecte asupra insecurității alimentare, a intensificării conflictelor societale și a migrației;</w:t>
      </w:r>
    </w:p>
    <w:p w:rsidR="005D3BF9" w:rsidRPr="00C07391" w:rsidP="005D3BF9" w14:paraId="6E141E7F" w14:textId="77777777">
      <w:pPr>
        <w:pStyle w:val="NormalHanging"/>
      </w:pPr>
      <w:r w:rsidRPr="00C07391">
        <w:t>S.</w:t>
      </w:r>
      <w:r w:rsidRPr="00C07391">
        <w:tab/>
        <w:t>întrucât nivelurile ridicate de insecuritate alimentară conduc la niveluri mai ridicate de migrație transfrontalieră, fiecare creștere cu 1 % a insecurității alimentare într-o populație obligând cu 1,9 % mai multe persoane să migreze; întrucât, deși factorii economici și de mediu nu constituie singuri motive de azil, aceștia contribuie în mod semnificativ la factorii de vulnerabilitate care pot necesita un răspuns internațional cuprinzător orientat spre protecție;</w:t>
      </w:r>
    </w:p>
    <w:p w:rsidR="005D3BF9" w:rsidRPr="00C07391" w:rsidP="005D3BF9" w14:paraId="14E2D3BE" w14:textId="77777777">
      <w:pPr>
        <w:pStyle w:val="NormalHanging"/>
      </w:pPr>
      <w:r w:rsidRPr="00C07391">
        <w:t>T.</w:t>
      </w:r>
      <w:r w:rsidRPr="00C07391">
        <w:tab/>
        <w:t>întrucât fluxurile de migrație sunt adesea legate de deficitul de resurse naturale, inclusiv de apă; întrucât 2,2 miliarde de persoane din întreaga lume nu au încă acces la apă potabilă sigură; întrucât strategia europeană pentru reziliența în domeniul apei urmărește să promoveze reziliența în domeniul apei și să asigure accesul la apă potabilă îmbunătățită și la salubritate pentru cel puțin 70 de milioane de persoane prin consolidarea angajamentului național și regional în cadrul Global Gateway;</w:t>
      </w:r>
    </w:p>
    <w:p w:rsidR="005D3BF9" w:rsidRPr="00C07391" w:rsidP="005D3BF9" w14:paraId="5CE1DF30" w14:textId="77777777">
      <w:pPr>
        <w:pStyle w:val="NormalHanging"/>
      </w:pPr>
      <w:r w:rsidRPr="00C07391">
        <w:t>U.</w:t>
      </w:r>
      <w:r w:rsidRPr="00C07391">
        <w:tab/>
        <w:t>întrucât Pactul UE privind migrația și azilul subliniază importanța dimensiunii externe a migrației prin dezvoltarea unor parteneriate cuprinzătoare bazate pe dialog politic, angajament reciproc și o abordare la nivelul întregii rute;</w:t>
      </w:r>
    </w:p>
    <w:p w:rsidR="005D3BF9" w:rsidRPr="00C07391" w:rsidP="005D3BF9" w14:paraId="603C12FF" w14:textId="77777777">
      <w:pPr>
        <w:pStyle w:val="NormalHanging"/>
      </w:pPr>
      <w:r w:rsidRPr="00C07391">
        <w:t>V.</w:t>
      </w:r>
      <w:r w:rsidRPr="00C07391">
        <w:tab/>
        <w:t>întrucât Pactul pentru Mediterana solicită extinderea programului Erasmus+ la mai multe țări din Orientul Mijlociu și Africa pentru a conecta tinerii și a sprijini un mediu mai integrat și mai favorabil incluziunii pentru învățământul superior și dezvoltarea competențelor; întrucât Pactul solicită, de asemenea, extinderea parteneriatelor pentru talente, inclusiv prin lansarea Rezervei de talente la nivelul UE, pentru a facilita legăturile dintre angajatorii din UE și persoanele aflate în căutarea unui loc de muncă din țările partenere;</w:t>
      </w:r>
    </w:p>
    <w:p w:rsidR="005D3BF9" w:rsidRPr="00C07391" w:rsidP="005D3BF9" w14:paraId="7BB1A350" w14:textId="77777777">
      <w:pPr>
        <w:pStyle w:val="NormalHanging"/>
      </w:pPr>
      <w:r w:rsidRPr="00C07391">
        <w:t>W.</w:t>
      </w:r>
      <w:r w:rsidRPr="00C07391">
        <w:tab/>
        <w:t>întrucât strategia „Global Gateway” și investițiile în dezvoltarea umană ar trebui să ofere ocazia de a alinia cooperarea pentru dezvoltare la prioritățile țărilor partenere, inclusiv migrația, prin promovarea creării de locuri de muncă, a educației, a formării profesionale, a valorilor democratice și a standardelor înalte, consolidând buna guvernanță și transparența și investițiile sustenabile, inclusiv în ceea ce privește securitatea apei, în țările de origine și de tranzit;</w:t>
      </w:r>
    </w:p>
    <w:p w:rsidR="005D3BF9" w:rsidRPr="00C07391" w:rsidP="005D3BF9" w14:paraId="68D33CBB" w14:textId="77777777">
      <w:pPr>
        <w:pStyle w:val="NormalHanging"/>
      </w:pPr>
      <w:r w:rsidRPr="00C07391">
        <w:t>X.</w:t>
      </w:r>
      <w:r w:rsidRPr="00C07391">
        <w:tab/>
        <w:t>întrucât strategia „Global Gateway” ar trebui să vizeze, de asemenea, promovarea unor parteneriate sustenabile și de încredere în domeniul energiei și al infrastructurii verzi; întrucât adaptarea la schimbările climatice și investițiile în energia din surse regenerabile sunt esențiale pentru abordarea factorilor socioeconomici ai migrației;</w:t>
      </w:r>
    </w:p>
    <w:p w:rsidR="005D3BF9" w:rsidRPr="00C07391" w:rsidP="005D3BF9" w14:paraId="0ACDB7C4" w14:textId="77777777">
      <w:pPr>
        <w:pStyle w:val="NormalHanging"/>
      </w:pPr>
      <w:r w:rsidRPr="00C07391">
        <w:t>Y.</w:t>
      </w:r>
      <w:r w:rsidRPr="00C07391">
        <w:tab/>
        <w:t>întrucât cooperarea economică și investițiile private sunt instrumente importante pentru reducerea sărăciei și creșterea autonomiei, stimulând creșterea locală sustenabilă în țările partenere;</w:t>
      </w:r>
    </w:p>
    <w:p w:rsidR="005D3BF9" w:rsidRPr="00C07391" w:rsidP="005D3BF9" w14:paraId="110F87EA" w14:textId="77777777">
      <w:pPr>
        <w:pStyle w:val="NormalHanging"/>
      </w:pPr>
      <w:r w:rsidRPr="00C07391">
        <w:t>Z.</w:t>
      </w:r>
      <w:r w:rsidRPr="00C07391">
        <w:tab/>
        <w:t>întrucât dezvoltarea industrială s-a dovedit a fi una dintre cele mai puternice modalități de a scoate oamenii din sărăcie; întrucât investițiile în capacitățile de productivitate într-un mod responsabil din punct de vedere social și sustenabil pot genera oportunități de angajare și pot avea un efect multiplicator;</w:t>
      </w:r>
    </w:p>
    <w:p w:rsidR="005D3BF9" w:rsidRPr="00C07391" w:rsidP="005D3BF9" w14:paraId="1BDDC7D8" w14:textId="77777777">
      <w:pPr>
        <w:pStyle w:val="NormalHanging"/>
      </w:pPr>
      <w:r w:rsidRPr="00C07391">
        <w:t>AA.</w:t>
      </w:r>
      <w:r w:rsidRPr="00C07391">
        <w:tab/>
        <w:t xml:space="preserve">întrucât traficul de persoane și introducerea ilegală de </w:t>
      </w:r>
      <w:r w:rsidRPr="00C07391">
        <w:t>migranți</w:t>
      </w:r>
      <w:r w:rsidRPr="00C07391">
        <w:t xml:space="preserve"> reprezintă încălcări grave ale drepturilor fundamentale și privează persoanele de demnitatea, libertatea și drepturile lor fundamentale; întrucât rețelele infracționale de trafic de persoane și de introducere ilegală de </w:t>
      </w:r>
      <w:r w:rsidRPr="00C07391">
        <w:t>migranți</w:t>
      </w:r>
      <w:r w:rsidRPr="00C07391">
        <w:t xml:space="preserve"> exploatează </w:t>
      </w:r>
      <w:r w:rsidRPr="00C07391">
        <w:t>migranții</w:t>
      </w:r>
      <w:r w:rsidRPr="00C07391">
        <w:t xml:space="preserve"> profitând de pe urma unor călătorii periculoase;</w:t>
      </w:r>
    </w:p>
    <w:p w:rsidR="005D3BF9" w:rsidRPr="00C07391" w:rsidP="005D3BF9" w14:paraId="264866E9" w14:textId="77777777">
      <w:pPr>
        <w:pStyle w:val="NormalHanging"/>
      </w:pPr>
      <w:r w:rsidRPr="00C07391">
        <w:t>AB.</w:t>
      </w:r>
      <w:r w:rsidRPr="00C07391">
        <w:tab/>
        <w:t xml:space="preserve">întrucât unele țări nu dispun de instrumentele și resursele necesare pentru a preveni și a combate aceste infracțiuni; întrucât parteneriatele internaționale pot contribui în mod eficace la combaterea traficului de persoane și a introducerii ilegale de </w:t>
      </w:r>
      <w:r w:rsidRPr="00C07391">
        <w:t>migranți</w:t>
      </w:r>
      <w:r w:rsidRPr="00C07391">
        <w:t>;</w:t>
      </w:r>
    </w:p>
    <w:p w:rsidR="005D3BF9" w:rsidRPr="00C07391" w:rsidP="005D3BF9" w14:paraId="42A0D063" w14:textId="77777777">
      <w:pPr>
        <w:pStyle w:val="NormalHanging"/>
      </w:pPr>
      <w:r w:rsidRPr="00C07391">
        <w:t>AC.</w:t>
      </w:r>
      <w:r w:rsidRPr="00C07391">
        <w:tab/>
        <w:t>întrucât cooperarea pentru dezvoltare joacă un rol esențial în abordarea cauzelor profunde ale migrației ilegale și ale strămutării forțate, precum și în combaterea introducerii ilegale de persoane, în protejarea refugiaților și a persoanelor care au nevoie de protecție internațională, în sprijinirea țărilor care găzduiesc refugiați și în dezvoltarea unor căi legale de migrație;</w:t>
      </w:r>
    </w:p>
    <w:p w:rsidR="005D3BF9" w:rsidRPr="00C07391" w:rsidP="005D3BF9" w14:paraId="2E673457" w14:textId="77777777">
      <w:pPr>
        <w:pStyle w:val="NormalHanging"/>
      </w:pPr>
      <w:r w:rsidRPr="00C07391">
        <w:t>AD.</w:t>
      </w:r>
      <w:r w:rsidRPr="00C07391">
        <w:tab/>
        <w:t>întrucât securitatea, stabilitatea, integritatea teritorială și buna guvernanță sunt condiții prealabile pentru măsurile de dezvoltare durabilă și întrucât UE ar trebui, de asemenea, să sprijine țările partenere în consolidarea capacităților de aplicare a legii și de gestionare a frontierelor, precum și în combaterea criminalității organizate;</w:t>
      </w:r>
    </w:p>
    <w:p w:rsidR="005D3BF9" w:rsidRPr="00C07391" w:rsidP="005D3BF9" w14:paraId="484FC74B" w14:textId="77777777">
      <w:pPr>
        <w:pStyle w:val="NormalHanging"/>
      </w:pPr>
      <w:r w:rsidRPr="00C07391">
        <w:t>AE.</w:t>
      </w:r>
      <w:r w:rsidRPr="00C07391">
        <w:tab/>
        <w:t>întrucât gestionarea eficace a migrației necesită, de asemenea, o cooperare mai strânsă cu țările de origine și de tranzit, precum și dezmembrarea rețelelor infracționale care exploatează persoanele vulnerabile; întrucât sprijinul pentru dezvoltarea locală și stabilitate în țările partenere contribuie la abordarea cauzelor profunde ale migrației într-un mod sustenabil;</w:t>
      </w:r>
    </w:p>
    <w:p w:rsidR="005D3BF9" w:rsidRPr="00C07391" w:rsidP="005D3BF9" w14:paraId="379D7258" w14:textId="77777777">
      <w:pPr>
        <w:pStyle w:val="NormalHanging"/>
      </w:pPr>
      <w:r w:rsidRPr="00C07391">
        <w:t>AF.</w:t>
      </w:r>
      <w:r w:rsidRPr="00C07391">
        <w:tab/>
        <w:t>întrucât sprijinul european pentru funcționarea sistemelor de azil din țările terțe în cadrul cooperării pentru dezvoltare este de o importanță vitală pentru protecția internațională a solicitanților de azil;</w:t>
      </w:r>
    </w:p>
    <w:p w:rsidR="005D3BF9" w:rsidRPr="00C07391" w:rsidP="005D3BF9" w14:paraId="2E387B9A" w14:textId="77777777">
      <w:pPr>
        <w:pStyle w:val="NormalHanging"/>
      </w:pPr>
      <w:r w:rsidRPr="00C07391">
        <w:t>AG.</w:t>
      </w:r>
      <w:r w:rsidRPr="00C07391">
        <w:tab/>
        <w:t>întrucât politicile de returnare și reintegrare trebuie să respecte pe deplin drepturile omului; întrucât cooperarea în materie de returnare și reintegrare poate aduce beneficii reciproce atunci când ia în considerare returnarea voluntară, demnă și sustenabilă în țările de origine;</w:t>
      </w:r>
    </w:p>
    <w:p w:rsidR="005D3BF9" w:rsidRPr="00C07391" w:rsidP="005D3BF9" w14:paraId="47EA906C" w14:textId="77777777">
      <w:pPr>
        <w:pStyle w:val="NormalHanging"/>
      </w:pPr>
      <w:r w:rsidRPr="00C07391">
        <w:t>AH.</w:t>
      </w:r>
      <w:r w:rsidRPr="00C07391">
        <w:tab/>
        <w:t xml:space="preserve">întrucât acordurile de readmisie și proiectele inovatoare adaptate care vizează reintegrarea </w:t>
      </w:r>
      <w:r w:rsidRPr="00C07391">
        <w:t>migranților</w:t>
      </w:r>
      <w:r w:rsidRPr="00C07391">
        <w:t xml:space="preserve"> în țările lor de origine fac parte integrantă din cooperarea eficace cu țările partenere;</w:t>
      </w:r>
    </w:p>
    <w:p w:rsidR="005D3BF9" w:rsidRPr="00C07391" w:rsidP="005D3BF9" w14:paraId="0CB35209" w14:textId="77777777">
      <w:pPr>
        <w:pStyle w:val="NormalHanging"/>
      </w:pPr>
      <w:r w:rsidRPr="00C07391">
        <w:t>AI.</w:t>
      </w:r>
      <w:r w:rsidRPr="00C07391">
        <w:tab/>
        <w:t>întrucât cooperarea pentru dezvoltare joacă un rol esențial în sprijinirea integrării socioeconomice a populațiilor strămutate și a comunităților-gazdă și în protecția persoanelor aflate în situații vulnerabile, inclusiv a femeilor, a copiilor și a persoanelor cu dizabilități;</w:t>
      </w:r>
    </w:p>
    <w:p w:rsidR="005D3BF9" w:rsidRPr="00C07391" w:rsidP="005D3BF9" w14:paraId="565ECBBB" w14:textId="77777777">
      <w:pPr>
        <w:pStyle w:val="NormalHanging"/>
      </w:pPr>
      <w:r w:rsidRPr="00C07391">
        <w:t>AJ.</w:t>
      </w:r>
      <w:r w:rsidRPr="00C07391">
        <w:tab/>
        <w:t xml:space="preserve">întrucât migrația poate contribui la dezvoltarea durabilă și la creșterea favorabilă incluziunii atât în țările de origine, cât și în țările de destinație, precum și în interiorul regiunilor și între acestea; întrucât migrația are un impact economic atât asupra țării de destinație, cât și asupra țării de origine; întrucât acest impact poate fi observat în contribuția </w:t>
      </w:r>
      <w:r w:rsidRPr="00C07391">
        <w:t>migranților</w:t>
      </w:r>
      <w:r w:rsidRPr="00C07391">
        <w:t xml:space="preserve"> la finanțele publice, la ocuparea forței de muncă și la crearea de locuri de muncă, precum și în rolul comunităților din diaspora în sprijinirea dezvoltării economice a țărilor lor de origine;</w:t>
      </w:r>
    </w:p>
    <w:p w:rsidR="005D3BF9" w:rsidRPr="00C07391" w:rsidP="005D3BF9" w14:paraId="0DBAA213" w14:textId="77777777">
      <w:pPr>
        <w:pStyle w:val="NormalHanging"/>
      </w:pPr>
      <w:r w:rsidRPr="00C07391">
        <w:t>AK.</w:t>
      </w:r>
      <w:r w:rsidRPr="00C07391">
        <w:tab/>
        <w:t>întrucât comunitățile din diaspora joacă un rol important în dezvoltarea țărilor partenere, în special în promovarea comerțului și a dezvoltării economice, precum și în abordarea unei serii de aspecte legate de migrație și mobilitate; întrucât Instrumentul UE pentru diaspora mondială poate juca un rol esențial în acest context;</w:t>
      </w:r>
    </w:p>
    <w:p w:rsidR="005D3BF9" w:rsidRPr="00C07391" w:rsidP="005D3BF9" w14:paraId="4BE85DE9" w14:textId="77777777">
      <w:pPr>
        <w:pStyle w:val="NormalHanging"/>
      </w:pPr>
      <w:r w:rsidRPr="00C07391">
        <w:t>AL.</w:t>
      </w:r>
      <w:r w:rsidRPr="00C07391">
        <w:tab/>
        <w:t>întrucât exodul creierelor poate reprezenta o provocare pentru țările terțe în ceea ce privește atingerea obiectivelor lor de politică legate atât de dezvoltare, cât și de migrație,</w:t>
      </w:r>
    </w:p>
    <w:p w:rsidR="005D3BF9" w:rsidRPr="00C07391" w:rsidP="005D3BF9" w14:paraId="2C679787" w14:textId="77777777">
      <w:pPr>
        <w:pStyle w:val="Normal12a"/>
      </w:pPr>
      <w:r w:rsidRPr="00C07391">
        <w:rPr>
          <w:b/>
          <w:i/>
        </w:rPr>
        <w:t>Interconexiunile dintre migrație și cooperarea pentru dezvoltare</w:t>
      </w:r>
    </w:p>
    <w:p w:rsidR="005D3BF9" w:rsidRPr="00C07391" w:rsidP="005D3BF9" w14:paraId="1D2CCE64" w14:textId="77777777">
      <w:pPr>
        <w:pStyle w:val="NormalHanging12a"/>
      </w:pPr>
      <w:r w:rsidRPr="00C07391">
        <w:t>1.</w:t>
      </w:r>
      <w:r w:rsidRPr="00C07391">
        <w:tab/>
        <w:t>subliniază interconexiunea dintre migrație și cooperarea pentru dezvoltare și invită Comisia și statele membre să își asume în continuare angajamentul față de coerența politicilor în favoarea dezvoltării în politicile lor privind migrația, cu respectarea deplină a drepturilor omului și a Agendei 2030 a ONU;</w:t>
      </w:r>
    </w:p>
    <w:p w:rsidR="005D3BF9" w:rsidRPr="00C07391" w:rsidP="005D3BF9" w14:paraId="5AF69C95" w14:textId="77777777">
      <w:pPr>
        <w:pStyle w:val="NormalHanging12a"/>
      </w:pPr>
      <w:r w:rsidRPr="00C07391">
        <w:t>2.</w:t>
      </w:r>
      <w:r w:rsidRPr="00C07391">
        <w:tab/>
        <w:t>evidențiază că cooperarea pentru dezvoltare și politica externă și de securitate a UE trebuie să fie întotdeauna elaborate și puse în aplicare într-un mod pe deplin coerent, cu o abordare pragmatică și reciproc avantajoasă, orientată spre rezultate, menită să asigure stabilitatea și oportunitățile economice în țările partenere, inclusiv în țările de origine și de tranzit pentru fluxurile de migrație;</w:t>
      </w:r>
    </w:p>
    <w:p w:rsidR="005D3BF9" w:rsidRPr="00C07391" w:rsidP="005D3BF9" w14:paraId="41E1DA31" w14:textId="77777777">
      <w:pPr>
        <w:pStyle w:val="NormalHanging12a"/>
      </w:pPr>
      <w:r w:rsidRPr="00C07391">
        <w:t>3.</w:t>
      </w:r>
      <w:r w:rsidRPr="00C07391">
        <w:tab/>
        <w:t>evidențiază că cooperarea pentru dezvoltare ar trebui să acorde prioritate eradicării sărăciei, reducerii inegalităților și dezvoltării durabile, în conformitate cu ODD, prevenirii conflictelor și consolidării păcii prin capacitare economică, reformelor în materie de guvernanță și promovării drepturilor omului în țările partenere, acordând totodată prioritate investițiilor pe termen lung bazate pe prioritățile și nevoile de dezvoltare ale țărilor partenere, inclusiv atunci când abordează cauzele profunde ale migrației ilegale și ale strămutării forțate, printre alte obiective;</w:t>
      </w:r>
    </w:p>
    <w:p w:rsidR="005D3BF9" w:rsidRPr="00C07391" w:rsidP="005D3BF9" w14:paraId="107C7061" w14:textId="77777777">
      <w:pPr>
        <w:pStyle w:val="NormalHanging12a"/>
      </w:pPr>
      <w:r w:rsidRPr="00C07391">
        <w:t>4.</w:t>
      </w:r>
      <w:r w:rsidRPr="00C07391">
        <w:tab/>
        <w:t>reamintește că femeile și fetele sunt adesea afectate în mod disproporționat de crize și de sărăcie; invită, prin urmare, Comisia să aplice o abordare bazată pe drepturile omului, care să țină seama de dimensiunea de gen și de vulnerabilitate în programele de dezvoltare, subliniind importanța identificării riscurilor în materie de drepturi ale omului, a luării de măsuri de atenuare și a asigurării faptului că se pune un accent deosebit pe toate persoanele aflate în situații vulnerabile – inclusiv persoanele cu dizabilități, persoanele în vârstă, comunitățile marginalizate și femeile, fetele și tinerii – în special deoarece rolul femeilor în contexte fragile și în consolidarea păcii, prevenirea conflictelor și dezvoltarea durabilă este esențial, deoarece acestea acționează adesea ca actori de primă linie și pot fi catalizatori esențiali ai schimbării, rezilienței și redresării; subliniază că participarea femeilor/incluzivă la procesul decizional, la mediere, la acțiunile climatice și la dezvoltarea comunității conduce la rezultate mai eficace și mai sustenabile;</w:t>
      </w:r>
    </w:p>
    <w:p w:rsidR="005D3BF9" w:rsidRPr="00C07391" w:rsidP="005D3BF9" w14:paraId="10F00645" w14:textId="77777777">
      <w:pPr>
        <w:pStyle w:val="NormalHanging12a"/>
      </w:pPr>
      <w:r w:rsidRPr="00C07391">
        <w:t>5.</w:t>
      </w:r>
      <w:r w:rsidRPr="00C07391">
        <w:tab/>
        <w:t>subliniază importanța unei abordări de tip „Echipa Europa” care să asigure coerența între instituțiile UE și statele membre care lucrează la dimensiunea externă a migrației; subliniază că Echipa Europa ar trebui să coordoneze eforturile politice, diplomatice, financiare și tehnice pentru a dezvolta și a aprofunda parteneriate cuprinzătoare care să sprijine țările partenere în gestionarea migrației într-un mod sigur, ordonat, regulamentar și responsabil, prin aplicarea unei abordări eficace, bazate pe drepturile omului și centrate pe factorul uman, care să răspundă, de asemenea, nevoilor refugiaților și ale persoanelor strămutate intern;</w:t>
      </w:r>
    </w:p>
    <w:p w:rsidR="005D3BF9" w:rsidRPr="00C07391" w:rsidP="005D3BF9" w14:paraId="632D2E0D" w14:textId="77777777">
      <w:pPr>
        <w:pStyle w:val="NormalHanging12a"/>
      </w:pPr>
      <w:r w:rsidRPr="00C07391">
        <w:t>6.</w:t>
      </w:r>
      <w:r w:rsidRPr="00C07391">
        <w:tab/>
        <w:t>evidențiază că, pentru a preveni corupția și a evita gestionarea defectuoasă, Comisia ar trebui să se asigure că există mecanisme clare de monitorizare și evaluare pentru a asigura o responsabilitate și o transparență eficace în execuția bugetului UE, inclusiv atunci când abordează legătura dintre dezvoltare și cauzele profunde ale migrației;</w:t>
      </w:r>
    </w:p>
    <w:p w:rsidR="005D3BF9" w:rsidRPr="00C07391" w:rsidP="005D3BF9" w14:paraId="574C9046" w14:textId="77777777">
      <w:pPr>
        <w:pStyle w:val="NormalHanging12a"/>
      </w:pPr>
      <w:r w:rsidRPr="00C07391">
        <w:t>7.</w:t>
      </w:r>
      <w:r w:rsidRPr="00C07391">
        <w:tab/>
        <w:t xml:space="preserve">invită Comisia și statele membre să intensifice dialogul politic cu țările terțe, să consolideze și să dezvolte abordări cuprinzătoare și reciproc avantajoase pentru fiecare țară în parte, care să țină seama de contextele specifice și de nevoile în materie de dezvoltare și migrație ale țărilor de origine și de tranzit, în special în ceea ce privește dezvoltarea umană, munca decentă, incluziunea socială și protecția </w:t>
      </w:r>
      <w:r w:rsidRPr="00C07391">
        <w:t>migranților</w:t>
      </w:r>
      <w:r w:rsidRPr="00C07391">
        <w:t>, a refugiaților și a persoanelor strămutate intern; subliniază că o astfel de cooperare ar trebui să se bazeze pe solidaritate, responsabilitate comună și respectarea drepturilor omului;</w:t>
      </w:r>
    </w:p>
    <w:p w:rsidR="005D3BF9" w:rsidRPr="00C07391" w:rsidP="005D3BF9" w14:paraId="2F47A852" w14:textId="77777777">
      <w:pPr>
        <w:pStyle w:val="NormalHanging12a"/>
      </w:pPr>
      <w:r w:rsidRPr="00C07391">
        <w:t>8.</w:t>
      </w:r>
      <w:r w:rsidRPr="00C07391">
        <w:tab/>
        <w:t xml:space="preserve">subliniază necesitatea unei înțelegeri clare a așezărilor </w:t>
      </w:r>
      <w:r w:rsidRPr="00C07391">
        <w:t>migranților</w:t>
      </w:r>
      <w:r w:rsidRPr="00C07391">
        <w:t xml:space="preserve"> și a efectelor lor locale; invită Comisia și statele membre să elaboreze o strategie care să sublinieze necesitatea unei perspective locale, să consolideze asumarea responsabilității la nivel local și să se bazeze pe prioritățile regionale existente, în special prin sprijinirea sistemelor de migrație intracontinentale;</w:t>
      </w:r>
    </w:p>
    <w:p w:rsidR="005D3BF9" w:rsidRPr="00C07391" w:rsidP="005D3BF9" w14:paraId="6B1111ED" w14:textId="77777777">
      <w:pPr>
        <w:pStyle w:val="NormalHanging12a"/>
      </w:pPr>
      <w:r w:rsidRPr="00C07391">
        <w:t>9.</w:t>
      </w:r>
      <w:r w:rsidRPr="00C07391">
        <w:tab/>
        <w:t>invită Comisia să acorde prioritate contextelor geografice fragile, ținând seama, de asemenea, de datele specifice migrației și de informațiile bazate pe cercetare, pentru a identifica mai bine nevoile țărilor partenere și pentru a le direcționa prioritățile, inclusiv în ceea ce privește migrația ilegală și strămutarea forțată;</w:t>
      </w:r>
    </w:p>
    <w:p w:rsidR="005D3BF9" w:rsidRPr="00C07391" w:rsidP="005D3BF9" w14:paraId="08E99D86" w14:textId="77777777">
      <w:pPr>
        <w:pStyle w:val="NormalHanging12a"/>
      </w:pPr>
      <w:r w:rsidRPr="00C07391">
        <w:t>10.</w:t>
      </w:r>
      <w:r w:rsidRPr="00C07391">
        <w:tab/>
        <w:t>subliniază că Global Gateway poate juca un rol esențial în promovarea dezvoltării economice durabile și a creării de locuri de muncă în țările partenere, capacitând astfel comunitățile locale și permițând persoanelor să contribuie activ atât la dezvoltarea țărilor lor de origine, cât și a comunităților-gazdă, abordând astfel cauzele profunde ale migrației ilegale;</w:t>
      </w:r>
    </w:p>
    <w:p w:rsidR="005D3BF9" w:rsidRPr="00C07391" w:rsidP="005D3BF9" w14:paraId="054CCADE" w14:textId="77777777">
      <w:pPr>
        <w:pStyle w:val="NormalHanging12a"/>
      </w:pPr>
      <w:r w:rsidRPr="00C07391">
        <w:t>11.</w:t>
      </w:r>
      <w:r w:rsidRPr="00C07391">
        <w:tab/>
        <w:t>subliniază necesitatea de a asigura o mai mare implicare a sectorului privat, de a diversifica și de a pune în aplicare căi legale, de a recunoaște competențele, de a implica băncile de dezvoltare ale UE și de a dezvolta abordări inovatoare pentru combinarea fondurilor în cadrul Echipei Europa, contribuind în același timp la Global Gateway; încurajează participarea sectorului privat european la proiectele de dezvoltare din țările partenere, asigurând sprijin pentru un cadru de investiții sigur și transparent care să faciliteze implicarea întreprinderilor mici și mijlocii și crearea de lanțuri de producție locale;</w:t>
      </w:r>
    </w:p>
    <w:p w:rsidR="005D3BF9" w:rsidRPr="00C07391" w:rsidP="005D3BF9" w14:paraId="6E0F4810" w14:textId="77777777">
      <w:pPr>
        <w:pStyle w:val="NormalHanging12a"/>
      </w:pPr>
      <w:r w:rsidRPr="00C07391">
        <w:t>12.</w:t>
      </w:r>
      <w:r w:rsidRPr="00C07391">
        <w:tab/>
        <w:t>subliniază că deficitul de apă, degradarea mediului și a terenurilor, defrișările și alte dezastre legate de climă sunt factori care stau la baza fluxurilor de migrație, inclusiv a strămutării forțate; subliniază că persoanele strămutate din cauza degradării mediului și a dezastrelor provocate de schimbările climatice necesită un sprijin adecvat; invită Comisia și statele membre să acorde prioritate investițiilor în gestionarea sustenabilă a resurselor naturale în cadrul programelor de dezvoltare, inclusiv conservarea apei și a solului, reîmpădurirea, agricultura rezilientă la schimbările climatice și energia din surse regenerabile, pentru a consolida coeziunea socială și reziliența comunităților, a preveni tensiunile asupra resurselor naturale și a spori oportunitățile oamenilor de a construi vieți sustenabile în țările lor de origine;</w:t>
      </w:r>
    </w:p>
    <w:p w:rsidR="005D3BF9" w:rsidRPr="00C07391" w:rsidP="005D3BF9" w14:paraId="5B4C8E77" w14:textId="77777777">
      <w:pPr>
        <w:pStyle w:val="NormalHanging12a"/>
      </w:pPr>
      <w:r w:rsidRPr="00C07391">
        <w:t>13.</w:t>
      </w:r>
      <w:r w:rsidRPr="00C07391">
        <w:tab/>
        <w:t>subliniază că UE trebuie să aplice o abordare holistică, concentrându-se asupra nivelului local, cu obiectivul de a oferi asistență pentru dezvoltare pentru a contribui la dezvoltarea structurală prin sprijinirea democrației, a statului de drept, a ordinii bazate pe norme și a instituțiilor, pentru a avea un impact sustenabil;</w:t>
      </w:r>
    </w:p>
    <w:p w:rsidR="005D3BF9" w:rsidRPr="00C07391" w:rsidP="005D3BF9" w14:paraId="2302406D" w14:textId="77777777">
      <w:pPr>
        <w:pStyle w:val="NormalHanging12a"/>
      </w:pPr>
      <w:r w:rsidRPr="00C07391">
        <w:t>14.</w:t>
      </w:r>
      <w:r w:rsidRPr="00C07391">
        <w:tab/>
        <w:t>subliniază importanța punerii în aplicare a programelor de dezvoltare în strânsă cooperare cu autoritățile locale, societatea civilă și sectorul privat;</w:t>
      </w:r>
    </w:p>
    <w:p w:rsidR="005D3BF9" w:rsidRPr="00C07391" w:rsidP="005D3BF9" w14:paraId="286E5D3B" w14:textId="77777777">
      <w:pPr>
        <w:pStyle w:val="NormalHanging12a"/>
      </w:pPr>
      <w:r w:rsidRPr="00C07391">
        <w:t>15.</w:t>
      </w:r>
      <w:r w:rsidRPr="00C07391">
        <w:tab/>
        <w:t xml:space="preserve">subliniază necesitatea de a combate introducerea ilegală de persoane și traficul de persoane prin consolidarea cooperării internaționale și multilaterale cu țările partenere, inclusiv, după caz, cu autoritățile locale, forțele de securitate și organizațiile societății civile, în ceea ce privește prevenirea criminalității, protecția victimelor, consolidarea aplicării legii, campaniile de sensibilizare a publicului pentru a contracara dezinformarea, urmărirea penală a autorilor infracțiunilor și prevenirea exploatării </w:t>
      </w:r>
      <w:r w:rsidRPr="00C07391">
        <w:t>migranților</w:t>
      </w:r>
      <w:r w:rsidRPr="00C07391">
        <w:t xml:space="preserve"> de către rețelele infracționale și de către persoanele care introduc ilegal </w:t>
      </w:r>
      <w:r w:rsidRPr="00C07391">
        <w:t>migranți</w:t>
      </w:r>
      <w:r w:rsidRPr="00C07391">
        <w:t xml:space="preserve">, precum și prin furnizarea unor alternative mai sigure prin crearea unor canale legale pentru migrația legală și în condiții de siguranță și pentru mobilitatea forței de muncă; subliniază că un control strict la frontiere, fără căi legale alternative de migrație, schimbă rutele de migrație, introducând etape diferite în călătorie și în noile țări de tranzit, sporind astfel precaritatea călătoriei și expunerea </w:t>
      </w:r>
      <w:r w:rsidRPr="00C07391">
        <w:t>migranților</w:t>
      </w:r>
      <w:r w:rsidRPr="00C07391">
        <w:t xml:space="preserve"> la rețelele de introducere ilegală de </w:t>
      </w:r>
      <w:r w:rsidRPr="00C07391">
        <w:t>migranți</w:t>
      </w:r>
      <w:r w:rsidRPr="00C07391">
        <w:t>, la extorcare și la violență;</w:t>
      </w:r>
    </w:p>
    <w:p w:rsidR="005D3BF9" w:rsidRPr="00C07391" w:rsidP="005D3BF9" w14:paraId="2CFB6CC9" w14:textId="77777777">
      <w:pPr>
        <w:pStyle w:val="NormalHanging12a"/>
      </w:pPr>
      <w:r w:rsidRPr="00C07391">
        <w:t>16.</w:t>
      </w:r>
      <w:r w:rsidRPr="00C07391">
        <w:tab/>
        <w:t>invită Comisia și statele membre să promoveze cooperarea cu țările partenere în domeniul migrației;</w:t>
      </w:r>
    </w:p>
    <w:p w:rsidR="005D3BF9" w:rsidRPr="00C07391" w:rsidP="005D3BF9" w14:paraId="44893861" w14:textId="77777777">
      <w:pPr>
        <w:pStyle w:val="NormalHanging12a"/>
      </w:pPr>
      <w:r w:rsidRPr="00C07391">
        <w:t>17.</w:t>
      </w:r>
      <w:r w:rsidRPr="00C07391">
        <w:tab/>
        <w:t>reamintește că asistența umanitară ar trebui acordată întotdeauna în conformitate cu principiile umanitare;</w:t>
      </w:r>
    </w:p>
    <w:p w:rsidR="005D3BF9" w:rsidRPr="00C07391" w:rsidP="005D3BF9" w14:paraId="5F44C784" w14:textId="77777777">
      <w:pPr>
        <w:pStyle w:val="NormalHanging12a"/>
      </w:pPr>
      <w:r w:rsidRPr="00C07391">
        <w:t>18.</w:t>
      </w:r>
      <w:r w:rsidRPr="00C07391">
        <w:tab/>
        <w:t>invită Comisia să sprijine în continuare țările de origine și țările-gazdă învecinate în gestionarea fluxurilor migratorii intercontinentale crescute;</w:t>
      </w:r>
    </w:p>
    <w:p w:rsidR="00CC1CDE" w:rsidRPr="00C07391" w:rsidP="005D3BF9" w14:paraId="6BC7E49A" w14:textId="78655905">
      <w:pPr>
        <w:pStyle w:val="NormalHanging12a"/>
      </w:pPr>
      <w:r w:rsidRPr="00C07391">
        <w:t>19</w:t>
      </w:r>
      <w:r w:rsidRPr="00C07391">
        <w:t>.</w:t>
      </w:r>
      <w:r w:rsidRPr="00C07391">
        <w:tab/>
        <w:t xml:space="preserve">invită Comisia și statele membre să își consolideze capacitatea de prevenire și răspuns în ceea ce privește instrumentalizarea </w:t>
      </w:r>
      <w:r w:rsidRPr="00C07391">
        <w:t>migranților</w:t>
      </w:r>
      <w:r w:rsidRPr="00C07391">
        <w:t xml:space="preserve">; subliniază necesitatea unei cooperări consolidate cu țările partenere și cu agențiile </w:t>
      </w:r>
      <w:r w:rsidRPr="00C07391" w:rsidR="006850B0">
        <w:t>relevante</w:t>
      </w:r>
      <w:r w:rsidRPr="00C07391">
        <w:t xml:space="preserve"> pentru a detecta, a preveni și a contracara astfel de acțiuni;</w:t>
      </w:r>
    </w:p>
    <w:p w:rsidR="005D3BF9" w:rsidRPr="00C07391" w:rsidP="005D3BF9" w14:paraId="6CA6EA78" w14:textId="63150D13">
      <w:pPr>
        <w:pStyle w:val="NormalHanging12a"/>
      </w:pPr>
      <w:r w:rsidRPr="00C07391">
        <w:t>20</w:t>
      </w:r>
      <w:r w:rsidRPr="00C07391">
        <w:t>.</w:t>
      </w:r>
      <w:r w:rsidRPr="00C07391">
        <w:tab/>
        <w:t>subliniază că finanțarea publică pentru dezvoltare este esențială pentru țările partenere și că investițiile private pot contribui la realizarea obiectivelor politicii de dezvoltare a UE; ia act de faptul că garanțiile pentru investiții din partea UE încurajează întreprinderile să facă investiții, cu condiția să se efectueze o diligență necesară riguroasă pentru a asigura respectarea standardelor sociale, de mediu și de guvernanță, precum și alinierea la ODD; reamintește că realizarea ODD-urilor este esențială pentru îmbunătățirea mijloacelor de subzistență în țările terțe;</w:t>
      </w:r>
    </w:p>
    <w:p w:rsidR="005D3BF9" w:rsidRPr="00C07391" w:rsidP="005D3BF9" w14:paraId="5A7DDD6D" w14:textId="39A38046">
      <w:pPr>
        <w:pStyle w:val="NormalHanging12a"/>
      </w:pPr>
      <w:r w:rsidRPr="00C07391">
        <w:t>21</w:t>
      </w:r>
      <w:r w:rsidRPr="00C07391">
        <w:t>.</w:t>
      </w:r>
      <w:r w:rsidRPr="00C07391">
        <w:tab/>
        <w:t>solicită ca instrumentele financiare ale UE, Fondul european pentru dezvoltare durabilă Plus și Banca Europeană de Investiții să vizeze generarea de profituri economice locale în vederea consolidării autonomiei economice și a sustenabilității pe termen lung;</w:t>
      </w:r>
    </w:p>
    <w:p w:rsidR="005D3BF9" w:rsidRPr="00C07391" w:rsidP="005D3BF9" w14:paraId="29A484BA" w14:textId="507CC642">
      <w:pPr>
        <w:pStyle w:val="NormalHanging12a"/>
      </w:pPr>
      <w:r w:rsidRPr="00C07391">
        <w:t>22</w:t>
      </w:r>
      <w:r w:rsidRPr="00C07391">
        <w:t>.</w:t>
      </w:r>
      <w:r w:rsidRPr="00C07391">
        <w:tab/>
        <w:t xml:space="preserve">reamintește că AOD rămâne un instrument vital pentru reducerea sărăciei și pentru abordarea inegalităților și sprijinirea celor mai vulnerabile comunități; critică ferm reducerile drastice ale AOD efectuate de principalii donatori mondiali; invită UE și </w:t>
      </w:r>
      <w:r w:rsidRPr="00C07391">
        <w:t>statele sale membre să își respecte angajamentul de a cheltui 0,7 % din venitul național brut pentru AOD;</w:t>
      </w:r>
    </w:p>
    <w:p w:rsidR="005D3BF9" w:rsidRPr="00C07391" w:rsidP="005D3BF9" w14:paraId="27849D27" w14:textId="5DCEC118">
      <w:pPr>
        <w:pStyle w:val="NormalHanging12a"/>
      </w:pPr>
      <w:r w:rsidRPr="00C07391">
        <w:t>23</w:t>
      </w:r>
      <w:r w:rsidRPr="00C07391">
        <w:t>.</w:t>
      </w:r>
      <w:r w:rsidRPr="00C07391">
        <w:tab/>
        <w:t>invită Comisia să asigure o mai mare responsabilitate, transparență și supraveghere parlamentară în conceperea și punerea în aplicare a tuturor fondurilor UE, inclusiv a viitorului instrument „Europa globală”, care trebuie să acorde prioritate punerii în aplicare a ODD-urilor, inclusiv în ceea ce privește abordarea provocărilor legate de migrația ilegală;</w:t>
      </w:r>
    </w:p>
    <w:p w:rsidR="005D3BF9" w:rsidRPr="00C07391" w:rsidP="005D3BF9" w14:paraId="258DA2E2" w14:textId="5FD29DDE">
      <w:pPr>
        <w:pStyle w:val="NormalHanging12a"/>
      </w:pPr>
      <w:r w:rsidRPr="00C07391">
        <w:t>24</w:t>
      </w:r>
      <w:r w:rsidRPr="00C07391">
        <w:t>.</w:t>
      </w:r>
      <w:r w:rsidRPr="00C07391">
        <w:tab/>
        <w:t>subliniază că dezvoltarea agricolă și rurală, împreună cu politica alimentară și nutrițională, pot contribui la răspunsul la unele dintre cauzele profunde ale migrației; reamintește că accesul la terenuri și resurse naturale este esențial pentru a asigura securitatea alimentară și nutrițională a comunităților locale, pentru a îmbunătăți productivitatea micilor fermieri, adaptând în același timp producția la schimbările climatice, și pentru a promova punerea în aplicare a Orientărilor voluntare ale Organizației Națiunilor Unite pentru Alimentație și Agricultură privind proprietatea funciară, care acordă prioritate drepturilor și nevoilor titularilor legitimi de drepturi funciare, în special ale femeilor;</w:t>
      </w:r>
    </w:p>
    <w:p w:rsidR="005D3BF9" w:rsidRPr="00C07391" w:rsidP="005D3BF9" w14:paraId="45AE770B" w14:textId="2DFF39EC">
      <w:pPr>
        <w:pStyle w:val="NormalHanging12a"/>
      </w:pPr>
      <w:r w:rsidRPr="00C07391">
        <w:t>25</w:t>
      </w:r>
      <w:r w:rsidRPr="00C07391">
        <w:t>.</w:t>
      </w:r>
      <w:r w:rsidRPr="00C07391">
        <w:tab/>
        <w:t>invită Comisia să sporească sprijinul acordat instituțiilor de învățământ superior și educației și formării tehnice și profesionale din țările partenere, ca parte a strategiei sale de dezvoltare, ca mijloc de abordare a cauzelor profunde ale migrației; subliniază importanța consolidării dezvoltării umane prin investiții în competențe la nivel local; invită Comisia să sprijine țările partenere în consolidarea capacităților în acest sens; solicită, de asemenea, un sprijin sporit pentru inițiativele conduse de tineri pentru a consolida competențele, inovarea și schimburile și pentru a valorifica migrația ca motor al dezvoltării durabile;</w:t>
      </w:r>
    </w:p>
    <w:p w:rsidR="005D3BF9" w:rsidRPr="00C07391" w:rsidP="005D3BF9" w14:paraId="5119AAA6" w14:textId="335DD845">
      <w:pPr>
        <w:pStyle w:val="NormalHanging12a"/>
      </w:pPr>
      <w:r w:rsidRPr="00C07391">
        <w:t>26</w:t>
      </w:r>
      <w:r w:rsidRPr="00C07391">
        <w:t>.</w:t>
      </w:r>
      <w:r w:rsidRPr="00C07391">
        <w:tab/>
        <w:t>invită Comisia să exploreze în continuare parteneriatele UE pentru talente cu mai multe țări terțe, în special cu cele cu niveluri ridicate de emigrare;</w:t>
      </w:r>
    </w:p>
    <w:p w:rsidR="005D3BF9" w:rsidRPr="00C07391" w:rsidP="005D3BF9" w14:paraId="60B49159" w14:textId="323E981F">
      <w:pPr>
        <w:pStyle w:val="NormalHanging12a"/>
      </w:pPr>
      <w:r w:rsidRPr="00C07391">
        <w:t>27</w:t>
      </w:r>
      <w:r w:rsidRPr="00C07391">
        <w:t>.</w:t>
      </w:r>
      <w:r w:rsidRPr="00C07391">
        <w:tab/>
        <w:t xml:space="preserve">subliniază că emanciparea economică și crearea de locuri de muncă decente sunt principalele instrumente de reducere a inegalităților și că acestea îmbunătățesc mijloacele de subzistență în țările de origine, limitând astfel motivele migrației ilegale; solicită ca finanțarea UE să sprijine, de asemenea, </w:t>
      </w:r>
      <w:r w:rsidRPr="00C07391">
        <w:t>antreprenoriatul</w:t>
      </w:r>
      <w:r w:rsidRPr="00C07391">
        <w:t xml:space="preserve"> local și infrastructura publică;</w:t>
      </w:r>
    </w:p>
    <w:p w:rsidR="005D3BF9" w:rsidRPr="00C07391" w:rsidP="005D3BF9" w14:paraId="0A38E485" w14:textId="265EBAED">
      <w:pPr>
        <w:pStyle w:val="NormalHanging12a"/>
      </w:pPr>
      <w:r w:rsidRPr="00C07391">
        <w:t>28</w:t>
      </w:r>
      <w:r w:rsidRPr="00C07391">
        <w:t>.</w:t>
      </w:r>
      <w:r w:rsidRPr="00C07391">
        <w:tab/>
        <w:t>subliniază că tinerii trebuie să se afle în centrul parteneriatelor și sunt esențiali pentru dezvoltarea durabilă; subliniază importanța sprijinirii programelor de schimb, cum ar fi Erasmus+ și alte programe de mobilitate și competențe pentru tineri, pentru a oferi oportunități de educație și de ocupare a forței de muncă și pentru a le oferi tinerilor posibilitatea de a prospera în țările lor de origine;</w:t>
      </w:r>
    </w:p>
    <w:p w:rsidR="005D3BF9" w:rsidRPr="00C07391" w:rsidP="005D3BF9" w14:paraId="43A365FB" w14:textId="1B35CB86">
      <w:pPr>
        <w:pStyle w:val="NormalHanging12a"/>
      </w:pPr>
      <w:r w:rsidRPr="00C07391">
        <w:t>29</w:t>
      </w:r>
      <w:r w:rsidRPr="00C07391">
        <w:t>.</w:t>
      </w:r>
      <w:r w:rsidRPr="00C07391">
        <w:tab/>
        <w:t>invită Comisia să includă agricultura și gestionarea apei printre prioritățile sale de cooperare, promovând proiecte care îmbunătățesc autonomia și reduc presiunea migrației;</w:t>
      </w:r>
    </w:p>
    <w:p w:rsidR="005D3BF9" w:rsidRPr="00C07391" w:rsidP="005D3BF9" w14:paraId="6E8C39B4" w14:textId="79CD9AB5">
      <w:pPr>
        <w:pStyle w:val="NormalHanging12a"/>
      </w:pPr>
      <w:r w:rsidRPr="00C07391">
        <w:t>30</w:t>
      </w:r>
      <w:r w:rsidRPr="00C07391">
        <w:t>.</w:t>
      </w:r>
      <w:r w:rsidRPr="00C07391">
        <w:tab/>
        <w:t xml:space="preserve">constată că migrația și exodul creierelor pot reprezenta provocări pentru dezvoltarea unei țări partenere prin reducerea forței de muncă calificate disponibile; reamintește că cooperarea pentru dezvoltare poate atenua acest risc prin strategii cuprinzătoare de sprijinire a sistemelor de educație și formare de calitate, de consolidare a oportunităților locale de ocupare a forței de muncă și de promovare a transferului de cunoștințe și </w:t>
      </w:r>
      <w:r w:rsidRPr="00C07391">
        <w:t>competențe; invită, prin urmare, Comisia să își continue activitatea în acest domeniu, inclusiv să abordeze problema exodului creierelor prin intermediul cadrului politicii de dezvoltare și al finanțării;</w:t>
      </w:r>
    </w:p>
    <w:p w:rsidR="005D3BF9" w:rsidRPr="00C07391" w:rsidP="005D3BF9" w14:paraId="148EA155" w14:textId="5FB51973">
      <w:pPr>
        <w:pStyle w:val="NormalHanging12a"/>
      </w:pPr>
      <w:r w:rsidRPr="00C07391">
        <w:t>31</w:t>
      </w:r>
      <w:r w:rsidRPr="00C07391">
        <w:t>.</w:t>
      </w:r>
      <w:r w:rsidRPr="00C07391">
        <w:tab/>
        <w:t>recunoaște rolul esențial al comunităților din diaspora în promovarea dezvoltării durabile, a investițiilor și a inovării în țările lor de origine; subliniază că capacitarea rețelelor diasporei creează beneficii reciproce atât pentru țările partenere, cât și pentru UE; invită UE și statele sale membre să intensifice colaborarea cu organizațiile din diaspora și să dezvolte programe favorabile incluziunii care să contribuie la forme reciproc avantajoase de migrație circulară;</w:t>
      </w:r>
    </w:p>
    <w:p w:rsidR="005D3BF9" w:rsidRPr="00C07391" w:rsidP="005D3BF9" w14:paraId="3ED005EE" w14:textId="419E28D1">
      <w:pPr>
        <w:pStyle w:val="NormalHanging12a"/>
      </w:pPr>
      <w:r w:rsidRPr="00C07391">
        <w:t>32</w:t>
      </w:r>
      <w:r w:rsidRPr="00C07391">
        <w:t>.</w:t>
      </w:r>
      <w:r w:rsidRPr="00C07391">
        <w:tab/>
        <w:t>invită Comisia și statele membre să investească în campanii de sensibilizare, atât în cadrul UE, cât și în țările terțe, pentru a combate dezinformarea și a disemina informații cu privire la riscurile migrației ilegale și pentru a promova înțelegerea normelor UE privind obligațiile în materie de migrație a forței de muncă;</w:t>
      </w:r>
    </w:p>
    <w:p w:rsidR="005D3BF9" w:rsidRPr="00C07391" w:rsidP="005D3BF9" w14:paraId="4D806350" w14:textId="6B90C42C">
      <w:pPr>
        <w:pStyle w:val="NormalHanging12a"/>
      </w:pPr>
      <w:r w:rsidRPr="00C07391">
        <w:t>33</w:t>
      </w:r>
      <w:r w:rsidRPr="00C07391">
        <w:t>.</w:t>
      </w:r>
      <w:r w:rsidRPr="00C07391">
        <w:tab/>
        <w:t>invită Comisia și statele membre să majoreze finanțarea pentru îmbunătățirea statului de drept, sprijinirea democrației, consolidarea statului și a capacităților și serviciile publice, inclusiv sănătatea, accesul la apă curată și educația;</w:t>
      </w:r>
    </w:p>
    <w:p w:rsidR="005D3BF9" w:rsidRPr="00C07391" w:rsidP="005D3BF9" w14:paraId="516EC476" w14:textId="2BC2BB8E">
      <w:pPr>
        <w:pStyle w:val="NormalHanging12a"/>
      </w:pPr>
      <w:r w:rsidRPr="00C07391">
        <w:t>34</w:t>
      </w:r>
      <w:r w:rsidRPr="00C07391">
        <w:t>.</w:t>
      </w:r>
      <w:r w:rsidRPr="00C07391">
        <w:tab/>
        <w:t>reafirmă că o abordare holistică care să combine cooperarea pentru dezvoltare și gestionarea migrației este esențială pentru a asigura în mod eficace securitatea și solidaritatea atât în cadrul UE, cât și în țările de origine și de tranzit;</w:t>
      </w:r>
    </w:p>
    <w:p w:rsidR="005D3BF9" w:rsidRPr="00C07391" w:rsidP="005D3BF9" w14:paraId="2173B8E3" w14:textId="68A1FBE4">
      <w:pPr>
        <w:pStyle w:val="NormalHanging12a"/>
      </w:pPr>
      <w:r w:rsidRPr="00C07391">
        <w:t>35</w:t>
      </w:r>
      <w:r w:rsidRPr="00C07391">
        <w:t>.</w:t>
      </w:r>
      <w:r w:rsidRPr="00C07391">
        <w:tab/>
        <w:t>salută activitatea esențială a actorilor din domeniul umanitar, al dezvoltării și al păcii, în special a organizațiilor ONU, a altor organizații internaționale și actori locali, inclusiv a autorităților locale, a organizațiilor societății civile, a apărătorilor drepturilor omului, a organizațiilor de femei, a organizațiilor de tineret și a organizațiilor neguvernamentale, precum și a comunităților și organizațiilor religioase;</w:t>
      </w:r>
    </w:p>
    <w:p w:rsidR="005D3BF9" w:rsidRPr="00C07391" w:rsidP="005D3BF9" w14:paraId="6F88A405" w14:textId="77777777">
      <w:pPr>
        <w:pStyle w:val="NormalCenter12a"/>
      </w:pPr>
      <w:r w:rsidRPr="00C07391">
        <w:t>°</w:t>
      </w:r>
    </w:p>
    <w:p w:rsidR="005D3BF9" w:rsidRPr="00C07391" w:rsidP="005D3BF9" w14:paraId="68093F90" w14:textId="77777777">
      <w:pPr>
        <w:pStyle w:val="NormalCenter12a"/>
      </w:pPr>
      <w:r w:rsidRPr="00C07391">
        <w:t>°</w:t>
      </w:r>
      <w:r w:rsidRPr="00C07391">
        <w:tab/>
        <w:t>°</w:t>
      </w:r>
    </w:p>
    <w:p w:rsidR="00CE6A01" w:rsidRPr="00C07391" w:rsidP="00CE6A01" w14:paraId="45D858F2" w14:textId="29495AB5">
      <w:pPr>
        <w:pStyle w:val="NormalHanging12a"/>
      </w:pPr>
      <w:r w:rsidRPr="00C07391">
        <w:t>36</w:t>
      </w:r>
      <w:r w:rsidRPr="00C07391" w:rsidR="005D3BF9">
        <w:t>.</w:t>
      </w:r>
      <w:r w:rsidRPr="00C07391" w:rsidR="005D3BF9">
        <w:tab/>
        <w:t>încredințează Președintei sarcina de a transmite prezenta rezoluție Consiliului, Comisiei și Serviciului European de Acțiune Externă.</w:t>
      </w:r>
    </w:p>
    <w:p w:rsidR="00E365E1" w:rsidRPr="00C07391" w:rsidP="00540CB2" w14:paraId="50D9BDEA" w14:textId="6EEB5A3C"/>
    <w:sectPr w:rsidSect="00CE6A01">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0CB2" w:rsidRPr="00CE6A01" w14:paraId="487B5CE8" w14:textId="77777777">
      <w:r w:rsidRPr="00CE6A01">
        <w:separator/>
      </w:r>
    </w:p>
  </w:footnote>
  <w:footnote w:type="continuationSeparator" w:id="1">
    <w:p w:rsidR="00540CB2" w:rsidRPr="00CE6A01" w14:paraId="2B79A5DE" w14:textId="77777777">
      <w:r w:rsidRPr="00CE6A01">
        <w:continuationSeparator/>
      </w:r>
    </w:p>
  </w:footnote>
  <w:footnote w:id="2">
    <w:p w:rsidR="00AE2B45" w:rsidRPr="00CE6A01" w:rsidP="00CE6A01" w14:paraId="242284AD" w14:textId="2C5DD93F">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t xml:space="preserve">JO L 209, 14.6.2021, p. 1, ELI: </w:t>
      </w:r>
      <w:hyperlink r:id="rId1" w:tgtFrame="http://data.europa.eu/eli/reg/2021/947/oj" w:history="1">
        <w:r w:rsidRPr="00CE6A01">
          <w:rPr>
            <w:rStyle w:val="Hyperlink"/>
            <w:sz w:val="24"/>
            <w:lang w:val="ro-RO"/>
          </w:rPr>
          <w:t>http://data.europa.eu/eli/reg/2021/947/oj</w:t>
        </w:r>
      </w:hyperlink>
      <w:r w:rsidRPr="00CE6A01">
        <w:rPr>
          <w:sz w:val="24"/>
          <w:lang w:val="ro-RO"/>
        </w:rPr>
        <w:t>.</w:t>
      </w:r>
    </w:p>
  </w:footnote>
  <w:footnote w:id="3">
    <w:p w:rsidR="00AE2B45" w:rsidRPr="00CE6A01" w:rsidP="00CE6A01" w14:paraId="430D2C93" w14:textId="6FAF9277">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t xml:space="preserve">JO L, 2024/1351, 22.5.2024, ELI: </w:t>
      </w:r>
      <w:hyperlink r:id="rId2" w:tgtFrame="http://data.europa.eu/eli/reg/2024/1351/oj" w:history="1">
        <w:r w:rsidRPr="00CE6A01">
          <w:rPr>
            <w:rStyle w:val="Hyperlink"/>
            <w:sz w:val="24"/>
            <w:lang w:val="ro-RO"/>
          </w:rPr>
          <w:t>http://data.europa.eu/eli/reg/2024/1351/oj</w:t>
        </w:r>
      </w:hyperlink>
      <w:r w:rsidRPr="00CE6A01">
        <w:rPr>
          <w:sz w:val="24"/>
          <w:lang w:val="ro-RO"/>
        </w:rPr>
        <w:t>.</w:t>
      </w:r>
    </w:p>
  </w:footnote>
  <w:footnote w:id="4">
    <w:p w:rsidR="00AE2B45" w:rsidRPr="00CE6A01" w:rsidP="00CE6A01" w14:paraId="571A833D" w14:textId="03C4471E">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r>
      <w:r w:rsidRPr="006D3395" w:rsidR="006D3395">
        <w:rPr>
          <w:sz w:val="24"/>
          <w:lang w:val="ro-RO"/>
        </w:rPr>
        <w:t>J</w:t>
      </w:r>
      <w:r w:rsidR="006D3395">
        <w:rPr>
          <w:sz w:val="24"/>
          <w:lang w:val="ro-RO"/>
        </w:rPr>
        <w:t>O</w:t>
      </w:r>
      <w:r w:rsidRPr="006D3395" w:rsidR="006D3395">
        <w:rPr>
          <w:sz w:val="24"/>
          <w:lang w:val="ro-RO"/>
        </w:rPr>
        <w:t xml:space="preserve"> L, 2023/2862, 28.12.2023</w:t>
      </w:r>
      <w:r w:rsidRPr="00CE6A01">
        <w:rPr>
          <w:sz w:val="24"/>
          <w:lang w:val="ro-RO"/>
        </w:rPr>
        <w:t>, ELI:</w:t>
      </w:r>
      <w:r>
        <w:rPr>
          <w:sz w:val="24"/>
          <w:lang w:val="ro-RO"/>
        </w:rPr>
        <w:t> </w:t>
      </w:r>
      <w:hyperlink r:id="rId3" w:tgtFrame="http://data.europa.eu/eli/agree_internation/2023/2862/oj" w:history="1">
        <w:r w:rsidRPr="00CE6A01">
          <w:rPr>
            <w:rStyle w:val="Hyperlink"/>
            <w:sz w:val="24"/>
            <w:lang w:val="ro-RO"/>
          </w:rPr>
          <w:t>http://data.europa.eu/eli/agree_internati</w:t>
        </w:r>
        <w:r w:rsidRPr="00CE6A01">
          <w:rPr>
            <w:rStyle w:val="Hyperlink"/>
            <w:sz w:val="24"/>
            <w:lang w:val="ro-RO"/>
          </w:rPr>
          <w:t>o</w:t>
        </w:r>
        <w:r w:rsidRPr="00CE6A01">
          <w:rPr>
            <w:rStyle w:val="Hyperlink"/>
            <w:sz w:val="24"/>
            <w:lang w:val="ro-RO"/>
          </w:rPr>
          <w:t>n/2023/2862/oj</w:t>
        </w:r>
      </w:hyperlink>
      <w:r w:rsidRPr="00CE6A01">
        <w:rPr>
          <w:sz w:val="24"/>
          <w:lang w:val="ro-RO"/>
        </w:rPr>
        <w:t>.</w:t>
      </w:r>
    </w:p>
  </w:footnote>
  <w:footnote w:id="5">
    <w:p w:rsidR="00AE2B45" w:rsidRPr="00CE6A01" w:rsidP="00CE6A01" w14:paraId="71C11A41" w14:textId="6962901C">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t>JO C, C/2026/576, 24.2.2026, ELI:</w:t>
      </w:r>
      <w:r>
        <w:rPr>
          <w:sz w:val="24"/>
          <w:lang w:val="ro-RO"/>
        </w:rPr>
        <w:t> </w:t>
      </w:r>
      <w:hyperlink r:id="rId4" w:tgtFrame="http://data.europa.eu/eli/C/2026/576/oj" w:history="1">
        <w:r w:rsidRPr="00CE6A01">
          <w:rPr>
            <w:rStyle w:val="Hyperlink"/>
            <w:sz w:val="24"/>
            <w:lang w:val="ro-RO"/>
          </w:rPr>
          <w:t>http://data.europa.eu/eli/C/2026/576/oj</w:t>
        </w:r>
      </w:hyperlink>
      <w:r w:rsidRPr="00CE6A01">
        <w:rPr>
          <w:sz w:val="24"/>
          <w:lang w:val="ro-RO"/>
        </w:rPr>
        <w:t>.</w:t>
      </w:r>
    </w:p>
  </w:footnote>
  <w:footnote w:id="6">
    <w:p w:rsidR="00AE2B45" w:rsidRPr="00CE6A01" w:rsidP="00CE6A01" w14:paraId="28E6BE88" w14:textId="2A4122CE">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r>
      <w:r w:rsidRPr="00CE6A01">
        <w:rPr>
          <w:sz w:val="24"/>
          <w:lang w:val="ro-RO"/>
        </w:rPr>
        <w:t>Talleraas</w:t>
      </w:r>
      <w:r w:rsidRPr="00CE6A01">
        <w:rPr>
          <w:sz w:val="24"/>
          <w:lang w:val="ro-RO"/>
        </w:rPr>
        <w:t xml:space="preserve">, C., „The role of EU </w:t>
      </w:r>
      <w:r w:rsidRPr="00CE6A01">
        <w:rPr>
          <w:sz w:val="24"/>
          <w:lang w:val="ro-RO"/>
        </w:rPr>
        <w:t>development</w:t>
      </w:r>
      <w:r w:rsidRPr="00CE6A01">
        <w:rPr>
          <w:sz w:val="24"/>
          <w:lang w:val="ro-RO"/>
        </w:rPr>
        <w:t xml:space="preserve"> </w:t>
      </w:r>
      <w:r w:rsidRPr="00CE6A01">
        <w:rPr>
          <w:sz w:val="24"/>
          <w:lang w:val="ro-RO"/>
        </w:rPr>
        <w:t>cooperation</w:t>
      </w:r>
      <w:r w:rsidRPr="00CE6A01">
        <w:rPr>
          <w:sz w:val="24"/>
          <w:lang w:val="ro-RO"/>
        </w:rPr>
        <w:t xml:space="preserve"> in </w:t>
      </w:r>
      <w:r w:rsidRPr="00CE6A01">
        <w:rPr>
          <w:sz w:val="24"/>
          <w:lang w:val="ro-RO"/>
        </w:rPr>
        <w:t>addressing</w:t>
      </w:r>
      <w:r w:rsidRPr="00CE6A01">
        <w:rPr>
          <w:sz w:val="24"/>
          <w:lang w:val="ro-RO"/>
        </w:rPr>
        <w:t xml:space="preserve"> </w:t>
      </w:r>
      <w:r w:rsidRPr="00CE6A01">
        <w:rPr>
          <w:sz w:val="24"/>
          <w:lang w:val="ro-RO"/>
        </w:rPr>
        <w:t>irregular</w:t>
      </w:r>
      <w:r w:rsidRPr="00CE6A01">
        <w:rPr>
          <w:sz w:val="24"/>
          <w:lang w:val="ro-RO"/>
        </w:rPr>
        <w:t xml:space="preserve"> </w:t>
      </w:r>
      <w:r w:rsidRPr="00CE6A01">
        <w:rPr>
          <w:sz w:val="24"/>
          <w:lang w:val="ro-RO"/>
        </w:rPr>
        <w:t>migration</w:t>
      </w:r>
      <w:r w:rsidRPr="00CE6A01">
        <w:rPr>
          <w:sz w:val="24"/>
          <w:lang w:val="ro-RO"/>
        </w:rPr>
        <w:t xml:space="preserve"> in Africa” (Rolul politicii de cooperare pentru dezvoltare a UE în combaterea migrației ilegale din Africa), Unitatea de analiză și sprijin pentru politicile externe, Direcția Generală Politici Externe ale Uniunii, octombrie 2025.</w:t>
      </w:r>
    </w:p>
  </w:footnote>
  <w:footnote w:id="7">
    <w:p w:rsidR="00AE2B45" w:rsidRPr="00CE6A01" w:rsidP="00CE6A01" w14:paraId="0E4205CB" w14:textId="4F978A3D">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t>JO C 494, 8.12.2021, p. 80.</w:t>
      </w:r>
    </w:p>
  </w:footnote>
  <w:footnote w:id="8">
    <w:p w:rsidR="00AE2B45" w:rsidRPr="00CE6A01" w:rsidP="00CE6A01" w14:paraId="38AD1C7C" w14:textId="4A4D59AC">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t>Elemente esențiale ale gestionării migrației, „</w:t>
      </w:r>
      <w:r w:rsidRPr="00CE6A01">
        <w:rPr>
          <w:sz w:val="24"/>
          <w:lang w:val="ro-RO"/>
        </w:rPr>
        <w:t>Drivers</w:t>
      </w:r>
      <w:r w:rsidRPr="00CE6A01">
        <w:rPr>
          <w:sz w:val="24"/>
          <w:lang w:val="ro-RO"/>
        </w:rPr>
        <w:t xml:space="preserve"> of </w:t>
      </w:r>
      <w:r w:rsidRPr="00CE6A01">
        <w:rPr>
          <w:sz w:val="24"/>
          <w:lang w:val="ro-RO"/>
        </w:rPr>
        <w:t>international</w:t>
      </w:r>
      <w:r w:rsidRPr="00CE6A01">
        <w:rPr>
          <w:sz w:val="24"/>
          <w:lang w:val="ro-RO"/>
        </w:rPr>
        <w:t xml:space="preserve"> </w:t>
      </w:r>
      <w:r w:rsidRPr="00CE6A01">
        <w:rPr>
          <w:sz w:val="24"/>
          <w:lang w:val="ro-RO"/>
        </w:rPr>
        <w:t>migration</w:t>
      </w:r>
      <w:r w:rsidRPr="00CE6A01">
        <w:rPr>
          <w:sz w:val="24"/>
          <w:lang w:val="ro-RO"/>
        </w:rPr>
        <w:t xml:space="preserve">” (Factorii migrației internaționale), </w:t>
      </w:r>
      <w:hyperlink r:id="rId5" w:tgtFrame="https://emm.iom.int/handbooks/global-context-international-migration/drivers-international-migration" w:history="1">
        <w:r w:rsidRPr="00CE6A01">
          <w:rPr>
            <w:rStyle w:val="Hyperlink"/>
            <w:sz w:val="24"/>
            <w:lang w:val="ro-RO"/>
          </w:rPr>
          <w:t>https://emm.iom.int/handbooks/global-context-international-migration/drivers-international-migration</w:t>
        </w:r>
      </w:hyperlink>
      <w:r w:rsidRPr="00CE6A01">
        <w:rPr>
          <w:sz w:val="24"/>
          <w:lang w:val="ro-RO"/>
        </w:rPr>
        <w:t>.</w:t>
      </w:r>
    </w:p>
  </w:footnote>
  <w:footnote w:id="9">
    <w:p w:rsidR="00AE2B45" w:rsidRPr="00CE6A01" w:rsidP="00CE6A01" w14:paraId="6476ACCD" w14:textId="3D392C45">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t xml:space="preserve">Agenția UE pentru Azil, „3.4. Data on </w:t>
      </w:r>
      <w:r w:rsidRPr="00CE6A01">
        <w:rPr>
          <w:sz w:val="24"/>
          <w:lang w:val="ro-RO"/>
        </w:rPr>
        <w:t>applications</w:t>
      </w:r>
      <w:r w:rsidRPr="00CE6A01">
        <w:rPr>
          <w:sz w:val="24"/>
          <w:lang w:val="ro-RO"/>
        </w:rPr>
        <w:t xml:space="preserve"> for </w:t>
      </w:r>
      <w:r w:rsidRPr="00CE6A01">
        <w:rPr>
          <w:sz w:val="24"/>
          <w:lang w:val="ro-RO"/>
        </w:rPr>
        <w:t>international</w:t>
      </w:r>
      <w:r w:rsidRPr="00CE6A01">
        <w:rPr>
          <w:sz w:val="24"/>
          <w:lang w:val="ro-RO"/>
        </w:rPr>
        <w:t xml:space="preserve"> </w:t>
      </w:r>
      <w:r w:rsidRPr="00CE6A01">
        <w:rPr>
          <w:sz w:val="24"/>
          <w:lang w:val="ro-RO"/>
        </w:rPr>
        <w:t>protection</w:t>
      </w:r>
      <w:r w:rsidRPr="00CE6A01">
        <w:rPr>
          <w:sz w:val="24"/>
          <w:lang w:val="ro-RO"/>
        </w:rPr>
        <w:t xml:space="preserve">” (Date privind cererile de protecție internațională), </w:t>
      </w:r>
      <w:hyperlink r:id="rId6" w:tgtFrame="https://euaa.europa.eu/asylum-report-2025/34-data-applications-international-protection" w:history="1">
        <w:r w:rsidRPr="00CE6A01">
          <w:rPr>
            <w:rStyle w:val="Hyperlink"/>
            <w:sz w:val="24"/>
            <w:lang w:val="ro-RO"/>
          </w:rPr>
          <w:t>https://euaa.europa.eu/asylum-report-2025/34-data-applications-international-protection</w:t>
        </w:r>
      </w:hyperlink>
      <w:r w:rsidRPr="00CE6A01">
        <w:rPr>
          <w:sz w:val="24"/>
          <w:lang w:val="ro-RO"/>
        </w:rPr>
        <w:t>.</w:t>
      </w:r>
    </w:p>
  </w:footnote>
  <w:footnote w:id="10">
    <w:p w:rsidR="00AE2B45" w:rsidRPr="00CE6A01" w:rsidP="00CE6A01" w14:paraId="24C343EA" w14:textId="6400C10C">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r>
      <w:hyperlink r:id="rId7" w:tgtFrame="https://www.frontex.europa.eu/media-centre/news/news-release/frontex-irregular-border-crossings-down-26-in-2025-europe-must-stay-prepared-lyKpVb?etrans=ro" w:history="1">
        <w:r w:rsidRPr="00CE6A01">
          <w:rPr>
            <w:rStyle w:val="Hyperlink"/>
            <w:sz w:val="24"/>
            <w:lang w:val="ro-RO"/>
          </w:rPr>
          <w:t>https://www.frontex.europa.eu/media-centre/news/news-release/frontex-irregular-border-crossings-down-26-in-2025-europe-must-stay-prepared-lyKpVb</w:t>
        </w:r>
      </w:hyperlink>
      <w:r w:rsidRPr="00CE6A01">
        <w:rPr>
          <w:sz w:val="24"/>
          <w:lang w:val="ro-RO"/>
        </w:rPr>
        <w:t>.</w:t>
      </w:r>
    </w:p>
  </w:footnote>
  <w:footnote w:id="11">
    <w:p w:rsidR="00AE2B45" w:rsidRPr="00CE6A01" w:rsidP="00CE6A01" w14:paraId="1E69A885" w14:textId="0DD6DA6F">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t xml:space="preserve">Nu sunt incluși solicitanții de azil și refugiații din Ucraina aflați sub protecție temporară pentru unele state membre. </w:t>
      </w:r>
      <w:r w:rsidRPr="00CE6A01">
        <w:rPr>
          <w:sz w:val="24"/>
          <w:lang w:val="ro-RO"/>
        </w:rPr>
        <w:t>Eurostat</w:t>
      </w:r>
      <w:r w:rsidRPr="00CE6A01">
        <w:rPr>
          <w:sz w:val="24"/>
          <w:lang w:val="ro-RO"/>
        </w:rPr>
        <w:t>, „</w:t>
      </w:r>
      <w:r w:rsidRPr="00CE6A01">
        <w:rPr>
          <w:sz w:val="24"/>
          <w:lang w:val="ro-RO"/>
        </w:rPr>
        <w:t>Migration</w:t>
      </w:r>
      <w:r w:rsidRPr="00CE6A01">
        <w:rPr>
          <w:sz w:val="24"/>
          <w:lang w:val="ro-RO"/>
        </w:rPr>
        <w:t xml:space="preserve"> </w:t>
      </w:r>
      <w:r w:rsidRPr="00CE6A01">
        <w:rPr>
          <w:sz w:val="24"/>
          <w:lang w:val="ro-RO"/>
        </w:rPr>
        <w:t>to</w:t>
      </w:r>
      <w:r w:rsidRPr="00CE6A01">
        <w:rPr>
          <w:sz w:val="24"/>
          <w:lang w:val="ro-RO"/>
        </w:rPr>
        <w:t xml:space="preserve"> </w:t>
      </w:r>
      <w:r w:rsidRPr="00CE6A01">
        <w:rPr>
          <w:sz w:val="24"/>
          <w:lang w:val="ro-RO"/>
        </w:rPr>
        <w:t>and</w:t>
      </w:r>
      <w:r w:rsidRPr="00CE6A01">
        <w:rPr>
          <w:sz w:val="24"/>
          <w:lang w:val="ro-RO"/>
        </w:rPr>
        <w:t xml:space="preserve"> </w:t>
      </w:r>
      <w:r w:rsidRPr="00CE6A01">
        <w:rPr>
          <w:sz w:val="24"/>
          <w:lang w:val="ro-RO"/>
        </w:rPr>
        <w:t>from</w:t>
      </w:r>
      <w:r w:rsidRPr="00CE6A01">
        <w:rPr>
          <w:sz w:val="24"/>
          <w:lang w:val="ro-RO"/>
        </w:rPr>
        <w:t xml:space="preserve"> </w:t>
      </w:r>
      <w:r w:rsidRPr="00CE6A01">
        <w:rPr>
          <w:sz w:val="24"/>
          <w:lang w:val="ro-RO"/>
        </w:rPr>
        <w:t>the</w:t>
      </w:r>
      <w:r w:rsidRPr="00CE6A01">
        <w:rPr>
          <w:sz w:val="24"/>
          <w:lang w:val="ro-RO"/>
        </w:rPr>
        <w:t xml:space="preserve"> EU” (Migrația către și dinspre UE), </w:t>
      </w:r>
      <w:hyperlink r:id="rId8" w:tgtFrame="https://ec.europa.eu/eurostat/statistics-explained/index.php?title=Migration_to_and_from_the_EU" w:history="1">
        <w:r w:rsidRPr="00CE6A01">
          <w:rPr>
            <w:rStyle w:val="Hyperlink"/>
            <w:sz w:val="24"/>
            <w:lang w:val="ro-RO"/>
          </w:rPr>
          <w:t>https://ec.europa.eu/eurostat/statistics-explained/index.php?title=Migration_to_and_from_the_EU</w:t>
        </w:r>
      </w:hyperlink>
      <w:r w:rsidRPr="00CE6A01">
        <w:rPr>
          <w:sz w:val="24"/>
          <w:lang w:val="ro-RO"/>
        </w:rPr>
        <w:t>.</w:t>
      </w:r>
    </w:p>
  </w:footnote>
  <w:footnote w:id="12">
    <w:p w:rsidR="00AE2B45" w:rsidRPr="00CE6A01" w:rsidP="00CE6A01" w14:paraId="1B7D4284" w14:textId="46F7214A">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r>
      <w:r w:rsidRPr="00CE6A01">
        <w:rPr>
          <w:sz w:val="24"/>
          <w:lang w:val="ro-RO"/>
        </w:rPr>
        <w:t>Eurostat</w:t>
      </w:r>
      <w:r w:rsidRPr="00CE6A01">
        <w:rPr>
          <w:sz w:val="24"/>
          <w:lang w:val="ro-RO"/>
        </w:rPr>
        <w:t>, „</w:t>
      </w:r>
      <w:r w:rsidRPr="00CE6A01">
        <w:rPr>
          <w:sz w:val="24"/>
          <w:lang w:val="ro-RO"/>
        </w:rPr>
        <w:t>Migration</w:t>
      </w:r>
      <w:r w:rsidRPr="00CE6A01">
        <w:rPr>
          <w:sz w:val="24"/>
          <w:lang w:val="ro-RO"/>
        </w:rPr>
        <w:t xml:space="preserve"> </w:t>
      </w:r>
      <w:r w:rsidRPr="00CE6A01">
        <w:rPr>
          <w:sz w:val="24"/>
          <w:lang w:val="ro-RO"/>
        </w:rPr>
        <w:t>and</w:t>
      </w:r>
      <w:r w:rsidRPr="00CE6A01">
        <w:rPr>
          <w:sz w:val="24"/>
          <w:lang w:val="ro-RO"/>
        </w:rPr>
        <w:t xml:space="preserve"> </w:t>
      </w:r>
      <w:r w:rsidRPr="00CE6A01">
        <w:rPr>
          <w:sz w:val="24"/>
          <w:lang w:val="ro-RO"/>
        </w:rPr>
        <w:t>asylum</w:t>
      </w:r>
      <w:r w:rsidRPr="00CE6A01">
        <w:rPr>
          <w:sz w:val="24"/>
          <w:lang w:val="ro-RO"/>
        </w:rPr>
        <w:t xml:space="preserve"> in Europe – 2025 </w:t>
      </w:r>
      <w:r w:rsidRPr="00CE6A01">
        <w:rPr>
          <w:sz w:val="24"/>
          <w:lang w:val="ro-RO"/>
        </w:rPr>
        <w:t>edition</w:t>
      </w:r>
      <w:r w:rsidRPr="00CE6A01">
        <w:rPr>
          <w:sz w:val="24"/>
          <w:lang w:val="ro-RO"/>
        </w:rPr>
        <w:t xml:space="preserve">, </w:t>
      </w:r>
      <w:r w:rsidRPr="00CE6A01">
        <w:rPr>
          <w:sz w:val="24"/>
          <w:lang w:val="ro-RO"/>
        </w:rPr>
        <w:t>irregular</w:t>
      </w:r>
      <w:r w:rsidRPr="00CE6A01">
        <w:rPr>
          <w:sz w:val="24"/>
          <w:lang w:val="ro-RO"/>
        </w:rPr>
        <w:t xml:space="preserve"> </w:t>
      </w:r>
      <w:r w:rsidRPr="00CE6A01">
        <w:rPr>
          <w:sz w:val="24"/>
          <w:lang w:val="ro-RO"/>
        </w:rPr>
        <w:t>migration</w:t>
      </w:r>
      <w:r w:rsidRPr="00CE6A01">
        <w:rPr>
          <w:sz w:val="24"/>
          <w:lang w:val="ro-RO"/>
        </w:rPr>
        <w:t xml:space="preserve"> </w:t>
      </w:r>
      <w:r w:rsidRPr="00CE6A01">
        <w:rPr>
          <w:sz w:val="24"/>
          <w:lang w:val="ro-RO"/>
        </w:rPr>
        <w:t>and</w:t>
      </w:r>
      <w:r w:rsidRPr="00CE6A01">
        <w:rPr>
          <w:sz w:val="24"/>
          <w:lang w:val="ro-RO"/>
        </w:rPr>
        <w:t xml:space="preserve"> </w:t>
      </w:r>
      <w:r w:rsidRPr="00CE6A01">
        <w:rPr>
          <w:sz w:val="24"/>
          <w:lang w:val="ro-RO"/>
        </w:rPr>
        <w:t>return</w:t>
      </w:r>
      <w:r w:rsidRPr="00CE6A01">
        <w:rPr>
          <w:sz w:val="24"/>
          <w:lang w:val="ro-RO"/>
        </w:rPr>
        <w:t xml:space="preserve">” (Migrația și azilul în Europa – ediția 2025, Migrația ilegală și returnarea, </w:t>
      </w:r>
      <w:hyperlink r:id="rId9" w:anchor="irregular-migration-and-return" w:tgtFrame="https://ec.europa.eu/eurostat/web/interactive-publications/migration-2025#irregular-migration-and-return" w:history="1">
        <w:r w:rsidRPr="00CE6A01">
          <w:rPr>
            <w:rStyle w:val="Hyperlink"/>
            <w:sz w:val="24"/>
            <w:lang w:val="ro-RO"/>
          </w:rPr>
          <w:t>https://ec.europa.eu/eurostat/web/interactive-publications/migration-2025#irregular-migration-and-return</w:t>
        </w:r>
      </w:hyperlink>
      <w:r w:rsidRPr="00CE6A01">
        <w:rPr>
          <w:sz w:val="24"/>
          <w:lang w:val="ro-RO"/>
        </w:rPr>
        <w:t>.</w:t>
      </w:r>
    </w:p>
  </w:footnote>
  <w:footnote w:id="13">
    <w:p w:rsidR="00AE2B45" w:rsidRPr="00CE6A01" w:rsidP="00CE6A01" w14:paraId="62432428" w14:textId="38B28C39">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r>
      <w:r w:rsidRPr="00CE6A01">
        <w:rPr>
          <w:sz w:val="24"/>
          <w:lang w:val="ro-RO"/>
        </w:rPr>
        <w:t>Eurostat</w:t>
      </w:r>
      <w:r w:rsidRPr="00CE6A01">
        <w:rPr>
          <w:sz w:val="24"/>
          <w:lang w:val="ro-RO"/>
        </w:rPr>
        <w:t>, „</w:t>
      </w:r>
      <w:r w:rsidRPr="00CE6A01">
        <w:rPr>
          <w:sz w:val="24"/>
          <w:lang w:val="ro-RO"/>
        </w:rPr>
        <w:t>Migration</w:t>
      </w:r>
      <w:r w:rsidRPr="00CE6A01">
        <w:rPr>
          <w:sz w:val="24"/>
          <w:lang w:val="ro-RO"/>
        </w:rPr>
        <w:t xml:space="preserve"> </w:t>
      </w:r>
      <w:r w:rsidRPr="00CE6A01">
        <w:rPr>
          <w:sz w:val="24"/>
          <w:lang w:val="ro-RO"/>
        </w:rPr>
        <w:t>and</w:t>
      </w:r>
      <w:r w:rsidRPr="00CE6A01">
        <w:rPr>
          <w:sz w:val="24"/>
          <w:lang w:val="ro-RO"/>
        </w:rPr>
        <w:t xml:space="preserve"> </w:t>
      </w:r>
      <w:r w:rsidRPr="00CE6A01">
        <w:rPr>
          <w:sz w:val="24"/>
          <w:lang w:val="ro-RO"/>
        </w:rPr>
        <w:t>asylum</w:t>
      </w:r>
      <w:r w:rsidRPr="00CE6A01">
        <w:rPr>
          <w:sz w:val="24"/>
          <w:lang w:val="ro-RO"/>
        </w:rPr>
        <w:t xml:space="preserve"> in Europe – 2025 </w:t>
      </w:r>
      <w:r w:rsidRPr="00CE6A01">
        <w:rPr>
          <w:sz w:val="24"/>
          <w:lang w:val="ro-RO"/>
        </w:rPr>
        <w:t>edition</w:t>
      </w:r>
      <w:r w:rsidRPr="00CE6A01">
        <w:rPr>
          <w:sz w:val="24"/>
          <w:lang w:val="ro-RO"/>
        </w:rPr>
        <w:t xml:space="preserve">, </w:t>
      </w:r>
      <w:r w:rsidRPr="00CE6A01">
        <w:rPr>
          <w:sz w:val="24"/>
          <w:lang w:val="ro-RO"/>
        </w:rPr>
        <w:t>Orders</w:t>
      </w:r>
      <w:r w:rsidRPr="00CE6A01">
        <w:rPr>
          <w:sz w:val="24"/>
          <w:lang w:val="ro-RO"/>
        </w:rPr>
        <w:t xml:space="preserve"> </w:t>
      </w:r>
      <w:r w:rsidRPr="00CE6A01">
        <w:rPr>
          <w:sz w:val="24"/>
          <w:lang w:val="ro-RO"/>
        </w:rPr>
        <w:t>to</w:t>
      </w:r>
      <w:r w:rsidRPr="00CE6A01">
        <w:rPr>
          <w:sz w:val="24"/>
          <w:lang w:val="ro-RO"/>
        </w:rPr>
        <w:t xml:space="preserve"> </w:t>
      </w:r>
      <w:r w:rsidRPr="00CE6A01">
        <w:rPr>
          <w:sz w:val="24"/>
          <w:lang w:val="ro-RO"/>
        </w:rPr>
        <w:t>leave</w:t>
      </w:r>
      <w:r w:rsidRPr="00CE6A01">
        <w:rPr>
          <w:sz w:val="24"/>
          <w:lang w:val="ro-RO"/>
        </w:rPr>
        <w:t xml:space="preserve"> </w:t>
      </w:r>
      <w:r w:rsidRPr="00CE6A01">
        <w:rPr>
          <w:sz w:val="24"/>
          <w:lang w:val="ro-RO"/>
        </w:rPr>
        <w:t>and</w:t>
      </w:r>
      <w:r w:rsidRPr="00CE6A01">
        <w:rPr>
          <w:sz w:val="24"/>
          <w:lang w:val="ro-RO"/>
        </w:rPr>
        <w:t xml:space="preserve"> </w:t>
      </w:r>
      <w:r w:rsidRPr="00CE6A01">
        <w:rPr>
          <w:sz w:val="24"/>
          <w:lang w:val="ro-RO"/>
        </w:rPr>
        <w:t>returns</w:t>
      </w:r>
      <w:r w:rsidRPr="00CE6A01">
        <w:rPr>
          <w:sz w:val="24"/>
          <w:lang w:val="ro-RO"/>
        </w:rPr>
        <w:t xml:space="preserve">” (Migrația și azilul în Europa – ediția 2025, Ordine de părăsire a teritoriului și returnări), </w:t>
      </w:r>
      <w:hyperlink r:id="rId9" w:anchor="orders-to-leave-and-returns-of-non-eu-citizens" w:tgtFrame="https://ec.europa.eu/eurostat/web/interactive-publications/migration-2025#orders-to-leave-and-returns-of-non-eu-citizens" w:history="1">
        <w:r w:rsidRPr="00CE6A01">
          <w:rPr>
            <w:rStyle w:val="Hyperlink"/>
            <w:sz w:val="24"/>
            <w:lang w:val="ro-RO"/>
          </w:rPr>
          <w:t>https://ec.europa.eu/eurostat/web/interactive-publications/migration-2025#orders-to-leave-and-returns-of-non-eu-citizens</w:t>
        </w:r>
      </w:hyperlink>
      <w:r w:rsidRPr="00CE6A01">
        <w:rPr>
          <w:sz w:val="24"/>
          <w:lang w:val="ro-RO"/>
        </w:rPr>
        <w:t>.</w:t>
      </w:r>
    </w:p>
  </w:footnote>
  <w:footnote w:id="14">
    <w:p w:rsidR="00AE2B45" w:rsidRPr="00CE6A01" w:rsidP="00CE6A01" w14:paraId="68E47297" w14:textId="57E4D929">
      <w:pPr>
        <w:pStyle w:val="FootnoteText"/>
        <w:ind w:left="567" w:hanging="567"/>
        <w:rPr>
          <w:sz w:val="24"/>
          <w:lang w:val="ro-RO"/>
        </w:rPr>
      </w:pPr>
      <w:r>
        <w:rPr>
          <w:rStyle w:val="FootnoteReference"/>
        </w:rPr>
        <w:footnoteRef/>
      </w:r>
      <w:r w:rsidRPr="00CE6A01">
        <w:rPr>
          <w:sz w:val="24"/>
          <w:lang w:val="ro-RO"/>
        </w:rPr>
        <w:t xml:space="preserve"> </w:t>
      </w:r>
      <w:r w:rsidRPr="00CE6A01">
        <w:rPr>
          <w:sz w:val="24"/>
          <w:lang w:val="ro-RO"/>
        </w:rPr>
        <w:tab/>
      </w:r>
      <w:hyperlink r:id="rId10" w:tgtFrame="https://www.unhcr.org/about-unhcr/overview/figures-glance" w:history="1">
        <w:r w:rsidRPr="00CE6A01">
          <w:rPr>
            <w:rStyle w:val="Hyperlink"/>
            <w:sz w:val="24"/>
            <w:lang w:val="ro-RO"/>
          </w:rPr>
          <w:t>https://www.unhcr.org/about-unhcr/overview/figures-glance</w:t>
        </w:r>
      </w:hyperlink>
      <w:r w:rsidRPr="00CE6A01">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5416605">
    <w:abstractNumId w:val="9"/>
  </w:num>
  <w:num w:numId="2" w16cid:durableId="978075649">
    <w:abstractNumId w:val="9"/>
  </w:num>
  <w:num w:numId="3" w16cid:durableId="673337151">
    <w:abstractNumId w:val="7"/>
  </w:num>
  <w:num w:numId="4" w16cid:durableId="1408724651">
    <w:abstractNumId w:val="7"/>
  </w:num>
  <w:num w:numId="5" w16cid:durableId="826282791">
    <w:abstractNumId w:val="6"/>
  </w:num>
  <w:num w:numId="6" w16cid:durableId="1276451096">
    <w:abstractNumId w:val="6"/>
  </w:num>
  <w:num w:numId="7" w16cid:durableId="1439641500">
    <w:abstractNumId w:val="5"/>
  </w:num>
  <w:num w:numId="8" w16cid:durableId="2076971050">
    <w:abstractNumId w:val="5"/>
  </w:num>
  <w:num w:numId="9" w16cid:durableId="391346638">
    <w:abstractNumId w:val="4"/>
  </w:num>
  <w:num w:numId="10" w16cid:durableId="126318119">
    <w:abstractNumId w:val="4"/>
  </w:num>
  <w:num w:numId="11" w16cid:durableId="1150169722">
    <w:abstractNumId w:val="8"/>
  </w:num>
  <w:num w:numId="12" w16cid:durableId="324552931">
    <w:abstractNumId w:val="8"/>
  </w:num>
  <w:num w:numId="13" w16cid:durableId="783883554">
    <w:abstractNumId w:val="3"/>
  </w:num>
  <w:num w:numId="14" w16cid:durableId="1725450226">
    <w:abstractNumId w:val="3"/>
  </w:num>
  <w:num w:numId="15" w16cid:durableId="885027084">
    <w:abstractNumId w:val="2"/>
  </w:num>
  <w:num w:numId="16" w16cid:durableId="588856239">
    <w:abstractNumId w:val="2"/>
  </w:num>
  <w:num w:numId="17" w16cid:durableId="891118092">
    <w:abstractNumId w:val="1"/>
  </w:num>
  <w:num w:numId="18" w16cid:durableId="1365981508">
    <w:abstractNumId w:val="1"/>
  </w:num>
  <w:num w:numId="19" w16cid:durableId="783110201">
    <w:abstractNumId w:val="0"/>
  </w:num>
  <w:num w:numId="20" w16cid:durableId="1860896610">
    <w:abstractNumId w:val="0"/>
  </w:num>
  <w:num w:numId="21" w16cid:durableId="312637800">
    <w:abstractNumId w:val="9"/>
  </w:num>
  <w:num w:numId="22" w16cid:durableId="1211923008">
    <w:abstractNumId w:val="7"/>
  </w:num>
  <w:num w:numId="23" w16cid:durableId="467166176">
    <w:abstractNumId w:val="6"/>
  </w:num>
  <w:num w:numId="24" w16cid:durableId="1593781572">
    <w:abstractNumId w:val="5"/>
  </w:num>
  <w:num w:numId="25" w16cid:durableId="617373383">
    <w:abstractNumId w:val="4"/>
  </w:num>
  <w:num w:numId="26" w16cid:durableId="2020884037">
    <w:abstractNumId w:val="8"/>
  </w:num>
  <w:num w:numId="27" w16cid:durableId="1651329421">
    <w:abstractNumId w:val="3"/>
  </w:num>
  <w:num w:numId="28" w16cid:durableId="1386755655">
    <w:abstractNumId w:val="2"/>
  </w:num>
  <w:num w:numId="29" w16cid:durableId="1167093756">
    <w:abstractNumId w:val="1"/>
  </w:num>
  <w:num w:numId="30" w16cid:durableId="52508700">
    <w:abstractNumId w:val="0"/>
  </w:num>
  <w:num w:numId="31" w16cid:durableId="1795830942">
    <w:abstractNumId w:val="9"/>
  </w:num>
  <w:num w:numId="32" w16cid:durableId="724061969">
    <w:abstractNumId w:val="7"/>
  </w:num>
  <w:num w:numId="33" w16cid:durableId="61603910">
    <w:abstractNumId w:val="6"/>
  </w:num>
  <w:num w:numId="34" w16cid:durableId="270207516">
    <w:abstractNumId w:val="5"/>
  </w:num>
  <w:num w:numId="35" w16cid:durableId="2003000152">
    <w:abstractNumId w:val="4"/>
  </w:num>
  <w:num w:numId="36" w16cid:durableId="1690184475">
    <w:abstractNumId w:val="8"/>
  </w:num>
  <w:num w:numId="37" w16cid:durableId="645353723">
    <w:abstractNumId w:val="3"/>
  </w:num>
  <w:num w:numId="38" w16cid:durableId="1153326276">
    <w:abstractNumId w:val="2"/>
  </w:num>
  <w:num w:numId="39" w16cid:durableId="246773654">
    <w:abstractNumId w:val="1"/>
  </w:num>
  <w:num w:numId="40" w16cid:durableId="1437946047">
    <w:abstractNumId w:val="0"/>
  </w:num>
  <w:num w:numId="41" w16cid:durableId="1292445392">
    <w:abstractNumId w:val="10"/>
  </w:num>
  <w:num w:numId="42" w16cid:durableId="7026991">
    <w:abstractNumId w:val="10"/>
  </w:num>
  <w:num w:numId="43" w16cid:durableId="55054967">
    <w:abstractNumId w:val="10"/>
  </w:num>
  <w:num w:numId="44" w16cid:durableId="1896895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B2"/>
    <w:rsid w:val="00002272"/>
    <w:rsid w:val="00064002"/>
    <w:rsid w:val="000677B9"/>
    <w:rsid w:val="000831BA"/>
    <w:rsid w:val="00097E25"/>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849"/>
    <w:rsid w:val="0050519A"/>
    <w:rsid w:val="005072A1"/>
    <w:rsid w:val="00514517"/>
    <w:rsid w:val="00540CB2"/>
    <w:rsid w:val="00545827"/>
    <w:rsid w:val="00560270"/>
    <w:rsid w:val="005C2568"/>
    <w:rsid w:val="005D3BF9"/>
    <w:rsid w:val="005F1B17"/>
    <w:rsid w:val="006037C0"/>
    <w:rsid w:val="006631B6"/>
    <w:rsid w:val="00680577"/>
    <w:rsid w:val="006850B0"/>
    <w:rsid w:val="006D339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9D9"/>
    <w:rsid w:val="00930C23"/>
    <w:rsid w:val="0093193B"/>
    <w:rsid w:val="009509D8"/>
    <w:rsid w:val="00950B64"/>
    <w:rsid w:val="00981893"/>
    <w:rsid w:val="009A0CDB"/>
    <w:rsid w:val="00A1687D"/>
    <w:rsid w:val="00A377DD"/>
    <w:rsid w:val="00A43E52"/>
    <w:rsid w:val="00A4678D"/>
    <w:rsid w:val="00A778C7"/>
    <w:rsid w:val="00A97C54"/>
    <w:rsid w:val="00AB441E"/>
    <w:rsid w:val="00AB6293"/>
    <w:rsid w:val="00AE0928"/>
    <w:rsid w:val="00AE2B45"/>
    <w:rsid w:val="00AF3B82"/>
    <w:rsid w:val="00B12E95"/>
    <w:rsid w:val="00B22876"/>
    <w:rsid w:val="00B558F0"/>
    <w:rsid w:val="00BD48FE"/>
    <w:rsid w:val="00BD7BD8"/>
    <w:rsid w:val="00BE6ADC"/>
    <w:rsid w:val="00C05BFE"/>
    <w:rsid w:val="00C07391"/>
    <w:rsid w:val="00C23CD4"/>
    <w:rsid w:val="00C61C0C"/>
    <w:rsid w:val="00C941CB"/>
    <w:rsid w:val="00CC1CDE"/>
    <w:rsid w:val="00CC2357"/>
    <w:rsid w:val="00CE6A0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7/2026"/>
    <w:docVar w:name="dvlangue" w:val="RO"/>
    <w:docVar w:name="dvnumam" w:val="0"/>
    <w:docVar w:name="dvpe" w:val="776.883"/>
    <w:docVar w:name="dvrapporteur" w:val="Raportor: "/>
    <w:docVar w:name="dvtitre" w:val="Rezoluția Parlamentului European din 16 iunie 2026 referitoare la consolidarea cooperării pentru dezvoltare pentru a aborda deplasările ilegale de populație și cauzele profunde ale acestora în țările partenere(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F2D85FA"/>
  <w15:chartTrackingRefBased/>
  <w15:docId w15:val="{F6C4F51F-6B3A-4D02-BA51-A69E459DC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D3BF9"/>
    <w:pPr>
      <w:widowControl/>
      <w:spacing w:after="240"/>
    </w:pPr>
    <w:rPr>
      <w:szCs w:val="24"/>
      <w:lang w:eastAsia="en-US"/>
    </w:rPr>
  </w:style>
  <w:style w:type="paragraph" w:customStyle="1" w:styleId="NormalHanging12a">
    <w:name w:val="NormalHanging12a"/>
    <w:basedOn w:val="Normal"/>
    <w:rsid w:val="005D3BF9"/>
    <w:pPr>
      <w:widowControl/>
      <w:spacing w:after="240"/>
      <w:ind w:left="566" w:hanging="566"/>
    </w:pPr>
    <w:rPr>
      <w:szCs w:val="24"/>
      <w:lang w:eastAsia="en-US"/>
    </w:rPr>
  </w:style>
  <w:style w:type="paragraph" w:customStyle="1" w:styleId="Normal12">
    <w:name w:val="Normal12"/>
    <w:basedOn w:val="Normal"/>
    <w:rsid w:val="005D3BF9"/>
    <w:pPr>
      <w:spacing w:after="240"/>
    </w:pPr>
    <w:rPr>
      <w:szCs w:val="24"/>
      <w:lang w:eastAsia="en-US"/>
    </w:rPr>
  </w:style>
  <w:style w:type="paragraph" w:customStyle="1" w:styleId="NormalHanging">
    <w:name w:val="NormalHanging"/>
    <w:basedOn w:val="Normal"/>
    <w:rsid w:val="005D3BF9"/>
    <w:pPr>
      <w:spacing w:after="240"/>
      <w:ind w:left="566" w:hanging="566"/>
    </w:pPr>
    <w:rPr>
      <w:szCs w:val="24"/>
      <w:lang w:eastAsia="en-US"/>
    </w:rPr>
  </w:style>
  <w:style w:type="paragraph" w:customStyle="1" w:styleId="NormalCenter12a">
    <w:name w:val="NormalCenter12a"/>
    <w:basedOn w:val="Normal"/>
    <w:rsid w:val="005D3BF9"/>
    <w:pPr>
      <w:widowControl/>
      <w:spacing w:after="240"/>
      <w:jc w:val="center"/>
    </w:pPr>
    <w:rPr>
      <w:szCs w:val="24"/>
      <w:lang w:eastAsia="en-US"/>
    </w:rPr>
  </w:style>
  <w:style w:type="character" w:styleId="Hyperlink">
    <w:name w:val="Hyperlink"/>
    <w:basedOn w:val="DefaultParagraphFont"/>
    <w:rsid w:val="005D3BF9"/>
    <w:rPr>
      <w:color w:val="0000FF"/>
      <w:u w:val="single"/>
    </w:rPr>
  </w:style>
  <w:style w:type="paragraph" w:styleId="Revision">
    <w:name w:val="Revision"/>
    <w:hidden/>
    <w:uiPriority w:val="99"/>
    <w:semiHidden/>
    <w:rsid w:val="00AE2B45"/>
    <w:rPr>
      <w:sz w:val="24"/>
      <w:lang w:val="ro-RO"/>
    </w:rPr>
  </w:style>
  <w:style w:type="character" w:styleId="FollowedHyperlink">
    <w:name w:val="FollowedHyperlink"/>
    <w:basedOn w:val="DefaultParagraphFont"/>
    <w:rsid w:val="006D33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etrans=ro"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5059</Words>
  <Characters>30763</Characters>
  <Application>Microsoft Office Word</Application>
  <DocSecurity>0</DocSecurity>
  <Lines>256</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2026-07-23T10:50:00Z</dcterms:created>
  <dcterms:modified xsi:type="dcterms:W3CDTF">2026-07-23T10:50:00Z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A10-0147/2026</vt:lpwstr>
  </property>
  <property fmtid="{D5CDD505-2E9C-101B-9397-08002B2CF9AE}" pid="4" name="&lt;Type&gt;">
    <vt:lpwstr>RR</vt:lpwstr>
  </property>
</Properties>
</file>